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9C6C" w14:textId="4E0AAE38" w:rsidR="00404C7A" w:rsidRPr="00B11F13" w:rsidRDefault="00E80447" w:rsidP="00404C7A">
      <w:pPr>
        <w:jc w:val="center"/>
        <w:rPr>
          <w:rFonts w:ascii="Roboto" w:hAnsi="Roboto"/>
          <w:b/>
          <w:bCs/>
          <w:sz w:val="40"/>
          <w:szCs w:val="40"/>
        </w:rPr>
      </w:pPr>
      <w:r w:rsidRPr="00B11F13">
        <w:rPr>
          <w:rFonts w:ascii="Roboto" w:hAnsi="Roboto"/>
          <w:b/>
          <w:bCs/>
          <w:sz w:val="40"/>
          <w:szCs w:val="40"/>
        </w:rPr>
        <w:t>Powering a Gender-Just Energy Transition</w:t>
      </w:r>
    </w:p>
    <w:p w14:paraId="3B6D10A8" w14:textId="6224DBE4" w:rsidR="00E80447" w:rsidRPr="00B11F13" w:rsidRDefault="00E80447" w:rsidP="00404C7A">
      <w:pPr>
        <w:rPr>
          <w:rFonts w:ascii="Roboto" w:hAnsi="Roboto"/>
          <w:b/>
          <w:bCs/>
          <w:sz w:val="22"/>
          <w:szCs w:val="22"/>
        </w:rPr>
      </w:pPr>
    </w:p>
    <w:p w14:paraId="35167A57" w14:textId="61361EA1" w:rsidR="003E6910" w:rsidRPr="00B11F13" w:rsidRDefault="00291A67" w:rsidP="00E80447">
      <w:pPr>
        <w:jc w:val="both"/>
        <w:rPr>
          <w:rFonts w:ascii="Roboto" w:eastAsia="Roboto" w:hAnsi="Roboto" w:cs="Roboto"/>
          <w:sz w:val="22"/>
          <w:szCs w:val="22"/>
          <w:lang w:val="en-US"/>
        </w:rPr>
      </w:pPr>
      <w:r w:rsidRPr="00B11F13">
        <w:rPr>
          <w:rFonts w:ascii="Roboto" w:eastAsia="Roboto" w:hAnsi="Roboto" w:cs="Roboto"/>
          <w:color w:val="000000"/>
          <w:sz w:val="22"/>
          <w:szCs w:val="22"/>
          <w:lang w:val="en-US"/>
        </w:rPr>
        <w:t>The Covid-19 pandemic has augmented pre-existing structural and experiential inequalities that women face in the energy sector.</w:t>
      </w:r>
      <w:r w:rsidR="00747574">
        <w:rPr>
          <w:rFonts w:ascii="Roboto" w:eastAsia="Roboto" w:hAnsi="Roboto" w:cs="Roboto"/>
          <w:color w:val="000000"/>
          <w:sz w:val="22"/>
          <w:szCs w:val="22"/>
          <w:lang w:val="en-US"/>
        </w:rPr>
        <w:t xml:space="preserve"> </w:t>
      </w:r>
      <w:r w:rsidR="00E417EC" w:rsidRPr="00E417EC">
        <w:rPr>
          <w:rFonts w:ascii="Roboto" w:eastAsia="Roboto" w:hAnsi="Roboto" w:cs="Roboto"/>
          <w:color w:val="000000"/>
          <w:sz w:val="22"/>
          <w:szCs w:val="22"/>
          <w:lang w:val="en-US"/>
        </w:rPr>
        <w:t xml:space="preserve">Reactionary responses to the pandemic have largely been gender blind worldwide; according to a review conducted by the UNDP and UN Women on global gender responses to Covid-19, out of the 3,099 social protection and </w:t>
      </w:r>
      <w:proofErr w:type="spellStart"/>
      <w:r w:rsidR="00E417EC" w:rsidRPr="00E417EC">
        <w:rPr>
          <w:rFonts w:ascii="Roboto" w:eastAsia="Roboto" w:hAnsi="Roboto" w:cs="Roboto"/>
          <w:color w:val="000000"/>
          <w:sz w:val="22"/>
          <w:szCs w:val="22"/>
          <w:lang w:val="en-US"/>
        </w:rPr>
        <w:t>labour</w:t>
      </w:r>
      <w:proofErr w:type="spellEnd"/>
      <w:r w:rsidR="00E417EC" w:rsidRPr="00E417EC">
        <w:rPr>
          <w:rFonts w:ascii="Roboto" w:eastAsia="Roboto" w:hAnsi="Roboto" w:cs="Roboto"/>
          <w:color w:val="000000"/>
          <w:sz w:val="22"/>
          <w:szCs w:val="22"/>
          <w:lang w:val="en-US"/>
        </w:rPr>
        <w:t xml:space="preserve"> market measures adopted across 221 countries, only 19.6% (606) measures address women's economic security or unpaid care.</w:t>
      </w:r>
      <w:r w:rsidR="00E417EC" w:rsidRPr="00E417EC">
        <w:rPr>
          <w:rFonts w:ascii="Roboto" w:eastAsia="Roboto" w:hAnsi="Roboto" w:cs="Roboto"/>
          <w:color w:val="000000"/>
          <w:sz w:val="22"/>
          <w:szCs w:val="22"/>
          <w:vertAlign w:val="superscript"/>
          <w:lang w:val="en-US"/>
        </w:rPr>
        <w:footnoteReference w:id="1"/>
      </w:r>
      <w:r w:rsidR="00E417EC" w:rsidRPr="00E417EC">
        <w:rPr>
          <w:rFonts w:ascii="Roboto" w:eastAsia="Roboto" w:hAnsi="Roboto" w:cs="Roboto"/>
          <w:color w:val="000000"/>
          <w:sz w:val="22"/>
          <w:szCs w:val="22"/>
          <w:lang w:val="en-US"/>
        </w:rPr>
        <w:t xml:space="preserve"> </w:t>
      </w:r>
      <w:r w:rsidR="00E80447" w:rsidRPr="00B11F13">
        <w:rPr>
          <w:rFonts w:ascii="Roboto" w:eastAsia="Roboto" w:hAnsi="Roboto" w:cs="Roboto"/>
          <w:color w:val="000000"/>
          <w:sz w:val="22"/>
          <w:szCs w:val="22"/>
          <w:lang w:val="en-US"/>
        </w:rPr>
        <w:t xml:space="preserve">Energy systems must be </w:t>
      </w:r>
      <w:proofErr w:type="spellStart"/>
      <w:r w:rsidR="00E80447" w:rsidRPr="00B11F13">
        <w:rPr>
          <w:rFonts w:ascii="Roboto" w:eastAsia="Roboto" w:hAnsi="Roboto" w:cs="Roboto"/>
          <w:color w:val="000000"/>
          <w:sz w:val="22"/>
          <w:szCs w:val="22"/>
          <w:lang w:val="en-US"/>
        </w:rPr>
        <w:t>decarbonised</w:t>
      </w:r>
      <w:proofErr w:type="spellEnd"/>
      <w:r w:rsidR="00E80447" w:rsidRPr="00B11F13">
        <w:rPr>
          <w:rFonts w:ascii="Roboto" w:eastAsia="Roboto" w:hAnsi="Roboto" w:cs="Roboto"/>
          <w:color w:val="000000"/>
          <w:sz w:val="22"/>
          <w:szCs w:val="22"/>
          <w:lang w:val="en-US"/>
        </w:rPr>
        <w:t xml:space="preserve"> to limit the global temperature rise to 1.5° Celsius and achieve universal access to basic services. Energy transition interventions risk excluding women and other disadvantaged groups if they don’t consider </w:t>
      </w:r>
      <w:r w:rsidR="00E80447" w:rsidRPr="00B11F13">
        <w:rPr>
          <w:rFonts w:ascii="Roboto" w:eastAsia="Roboto" w:hAnsi="Roboto" w:cs="Roboto"/>
          <w:sz w:val="22"/>
          <w:szCs w:val="22"/>
          <w:lang w:val="en-US"/>
        </w:rPr>
        <w:t xml:space="preserve">existing sociocultural, </w:t>
      </w:r>
      <w:r w:rsidR="0062262B" w:rsidRPr="00B11F13">
        <w:rPr>
          <w:rFonts w:ascii="Roboto" w:eastAsia="Roboto" w:hAnsi="Roboto" w:cs="Roboto"/>
          <w:sz w:val="22"/>
          <w:szCs w:val="22"/>
          <w:lang w:val="en-US"/>
        </w:rPr>
        <w:t>socioeconomic,</w:t>
      </w:r>
      <w:r w:rsidR="00E80447" w:rsidRPr="00B11F13">
        <w:rPr>
          <w:rFonts w:ascii="Roboto" w:eastAsia="Roboto" w:hAnsi="Roboto" w:cs="Roboto"/>
          <w:sz w:val="22"/>
          <w:szCs w:val="22"/>
          <w:lang w:val="en-US"/>
        </w:rPr>
        <w:t xml:space="preserve"> and institutional gaps</w:t>
      </w:r>
      <w:r w:rsidR="00E80447" w:rsidRPr="00B11F13">
        <w:rPr>
          <w:rFonts w:ascii="Roboto" w:eastAsia="Roboto" w:hAnsi="Roboto" w:cs="Roboto"/>
          <w:color w:val="000000"/>
          <w:sz w:val="22"/>
          <w:szCs w:val="22"/>
          <w:lang w:val="en-US"/>
        </w:rPr>
        <w:t xml:space="preserve">. </w:t>
      </w:r>
      <w:r w:rsidR="00E80447" w:rsidRPr="00B11F13">
        <w:rPr>
          <w:rFonts w:ascii="Roboto" w:eastAsia="Roboto" w:hAnsi="Roboto" w:cs="Roboto"/>
          <w:sz w:val="22"/>
          <w:szCs w:val="22"/>
          <w:lang w:val="en-US"/>
        </w:rPr>
        <w:t xml:space="preserve">Decentralized renewable energy technologies can be a game changer to enhance access to reliable and affordable clean energy while clean cookstoves can provide access to safer cooking options, free up time of women and girls, improve indoor air quality and their health and </w:t>
      </w:r>
      <w:r w:rsidR="00AC29AA">
        <w:rPr>
          <w:rFonts w:ascii="Roboto" w:eastAsia="Roboto" w:hAnsi="Roboto" w:cs="Roboto"/>
          <w:sz w:val="22"/>
          <w:szCs w:val="22"/>
          <w:lang w:val="en-US"/>
        </w:rPr>
        <w:t xml:space="preserve">reduce </w:t>
      </w:r>
      <w:r w:rsidR="00E80447" w:rsidRPr="00B11F13">
        <w:rPr>
          <w:rFonts w:ascii="Roboto" w:eastAsia="Roboto" w:hAnsi="Roboto" w:cs="Roboto"/>
          <w:sz w:val="22"/>
          <w:szCs w:val="22"/>
          <w:lang w:val="en-US"/>
        </w:rPr>
        <w:t>deforestation.</w:t>
      </w:r>
      <w:r w:rsidR="003E6910" w:rsidRPr="00B11F13">
        <w:rPr>
          <w:rFonts w:ascii="Roboto" w:eastAsia="Roboto" w:hAnsi="Roboto" w:cs="Roboto"/>
          <w:sz w:val="22"/>
          <w:szCs w:val="22"/>
          <w:lang w:val="en-US"/>
        </w:rPr>
        <w:t xml:space="preserve"> A gender-just energy transition would </w:t>
      </w:r>
      <w:r w:rsidR="00AC29AA">
        <w:rPr>
          <w:rFonts w:ascii="Roboto" w:eastAsia="Roboto" w:hAnsi="Roboto" w:cs="Roboto"/>
          <w:sz w:val="22"/>
          <w:szCs w:val="22"/>
          <w:lang w:val="en-US"/>
        </w:rPr>
        <w:t>result in</w:t>
      </w:r>
      <w:r w:rsidR="003E6910" w:rsidRPr="00B11F13">
        <w:rPr>
          <w:rFonts w:ascii="Roboto" w:eastAsia="Roboto" w:hAnsi="Roboto" w:cs="Roboto"/>
          <w:sz w:val="22"/>
          <w:szCs w:val="22"/>
          <w:lang w:val="en-US"/>
        </w:rPr>
        <w:t xml:space="preserve"> multi-scalar</w:t>
      </w:r>
      <w:r w:rsidR="00AC29AA">
        <w:rPr>
          <w:rFonts w:ascii="Roboto" w:eastAsia="Roboto" w:hAnsi="Roboto" w:cs="Roboto"/>
          <w:sz w:val="22"/>
          <w:szCs w:val="22"/>
          <w:lang w:val="en-US"/>
        </w:rPr>
        <w:t xml:space="preserve"> gains. W</w:t>
      </w:r>
      <w:r w:rsidR="00F6185D" w:rsidRPr="00B11F13">
        <w:rPr>
          <w:rFonts w:ascii="Roboto" w:eastAsia="Roboto" w:hAnsi="Roboto" w:cs="Roboto"/>
          <w:sz w:val="22"/>
          <w:szCs w:val="22"/>
          <w:lang w:val="en-US"/>
        </w:rPr>
        <w:t>ith an increasingly urgent demand for implementation and tangible actions,</w:t>
      </w:r>
      <w:r w:rsidR="0060450C">
        <w:rPr>
          <w:rFonts w:ascii="Roboto" w:eastAsia="Roboto" w:hAnsi="Roboto" w:cs="Roboto"/>
          <w:sz w:val="22"/>
          <w:szCs w:val="22"/>
          <w:lang w:val="en-US"/>
        </w:rPr>
        <w:t xml:space="preserve"> there is an increasing call to action for </w:t>
      </w:r>
      <w:r w:rsidR="00F6185D" w:rsidRPr="00B11F13">
        <w:rPr>
          <w:rFonts w:ascii="Roboto" w:eastAsia="Roboto" w:hAnsi="Roboto" w:cs="Roboto"/>
          <w:sz w:val="22"/>
          <w:szCs w:val="22"/>
          <w:lang w:val="en-US"/>
        </w:rPr>
        <w:t xml:space="preserve"> </w:t>
      </w:r>
      <w:r w:rsidR="0060450C">
        <w:rPr>
          <w:rFonts w:ascii="Roboto" w:eastAsia="Roboto" w:hAnsi="Roboto" w:cs="Roboto"/>
          <w:sz w:val="22"/>
          <w:szCs w:val="22"/>
          <w:lang w:val="en-US"/>
        </w:rPr>
        <w:t>the importance of</w:t>
      </w:r>
      <w:r w:rsidR="00F6185D" w:rsidRPr="00B11F13">
        <w:rPr>
          <w:rFonts w:ascii="Roboto" w:eastAsia="Roboto" w:hAnsi="Roboto" w:cs="Roboto"/>
          <w:sz w:val="22"/>
          <w:szCs w:val="22"/>
          <w:lang w:val="en-US"/>
        </w:rPr>
        <w:t xml:space="preserve"> address</w:t>
      </w:r>
      <w:r w:rsidR="0060450C">
        <w:rPr>
          <w:rFonts w:ascii="Roboto" w:eastAsia="Roboto" w:hAnsi="Roboto" w:cs="Roboto"/>
          <w:sz w:val="22"/>
          <w:szCs w:val="22"/>
          <w:lang w:val="en-US"/>
        </w:rPr>
        <w:t>ing</w:t>
      </w:r>
      <w:r w:rsidR="00F6185D" w:rsidRPr="00B11F13">
        <w:rPr>
          <w:rFonts w:ascii="Roboto" w:eastAsia="Roboto" w:hAnsi="Roboto" w:cs="Roboto"/>
          <w:sz w:val="22"/>
          <w:szCs w:val="22"/>
          <w:lang w:val="en-US"/>
        </w:rPr>
        <w:t xml:space="preserve"> lon</w:t>
      </w:r>
      <w:r w:rsidR="00147E35" w:rsidRPr="00B11F13">
        <w:rPr>
          <w:rFonts w:ascii="Roboto" w:eastAsia="Roboto" w:hAnsi="Roboto" w:cs="Roboto"/>
          <w:sz w:val="22"/>
          <w:szCs w:val="22"/>
          <w:lang w:val="en-US"/>
        </w:rPr>
        <w:t>g</w:t>
      </w:r>
      <w:r w:rsidR="00F6185D" w:rsidRPr="00B11F13">
        <w:rPr>
          <w:rFonts w:ascii="Roboto" w:eastAsia="Roboto" w:hAnsi="Roboto" w:cs="Roboto"/>
          <w:sz w:val="22"/>
          <w:szCs w:val="22"/>
          <w:lang w:val="en-US"/>
        </w:rPr>
        <w:t>-standing inequalities and promot</w:t>
      </w:r>
      <w:r w:rsidR="0060450C">
        <w:rPr>
          <w:rFonts w:ascii="Roboto" w:eastAsia="Roboto" w:hAnsi="Roboto" w:cs="Roboto"/>
          <w:sz w:val="22"/>
          <w:szCs w:val="22"/>
          <w:lang w:val="en-US"/>
        </w:rPr>
        <w:t>ing</w:t>
      </w:r>
      <w:r w:rsidR="00F6185D" w:rsidRPr="00B11F13">
        <w:rPr>
          <w:rFonts w:ascii="Roboto" w:eastAsia="Roboto" w:hAnsi="Roboto" w:cs="Roboto"/>
          <w:sz w:val="22"/>
          <w:szCs w:val="22"/>
          <w:lang w:val="en-US"/>
        </w:rPr>
        <w:t xml:space="preserve"> women’s empowerment in the </w:t>
      </w:r>
      <w:r w:rsidR="00147E35" w:rsidRPr="00B11F13">
        <w:rPr>
          <w:rFonts w:ascii="Roboto" w:eastAsia="Roboto" w:hAnsi="Roboto" w:cs="Roboto"/>
          <w:sz w:val="22"/>
          <w:szCs w:val="22"/>
          <w:lang w:val="en-US"/>
        </w:rPr>
        <w:t xml:space="preserve">global </w:t>
      </w:r>
      <w:r w:rsidR="00F6185D" w:rsidRPr="00B11F13">
        <w:rPr>
          <w:rFonts w:ascii="Roboto" w:eastAsia="Roboto" w:hAnsi="Roboto" w:cs="Roboto"/>
          <w:sz w:val="22"/>
          <w:szCs w:val="22"/>
          <w:lang w:val="en-US"/>
        </w:rPr>
        <w:t>energy sector.</w:t>
      </w:r>
    </w:p>
    <w:p w14:paraId="20982005" w14:textId="1112E1EA" w:rsidR="00127E5D" w:rsidRPr="00B11F13" w:rsidRDefault="00127E5D" w:rsidP="00B11F13">
      <w:pPr>
        <w:rPr>
          <w:rFonts w:ascii="Roboto" w:eastAsia="Roboto" w:hAnsi="Roboto" w:cs="Roboto"/>
          <w:sz w:val="14"/>
          <w:szCs w:val="14"/>
          <w:lang w:val="en-US"/>
        </w:rPr>
      </w:pPr>
      <w:r w:rsidRPr="00B11F13" w:rsidDel="00127E5D">
        <w:rPr>
          <w:rFonts w:ascii="Roboto" w:eastAsia="Calibri" w:hAnsi="Roboto" w:cstheme="majorHAnsi"/>
          <w:color w:val="000000"/>
          <w:sz w:val="14"/>
          <w:szCs w:val="14"/>
        </w:rPr>
        <w:t xml:space="preserve"> </w:t>
      </w:r>
    </w:p>
    <w:p w14:paraId="57A598C3" w14:textId="1C71915F" w:rsidR="0060450C" w:rsidRDefault="0060450C" w:rsidP="002B37E7">
      <w:pPr>
        <w:shd w:val="clear" w:color="auto" w:fill="FFFFFF"/>
        <w:jc w:val="both"/>
        <w:rPr>
          <w:rFonts w:ascii="Roboto" w:eastAsia="Roboto" w:hAnsi="Roboto" w:cs="Roboto"/>
          <w:b/>
          <w:lang w:val="en-US"/>
        </w:rPr>
      </w:pPr>
      <w:r w:rsidRPr="00B11F13">
        <w:rPr>
          <w:rFonts w:ascii="Roboto" w:hAnsi="Roboto"/>
          <w:noProof/>
          <w:sz w:val="14"/>
          <w:szCs w:val="14"/>
          <w:lang w:val="en-US"/>
        </w:rPr>
        <mc:AlternateContent>
          <mc:Choice Requires="wps">
            <w:drawing>
              <wp:anchor distT="0" distB="0" distL="114300" distR="114300" simplePos="0" relativeHeight="251661312" behindDoc="0" locked="0" layoutInCell="1" hidden="0" allowOverlap="1" wp14:anchorId="78C75764" wp14:editId="787EB6D3">
                <wp:simplePos x="0" y="0"/>
                <wp:positionH relativeFrom="column">
                  <wp:posOffset>-39370</wp:posOffset>
                </wp:positionH>
                <wp:positionV relativeFrom="paragraph">
                  <wp:posOffset>247015</wp:posOffset>
                </wp:positionV>
                <wp:extent cx="5947410" cy="1886585"/>
                <wp:effectExtent l="0" t="0" r="8890" b="18415"/>
                <wp:wrapTopAndBottom distT="0" distB="0"/>
                <wp:docPr id="34" name="Rectangle 34"/>
                <wp:cNvGraphicFramePr/>
                <a:graphic xmlns:a="http://schemas.openxmlformats.org/drawingml/2006/main">
                  <a:graphicData uri="http://schemas.microsoft.com/office/word/2010/wordprocessingShape">
                    <wps:wsp>
                      <wps:cNvSpPr/>
                      <wps:spPr>
                        <a:xfrm>
                          <a:off x="0" y="0"/>
                          <a:ext cx="5947410" cy="1886585"/>
                        </a:xfrm>
                        <a:prstGeom prst="rect">
                          <a:avLst/>
                        </a:prstGeom>
                        <a:solidFill>
                          <a:schemeClr val="lt1"/>
                        </a:solidFill>
                        <a:ln w="9525" cap="flat" cmpd="sng">
                          <a:solidFill>
                            <a:schemeClr val="accent6">
                              <a:lumMod val="50000"/>
                            </a:schemeClr>
                          </a:solidFill>
                          <a:prstDash val="solid"/>
                          <a:round/>
                          <a:headEnd type="none" w="sm" len="sm"/>
                          <a:tailEnd type="none" w="sm" len="sm"/>
                        </a:ln>
                      </wps:spPr>
                      <wps:txbx>
                        <w:txbxContent>
                          <w:p w14:paraId="275F33E5" w14:textId="77777777" w:rsidR="0062262B" w:rsidRPr="00B11F13" w:rsidRDefault="0062262B" w:rsidP="0062262B">
                            <w:pPr>
                              <w:jc w:val="center"/>
                              <w:textDirection w:val="btLr"/>
                              <w:rPr>
                                <w:color w:val="538135" w:themeColor="accent6" w:themeShade="BF"/>
                              </w:rPr>
                            </w:pPr>
                            <w:r w:rsidRPr="00B11F13">
                              <w:rPr>
                                <w:rFonts w:ascii="Roboto" w:eastAsia="Roboto" w:hAnsi="Roboto" w:cs="Roboto"/>
                                <w:b/>
                                <w:color w:val="538135" w:themeColor="accent6" w:themeShade="BF"/>
                                <w:sz w:val="20"/>
                              </w:rPr>
                              <w:t>Gender-Just Energy Transition Framework</w:t>
                            </w:r>
                          </w:p>
                          <w:p w14:paraId="0A5690C4" w14:textId="103967FD" w:rsidR="0062262B" w:rsidRPr="00B11F13" w:rsidRDefault="0062262B" w:rsidP="0062262B">
                            <w:pPr>
                              <w:jc w:val="both"/>
                              <w:rPr>
                                <w:rFonts w:ascii="Roboto" w:eastAsia="Roboto" w:hAnsi="Roboto" w:cs="Roboto"/>
                                <w:color w:val="538135" w:themeColor="accent6" w:themeShade="BF"/>
                                <w:sz w:val="18"/>
                                <w:szCs w:val="18"/>
                              </w:rPr>
                            </w:pPr>
                            <w:r w:rsidRPr="00B11F13">
                              <w:rPr>
                                <w:rFonts w:ascii="Roboto" w:eastAsia="Roboto" w:hAnsi="Roboto" w:cs="Roboto"/>
                                <w:color w:val="538135" w:themeColor="accent6" w:themeShade="BF"/>
                                <w:sz w:val="18"/>
                                <w:szCs w:val="18"/>
                              </w:rPr>
                              <w:t xml:space="preserve">A framework for a gender-just energy transition ensures that the rights of disadvantaged groups are met by addressing the root causes of gender inequality within and along a gender-transformative transition to a resilient and sustainable global energy sector. As consumers, suppliers and distributors of energy, disadvantaged groups face barriers across the energy value chain, which in-itself, also holds manifold implications for people of varying interests and needs. Such a framework would ensure that the projected and materialized benefits of the energy transition are distributed equitably and ultimately aim to strengthen the long-term participatory capacities of disadvantaged groups across the energy value chain. </w:t>
                            </w:r>
                            <w:r w:rsidR="00747574" w:rsidRPr="00747574">
                              <w:rPr>
                                <w:rFonts w:ascii="Roboto" w:eastAsia="Roboto" w:hAnsi="Roboto" w:cs="Roboto"/>
                                <w:color w:val="538135" w:themeColor="accent6" w:themeShade="BF"/>
                                <w:sz w:val="18"/>
                                <w:szCs w:val="18"/>
                              </w:rPr>
                              <w:t xml:space="preserve">Awareness raising and introducing norms and regulatory measures promoting gender equality and enhancing transparency for equal representation of women and men across the sustainable energy value chain would also be required. </w:t>
                            </w:r>
                            <w:r w:rsidR="00747574">
                              <w:rPr>
                                <w:rFonts w:ascii="Roboto" w:eastAsia="Roboto" w:hAnsi="Roboto" w:cs="Roboto"/>
                                <w:color w:val="538135" w:themeColor="accent6" w:themeShade="BF"/>
                                <w:sz w:val="18"/>
                                <w:szCs w:val="18"/>
                              </w:rPr>
                              <w:t xml:space="preserve"> </w:t>
                            </w:r>
                            <w:r w:rsidRPr="00B11F13">
                              <w:rPr>
                                <w:rFonts w:ascii="Roboto" w:eastAsia="Roboto" w:hAnsi="Roboto" w:cs="Roboto"/>
                                <w:color w:val="538135" w:themeColor="accent6" w:themeShade="BF"/>
                                <w:sz w:val="18"/>
                                <w:szCs w:val="18"/>
                              </w:rPr>
                              <w:t xml:space="preserve">No one is to be left behind in the shift from fossil fuel reliance, and a framework for a gender-just energy transition would bring together the interlinkages necessary in identifying entry points within and among the multiple dimensions of gender equality, the just transition, and decarbonisation.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C75764" id="Rectangle 34" o:spid="_x0000_s1026" style="position:absolute;left:0;text-align:left;margin-left:-3.1pt;margin-top:19.45pt;width:468.3pt;height:1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" fillcolor="white [3201]" strokecolor="#375623 [1609]">
                <v:stroke startarrowwidth="narrow" startarrowlength="short" endarrowwidth="narrow" endarrowlength="short" joinstyle="round"/>
                <v:textbox inset="2.53958mm,1.2694mm,2.53958mm,1.2694mm">
                  <w:txbxContent>
                    <w:p w14:paraId="275F33E5" w14:textId="77777777" w:rsidR="0062262B" w:rsidRPr="00B11F13" w:rsidRDefault="0062262B" w:rsidP="0062262B">
                      <w:pPr>
                        <w:jc w:val="center"/>
                        <w:textDirection w:val="btLr"/>
                        <w:rPr>
                          <w:color w:val="538135" w:themeColor="accent6" w:themeShade="BF"/>
                        </w:rPr>
                      </w:pPr>
                      <w:r w:rsidRPr="00B11F13">
                        <w:rPr>
                          <w:rFonts w:ascii="Roboto" w:eastAsia="Roboto" w:hAnsi="Roboto" w:cs="Roboto"/>
                          <w:b/>
                          <w:color w:val="538135" w:themeColor="accent6" w:themeShade="BF"/>
                          <w:sz w:val="20"/>
                        </w:rPr>
                        <w:t>Gender-Just Energy Transition Framework</w:t>
                      </w:r>
                    </w:p>
                    <w:p w14:paraId="0A5690C4" w14:textId="103967FD" w:rsidR="0062262B" w:rsidRPr="00B11F13" w:rsidRDefault="0062262B" w:rsidP="0062262B">
                      <w:pPr>
                        <w:jc w:val="both"/>
                        <w:rPr>
                          <w:rFonts w:ascii="Roboto" w:eastAsia="Roboto" w:hAnsi="Roboto" w:cs="Roboto"/>
                          <w:color w:val="538135" w:themeColor="accent6" w:themeShade="BF"/>
                          <w:sz w:val="18"/>
                          <w:szCs w:val="18"/>
                        </w:rPr>
                      </w:pPr>
                      <w:r w:rsidRPr="00B11F13">
                        <w:rPr>
                          <w:rFonts w:ascii="Roboto" w:eastAsia="Roboto" w:hAnsi="Roboto" w:cs="Roboto"/>
                          <w:color w:val="538135" w:themeColor="accent6" w:themeShade="BF"/>
                          <w:sz w:val="18"/>
                          <w:szCs w:val="18"/>
                        </w:rPr>
                        <w:t xml:space="preserve">A framework for a gender-just energy transition ensures that the rights of disadvantaged groups are met by addressing the root causes of gender inequality within and along a gender-transformative transition to a resilient and sustainable global energy sector. As consumers, suppliers and distributors of energy, disadvantaged groups face barriers across the energy value chain, which in-itself, also holds manifold implications for people of varying interests and needs. Such a framework would ensure that the projected and materialized benefits of the energy transition are distributed equitably and ultimately aim to strengthen the long-term participatory capacities of disadvantaged groups across the energy value chain. </w:t>
                      </w:r>
                      <w:r w:rsidR="00747574" w:rsidRPr="00747574">
                        <w:rPr>
                          <w:rFonts w:ascii="Roboto" w:eastAsia="Roboto" w:hAnsi="Roboto" w:cs="Roboto"/>
                          <w:color w:val="538135" w:themeColor="accent6" w:themeShade="BF"/>
                          <w:sz w:val="18"/>
                          <w:szCs w:val="18"/>
                        </w:rPr>
                        <w:t xml:space="preserve">Awareness raising and introducing norms and regulatory measures promoting gender equality and enhancing transparency for equal representation of women and men across the sustainable energy value chain would also be required. </w:t>
                      </w:r>
                      <w:r w:rsidR="00747574">
                        <w:rPr>
                          <w:rFonts w:ascii="Roboto" w:eastAsia="Roboto" w:hAnsi="Roboto" w:cs="Roboto"/>
                          <w:color w:val="538135" w:themeColor="accent6" w:themeShade="BF"/>
                          <w:sz w:val="18"/>
                          <w:szCs w:val="18"/>
                        </w:rPr>
                        <w:t xml:space="preserve"> </w:t>
                      </w:r>
                      <w:r w:rsidRPr="00B11F13">
                        <w:rPr>
                          <w:rFonts w:ascii="Roboto" w:eastAsia="Roboto" w:hAnsi="Roboto" w:cs="Roboto"/>
                          <w:color w:val="538135" w:themeColor="accent6" w:themeShade="BF"/>
                          <w:sz w:val="18"/>
                          <w:szCs w:val="18"/>
                        </w:rPr>
                        <w:t xml:space="preserve">No one is to be left behind in the shift from fossil fuel reliance, and a framework for a gender-just energy transition would bring together the interlinkages necessary in identifying entry points within and among the multiple dimensions of gender equality, the just transition, and decarbonisation. </w:t>
                      </w:r>
                    </w:p>
                  </w:txbxContent>
                </v:textbox>
                <w10:wrap type="topAndBottom"/>
              </v:rect>
            </w:pict>
          </mc:Fallback>
        </mc:AlternateContent>
      </w:r>
    </w:p>
    <w:p w14:paraId="2C2D4151" w14:textId="35A33A49" w:rsidR="0060450C" w:rsidRDefault="0060450C" w:rsidP="002B37E7">
      <w:pPr>
        <w:shd w:val="clear" w:color="auto" w:fill="FFFFFF"/>
        <w:jc w:val="both"/>
        <w:rPr>
          <w:rFonts w:ascii="Roboto" w:eastAsia="Roboto" w:hAnsi="Roboto" w:cs="Roboto"/>
          <w:b/>
          <w:lang w:val="en-US"/>
        </w:rPr>
      </w:pPr>
    </w:p>
    <w:p w14:paraId="51FFC07C" w14:textId="77777777" w:rsidR="0060450C" w:rsidRPr="00B11F13" w:rsidRDefault="0060450C" w:rsidP="002B37E7">
      <w:pPr>
        <w:shd w:val="clear" w:color="auto" w:fill="FFFFFF"/>
        <w:jc w:val="both"/>
        <w:rPr>
          <w:rFonts w:ascii="Roboto" w:eastAsia="Roboto" w:hAnsi="Roboto" w:cs="Roboto"/>
          <w:b/>
          <w:lang w:val="en-US"/>
        </w:rPr>
      </w:pPr>
    </w:p>
    <w:p w14:paraId="55A42DFB" w14:textId="480EBD29" w:rsidR="002B37E7" w:rsidRPr="00B11F13" w:rsidRDefault="002B37E7" w:rsidP="002B37E7">
      <w:pPr>
        <w:shd w:val="clear" w:color="auto" w:fill="FFFFFF"/>
        <w:jc w:val="both"/>
        <w:rPr>
          <w:rFonts w:ascii="Roboto" w:eastAsia="Roboto" w:hAnsi="Roboto" w:cs="Roboto"/>
          <w:b/>
          <w:lang w:val="en-US"/>
        </w:rPr>
      </w:pPr>
      <w:r w:rsidRPr="00B11F13">
        <w:rPr>
          <w:rFonts w:ascii="Roboto" w:eastAsia="Roboto" w:hAnsi="Roboto" w:cs="Roboto"/>
          <w:b/>
          <w:lang w:val="en-US"/>
        </w:rPr>
        <w:t xml:space="preserve">Call to action: </w:t>
      </w:r>
    </w:p>
    <w:p w14:paraId="1684D220" w14:textId="77777777" w:rsidR="002B37E7" w:rsidRPr="00B11F13" w:rsidRDefault="002B37E7" w:rsidP="002B37E7">
      <w:pPr>
        <w:shd w:val="clear" w:color="auto" w:fill="FFFFFF"/>
        <w:jc w:val="both"/>
        <w:rPr>
          <w:rFonts w:ascii="Roboto" w:eastAsia="Roboto" w:hAnsi="Roboto" w:cs="Roboto"/>
          <w:sz w:val="22"/>
          <w:szCs w:val="22"/>
          <w:lang w:val="en-US"/>
        </w:rPr>
      </w:pPr>
    </w:p>
    <w:p w14:paraId="007DC43C" w14:textId="553C53B7" w:rsidR="002B37E7" w:rsidRPr="008A14C3" w:rsidRDefault="002B37E7" w:rsidP="002B37E7">
      <w:pPr>
        <w:numPr>
          <w:ilvl w:val="0"/>
          <w:numId w:val="1"/>
        </w:numPr>
        <w:shd w:val="clear" w:color="auto" w:fill="FFFFFF"/>
        <w:jc w:val="both"/>
        <w:rPr>
          <w:rFonts w:ascii="Roboto" w:eastAsia="Roboto" w:hAnsi="Roboto" w:cs="Roboto"/>
          <w:sz w:val="19"/>
          <w:szCs w:val="19"/>
          <w:highlight w:val="white"/>
          <w:lang w:val="en-US"/>
        </w:rPr>
      </w:pPr>
      <w:r w:rsidRPr="008A14C3">
        <w:rPr>
          <w:rFonts w:ascii="Roboto" w:eastAsia="Roboto" w:hAnsi="Roboto" w:cs="Roboto"/>
          <w:sz w:val="19"/>
          <w:szCs w:val="19"/>
          <w:highlight w:val="white"/>
          <w:lang w:val="en-US"/>
        </w:rPr>
        <w:t xml:space="preserve">Women and men should get equal opportunities to participate in and support the clean energy economy, as entrepreneurs and employees, and </w:t>
      </w:r>
      <w:r w:rsidR="00AC29AA">
        <w:rPr>
          <w:rFonts w:ascii="Roboto" w:eastAsia="Roboto" w:hAnsi="Roboto" w:cs="Roboto"/>
          <w:sz w:val="19"/>
          <w:szCs w:val="19"/>
          <w:highlight w:val="white"/>
          <w:lang w:val="en-US"/>
        </w:rPr>
        <w:t xml:space="preserve">be provided </w:t>
      </w:r>
      <w:r w:rsidRPr="008A14C3">
        <w:rPr>
          <w:rFonts w:ascii="Roboto" w:eastAsia="Roboto" w:hAnsi="Roboto" w:cs="Roboto"/>
          <w:sz w:val="19"/>
          <w:szCs w:val="19"/>
          <w:highlight w:val="white"/>
          <w:lang w:val="en-US"/>
        </w:rPr>
        <w:t>equal funding and investment for their businesses.</w:t>
      </w:r>
    </w:p>
    <w:p w14:paraId="73DDE485" w14:textId="77777777" w:rsidR="002B37E7" w:rsidRPr="008A14C3" w:rsidRDefault="002B37E7" w:rsidP="002B37E7">
      <w:pPr>
        <w:shd w:val="clear" w:color="auto" w:fill="FFFFFF"/>
        <w:ind w:left="720"/>
        <w:jc w:val="both"/>
        <w:rPr>
          <w:rFonts w:ascii="Roboto" w:eastAsia="Roboto" w:hAnsi="Roboto" w:cs="Roboto"/>
          <w:sz w:val="10"/>
          <w:szCs w:val="10"/>
          <w:highlight w:val="white"/>
          <w:lang w:val="en-US"/>
        </w:rPr>
      </w:pPr>
    </w:p>
    <w:p w14:paraId="2294C166" w14:textId="179FF3F2" w:rsidR="002B37E7" w:rsidRPr="008A14C3" w:rsidRDefault="002B37E7" w:rsidP="002B37E7">
      <w:pPr>
        <w:numPr>
          <w:ilvl w:val="0"/>
          <w:numId w:val="1"/>
        </w:numPr>
        <w:shd w:val="clear" w:color="auto" w:fill="FFFFFF"/>
        <w:jc w:val="both"/>
        <w:rPr>
          <w:rFonts w:ascii="Roboto" w:hAnsi="Roboto"/>
          <w:sz w:val="19"/>
          <w:szCs w:val="19"/>
          <w:highlight w:val="white"/>
          <w:lang w:val="en-US"/>
        </w:rPr>
      </w:pPr>
      <w:r w:rsidRPr="008A14C3">
        <w:rPr>
          <w:rFonts w:ascii="Roboto" w:eastAsia="Roboto" w:hAnsi="Roboto" w:cs="Roboto"/>
          <w:sz w:val="19"/>
          <w:szCs w:val="19"/>
          <w:highlight w:val="white"/>
          <w:lang w:val="en-US"/>
        </w:rPr>
        <w:t>The energy sector must mitigate gender-based vulnerabilities that have worsened with the pandemic, in health care, gender-based violence, and the digital economy.</w:t>
      </w:r>
    </w:p>
    <w:p w14:paraId="3FCC2778" w14:textId="77777777" w:rsidR="002B37E7" w:rsidRPr="008A14C3" w:rsidRDefault="002B37E7" w:rsidP="002B37E7">
      <w:pPr>
        <w:shd w:val="clear" w:color="auto" w:fill="FFFFFF"/>
        <w:ind w:left="720"/>
        <w:jc w:val="both"/>
        <w:rPr>
          <w:rFonts w:ascii="Roboto" w:eastAsia="Roboto" w:hAnsi="Roboto" w:cs="Roboto"/>
          <w:sz w:val="10"/>
          <w:szCs w:val="10"/>
          <w:highlight w:val="white"/>
          <w:lang w:val="en-US"/>
        </w:rPr>
      </w:pPr>
    </w:p>
    <w:p w14:paraId="1612F007" w14:textId="77777777" w:rsidR="002B37E7" w:rsidRPr="008A14C3" w:rsidRDefault="002B37E7" w:rsidP="002B37E7">
      <w:pPr>
        <w:numPr>
          <w:ilvl w:val="0"/>
          <w:numId w:val="1"/>
        </w:numPr>
        <w:shd w:val="clear" w:color="auto" w:fill="FFFFFF"/>
        <w:jc w:val="both"/>
        <w:rPr>
          <w:rFonts w:ascii="Roboto" w:eastAsia="Roboto" w:hAnsi="Roboto" w:cs="Roboto"/>
          <w:sz w:val="19"/>
          <w:szCs w:val="19"/>
          <w:highlight w:val="white"/>
          <w:lang w:val="en-US"/>
        </w:rPr>
      </w:pPr>
      <w:r w:rsidRPr="008A14C3">
        <w:rPr>
          <w:rFonts w:ascii="Roboto" w:eastAsia="Roboto" w:hAnsi="Roboto" w:cs="Roboto"/>
          <w:sz w:val="19"/>
          <w:szCs w:val="19"/>
          <w:highlight w:val="white"/>
          <w:lang w:val="en-US"/>
        </w:rPr>
        <w:t>Women need better energy access and suitable appliances to support their roles in the care economy. Clean cooking is of special importance here.</w:t>
      </w:r>
    </w:p>
    <w:p w14:paraId="6F8EF051" w14:textId="77777777" w:rsidR="002B37E7" w:rsidRPr="00B11F13" w:rsidRDefault="002B37E7" w:rsidP="002B37E7">
      <w:pPr>
        <w:shd w:val="clear" w:color="auto" w:fill="FFFFFF"/>
        <w:ind w:left="720"/>
        <w:jc w:val="both"/>
        <w:rPr>
          <w:rFonts w:ascii="Roboto" w:eastAsia="Roboto" w:hAnsi="Roboto" w:cs="Roboto"/>
          <w:sz w:val="20"/>
          <w:szCs w:val="20"/>
          <w:highlight w:val="white"/>
          <w:lang w:val="en-US"/>
        </w:rPr>
      </w:pPr>
    </w:p>
    <w:p w14:paraId="22461E7E" w14:textId="7BF15A89" w:rsidR="0060450C" w:rsidRPr="00E417EC" w:rsidRDefault="002B37E7" w:rsidP="00E417EC">
      <w:pPr>
        <w:numPr>
          <w:ilvl w:val="0"/>
          <w:numId w:val="1"/>
        </w:numPr>
        <w:shd w:val="clear" w:color="auto" w:fill="FFFFFF"/>
        <w:jc w:val="both"/>
        <w:rPr>
          <w:rFonts w:ascii="Roboto" w:eastAsia="Roboto" w:hAnsi="Roboto" w:cs="Roboto"/>
          <w:b/>
          <w:lang w:val="en-US"/>
        </w:rPr>
      </w:pPr>
      <w:r w:rsidRPr="008A14C3">
        <w:rPr>
          <w:rFonts w:ascii="Roboto" w:eastAsia="Roboto" w:hAnsi="Roboto" w:cs="Roboto"/>
          <w:sz w:val="19"/>
          <w:szCs w:val="19"/>
          <w:highlight w:val="white"/>
          <w:lang w:val="en-US"/>
        </w:rPr>
        <w:t>Women need to have a place at the table – or create their own tables – when strategies about energy transitions and post recovery strategies are planned and decided on</w:t>
      </w:r>
    </w:p>
    <w:p w14:paraId="14B8B5AD" w14:textId="77777777" w:rsidR="0060450C" w:rsidRDefault="0060450C" w:rsidP="002B37E7">
      <w:pPr>
        <w:shd w:val="clear" w:color="auto" w:fill="FFFFFF"/>
        <w:jc w:val="both"/>
        <w:rPr>
          <w:rFonts w:ascii="Roboto" w:eastAsia="Roboto" w:hAnsi="Roboto" w:cs="Roboto"/>
          <w:b/>
          <w:lang w:val="en-US"/>
        </w:rPr>
      </w:pPr>
    </w:p>
    <w:p w14:paraId="06E32191" w14:textId="688FE51F" w:rsidR="002B37E7" w:rsidRDefault="002B37E7" w:rsidP="002B37E7">
      <w:pPr>
        <w:shd w:val="clear" w:color="auto" w:fill="FFFFFF"/>
        <w:jc w:val="both"/>
        <w:rPr>
          <w:rFonts w:ascii="Roboto" w:eastAsia="Roboto" w:hAnsi="Roboto" w:cs="Roboto"/>
          <w:b/>
          <w:lang w:val="en-US"/>
        </w:rPr>
      </w:pPr>
      <w:r w:rsidRPr="00B11F13">
        <w:rPr>
          <w:rFonts w:ascii="Roboto" w:eastAsia="Roboto" w:hAnsi="Roboto" w:cs="Roboto"/>
          <w:b/>
          <w:lang w:val="en-US"/>
        </w:rPr>
        <w:t>Two-Pronged Complementary Approach for a Gender-Just Energy Transition</w:t>
      </w:r>
      <w:r w:rsidR="008A14C3">
        <w:rPr>
          <w:rStyle w:val="FootnoteReference"/>
          <w:rFonts w:ascii="Roboto" w:eastAsia="Roboto" w:hAnsi="Roboto" w:cs="Roboto"/>
          <w:b/>
          <w:lang w:val="en-US"/>
        </w:rPr>
        <w:footnoteReference w:id="2"/>
      </w:r>
    </w:p>
    <w:p w14:paraId="0B85D2B2" w14:textId="077FF481" w:rsidR="0060450C" w:rsidRDefault="0060450C" w:rsidP="002B37E7">
      <w:pPr>
        <w:shd w:val="clear" w:color="auto" w:fill="FFFFFF"/>
        <w:jc w:val="both"/>
        <w:rPr>
          <w:rFonts w:ascii="Roboto" w:eastAsia="Roboto" w:hAnsi="Roboto" w:cs="Roboto"/>
          <w:b/>
          <w:lang w:val="en-US"/>
        </w:rPr>
      </w:pPr>
    </w:p>
    <w:p w14:paraId="52D3BC5F" w14:textId="5116B716" w:rsidR="0060450C" w:rsidRDefault="0060450C" w:rsidP="002B37E7">
      <w:pPr>
        <w:shd w:val="clear" w:color="auto" w:fill="FFFFFF"/>
        <w:jc w:val="both"/>
        <w:rPr>
          <w:rFonts w:ascii="Roboto" w:eastAsia="Roboto" w:hAnsi="Roboto" w:cs="Roboto"/>
          <w:b/>
          <w:lang w:val="en-US"/>
        </w:rPr>
      </w:pPr>
    </w:p>
    <w:p w14:paraId="339C002C" w14:textId="04BAF04B" w:rsidR="00B11F13" w:rsidRDefault="0060450C" w:rsidP="002B37E7">
      <w:pPr>
        <w:jc w:val="both"/>
        <w:rPr>
          <w:rFonts w:ascii="Roboto" w:hAnsi="Roboto"/>
          <w:sz w:val="14"/>
          <w:szCs w:val="14"/>
          <w:lang w:val="en-US"/>
        </w:rPr>
      </w:pPr>
      <w:r w:rsidRPr="008A14C3">
        <w:rPr>
          <w:rFonts w:ascii="Roboto" w:hAnsi="Roboto"/>
          <w:noProof/>
          <w:sz w:val="14"/>
          <w:szCs w:val="14"/>
          <w:lang w:val="en-US"/>
        </w:rPr>
        <w:drawing>
          <wp:anchor distT="0" distB="0" distL="114300" distR="114300" simplePos="0" relativeHeight="251665408" behindDoc="0" locked="0" layoutInCell="1" allowOverlap="1" wp14:anchorId="4707D2F9" wp14:editId="5720B17E">
            <wp:simplePos x="0" y="0"/>
            <wp:positionH relativeFrom="column">
              <wp:posOffset>953135</wp:posOffset>
            </wp:positionH>
            <wp:positionV relativeFrom="paragraph">
              <wp:posOffset>130175</wp:posOffset>
            </wp:positionV>
            <wp:extent cx="4025900" cy="3048635"/>
            <wp:effectExtent l="0" t="0" r="0" b="0"/>
            <wp:wrapTopAndBottom/>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5900" cy="3048635"/>
                    </a:xfrm>
                    <a:prstGeom prst="rect">
                      <a:avLst/>
                    </a:prstGeom>
                  </pic:spPr>
                </pic:pic>
              </a:graphicData>
            </a:graphic>
            <wp14:sizeRelH relativeFrom="page">
              <wp14:pctWidth>0</wp14:pctWidth>
            </wp14:sizeRelH>
            <wp14:sizeRelV relativeFrom="page">
              <wp14:pctHeight>0</wp14:pctHeight>
            </wp14:sizeRelV>
          </wp:anchor>
        </w:drawing>
      </w:r>
    </w:p>
    <w:p w14:paraId="1526A5FC" w14:textId="752B3DCA" w:rsidR="002B37E7" w:rsidRPr="00B11F13" w:rsidRDefault="00E417EC" w:rsidP="002B37E7">
      <w:pPr>
        <w:jc w:val="both"/>
        <w:rPr>
          <w:rFonts w:ascii="Roboto" w:hAnsi="Roboto"/>
          <w:b/>
          <w:bCs/>
          <w:sz w:val="22"/>
          <w:szCs w:val="22"/>
        </w:rPr>
      </w:pPr>
      <w:r w:rsidRPr="00B11F13">
        <w:rPr>
          <w:rFonts w:ascii="Roboto" w:hAnsi="Roboto"/>
          <w:b/>
          <w:bCs/>
          <w:noProof/>
          <w:sz w:val="22"/>
          <w:szCs w:val="22"/>
        </w:rPr>
        <mc:AlternateContent>
          <mc:Choice Requires="wps">
            <w:drawing>
              <wp:anchor distT="0" distB="0" distL="114300" distR="114300" simplePos="0" relativeHeight="251663360" behindDoc="0" locked="0" layoutInCell="1" allowOverlap="1" wp14:anchorId="3458BFDE" wp14:editId="46ED46B7">
                <wp:simplePos x="0" y="0"/>
                <wp:positionH relativeFrom="column">
                  <wp:posOffset>-66675</wp:posOffset>
                </wp:positionH>
                <wp:positionV relativeFrom="paragraph">
                  <wp:posOffset>3902818</wp:posOffset>
                </wp:positionV>
                <wp:extent cx="6010910" cy="2381250"/>
                <wp:effectExtent l="0" t="0" r="27940" b="19050"/>
                <wp:wrapNone/>
                <wp:docPr id="11" name="Text Box 11"/>
                <wp:cNvGraphicFramePr/>
                <a:graphic xmlns:a="http://schemas.openxmlformats.org/drawingml/2006/main">
                  <a:graphicData uri="http://schemas.microsoft.com/office/word/2010/wordprocessingShape">
                    <wps:wsp>
                      <wps:cNvSpPr txBox="1"/>
                      <wps:spPr>
                        <a:xfrm>
                          <a:off x="0" y="0"/>
                          <a:ext cx="6010910" cy="2381250"/>
                        </a:xfrm>
                        <a:prstGeom prst="rect">
                          <a:avLst/>
                        </a:prstGeom>
                        <a:solidFill>
                          <a:schemeClr val="lt1"/>
                        </a:solidFill>
                        <a:ln w="6350">
                          <a:solidFill>
                            <a:schemeClr val="accent6">
                              <a:lumMod val="50000"/>
                            </a:schemeClr>
                          </a:solidFill>
                        </a:ln>
                      </wps:spPr>
                      <wps:txbx>
                        <w:txbxContent>
                          <w:p w14:paraId="1B60955E" w14:textId="74D19EAD" w:rsidR="00404C7A" w:rsidRPr="00B11F13" w:rsidRDefault="00404C7A" w:rsidP="00404C7A">
                            <w:pPr>
                              <w:jc w:val="center"/>
                              <w:rPr>
                                <w:b/>
                                <w:bCs/>
                                <w:color w:val="538135" w:themeColor="accent6" w:themeShade="BF"/>
                              </w:rPr>
                            </w:pPr>
                            <w:r w:rsidRPr="00B11F13">
                              <w:rPr>
                                <w:b/>
                                <w:bCs/>
                                <w:color w:val="538135" w:themeColor="accent6" w:themeShade="BF"/>
                              </w:rPr>
                              <w:t>The GGKP Gender Expert Group</w:t>
                            </w:r>
                          </w:p>
                          <w:p w14:paraId="634F08E5" w14:textId="0475B9AA" w:rsidR="00404C7A" w:rsidRPr="00B11F13" w:rsidRDefault="00404C7A" w:rsidP="00404C7A">
                            <w:pPr>
                              <w:jc w:val="both"/>
                              <w:rPr>
                                <w:rFonts w:ascii="Roboto" w:eastAsia="Roboto" w:hAnsi="Roboto" w:cs="Roboto"/>
                                <w:color w:val="538135" w:themeColor="accent6" w:themeShade="BF"/>
                                <w:sz w:val="18"/>
                                <w:szCs w:val="18"/>
                                <w:lang w:val="en-US"/>
                              </w:rPr>
                            </w:pPr>
                            <w:r w:rsidRPr="00B11F13">
                              <w:rPr>
                                <w:rFonts w:ascii="Roboto" w:eastAsia="Roboto" w:hAnsi="Roboto" w:cs="Roboto"/>
                                <w:color w:val="538135" w:themeColor="accent6" w:themeShade="BF"/>
                                <w:sz w:val="18"/>
                                <w:szCs w:val="18"/>
                                <w:lang w:val="en-US"/>
                              </w:rPr>
                              <w:t xml:space="preserve">The GGKP </w:t>
                            </w:r>
                            <w:hyperlink r:id="rId9" w:history="1">
                              <w:r w:rsidRPr="00B11F13">
                                <w:rPr>
                                  <w:rStyle w:val="Hyperlink"/>
                                  <w:rFonts w:ascii="Roboto" w:eastAsia="Roboto" w:hAnsi="Roboto" w:cs="Roboto"/>
                                  <w:color w:val="034990" w:themeColor="hyperlink" w:themeShade="BF"/>
                                  <w:sz w:val="18"/>
                                  <w:szCs w:val="18"/>
                                  <w:lang w:val="en-US"/>
                                </w:rPr>
                                <w:t>Gender Expert Group</w:t>
                              </w:r>
                            </w:hyperlink>
                            <w:r w:rsidRPr="00B11F13">
                              <w:rPr>
                                <w:rFonts w:ascii="Roboto" w:eastAsia="Roboto" w:hAnsi="Roboto" w:cs="Roboto"/>
                                <w:color w:val="538135" w:themeColor="accent6" w:themeShade="BF"/>
                                <w:sz w:val="18"/>
                                <w:szCs w:val="18"/>
                                <w:lang w:val="en-US"/>
                              </w:rPr>
                              <w:t xml:space="preserve"> was created in November 2021. It is a collaboration between leading green growth and green economy institutions influencing future interventions by identifying and responding to knowledge gaps for a gender-just green transition. The group provides research, capacity building and knowledge sharing to aid evidence-based policy development processes, specifically on integrating gender equality in green growth approaches.</w:t>
                            </w:r>
                          </w:p>
                          <w:p w14:paraId="6A15198C" w14:textId="77777777" w:rsidR="00404C7A" w:rsidRPr="00B11F13" w:rsidRDefault="00404C7A" w:rsidP="00404C7A">
                            <w:pPr>
                              <w:jc w:val="both"/>
                              <w:rPr>
                                <w:rFonts w:ascii="Roboto" w:eastAsia="Roboto" w:hAnsi="Roboto" w:cs="Roboto"/>
                                <w:color w:val="538135" w:themeColor="accent6" w:themeShade="BF"/>
                                <w:sz w:val="10"/>
                                <w:szCs w:val="10"/>
                                <w:lang w:val="en-US"/>
                              </w:rPr>
                            </w:pPr>
                          </w:p>
                          <w:p w14:paraId="46820054" w14:textId="0E85417A" w:rsidR="00404C7A" w:rsidRPr="00B11F13" w:rsidRDefault="00404C7A" w:rsidP="00404C7A">
                            <w:pPr>
                              <w:jc w:val="both"/>
                              <w:rPr>
                                <w:rFonts w:ascii="Roboto" w:eastAsia="Roboto" w:hAnsi="Roboto" w:cs="Roboto"/>
                                <w:color w:val="538135" w:themeColor="accent6" w:themeShade="BF"/>
                                <w:sz w:val="18"/>
                                <w:szCs w:val="18"/>
                                <w:lang w:val="en-US"/>
                              </w:rPr>
                            </w:pPr>
                            <w:r w:rsidRPr="00B11F13">
                              <w:rPr>
                                <w:rFonts w:ascii="Roboto" w:eastAsia="Roboto" w:hAnsi="Roboto" w:cs="Roboto"/>
                                <w:color w:val="538135" w:themeColor="accent6" w:themeShade="BF"/>
                                <w:sz w:val="18"/>
                                <w:szCs w:val="18"/>
                                <w:lang w:val="en-US"/>
                              </w:rPr>
                              <w:t xml:space="preserve">To kick-start Phase 1 of its work </w:t>
                            </w:r>
                            <w:proofErr w:type="spellStart"/>
                            <w:r w:rsidRPr="00B11F13">
                              <w:rPr>
                                <w:rFonts w:ascii="Roboto" w:eastAsia="Roboto" w:hAnsi="Roboto" w:cs="Roboto"/>
                                <w:color w:val="538135" w:themeColor="accent6" w:themeShade="BF"/>
                                <w:sz w:val="18"/>
                                <w:szCs w:val="18"/>
                                <w:lang w:val="en-US"/>
                              </w:rPr>
                              <w:t>programme</w:t>
                            </w:r>
                            <w:proofErr w:type="spellEnd"/>
                            <w:r w:rsidRPr="00B11F13">
                              <w:rPr>
                                <w:rFonts w:ascii="Roboto" w:eastAsia="Roboto" w:hAnsi="Roboto" w:cs="Roboto"/>
                                <w:color w:val="538135" w:themeColor="accent6" w:themeShade="BF"/>
                                <w:sz w:val="18"/>
                                <w:szCs w:val="18"/>
                                <w:lang w:val="en-US"/>
                              </w:rPr>
                              <w:t xml:space="preserve">, a mapping of current gender-transformative practices of GEG members and other institutions was carried out. It focused on </w:t>
                            </w:r>
                            <w:hyperlink r:id="rId10" w:history="1">
                              <w:r w:rsidRPr="00B11F13">
                                <w:rPr>
                                  <w:rStyle w:val="Hyperlink"/>
                                  <w:rFonts w:ascii="Roboto" w:eastAsia="Roboto" w:hAnsi="Roboto" w:cs="Roboto"/>
                                  <w:color w:val="034990" w:themeColor="hyperlink" w:themeShade="BF"/>
                                  <w:sz w:val="18"/>
                                  <w:szCs w:val="18"/>
                                  <w:lang w:val="en-US"/>
                                </w:rPr>
                                <w:t>what works, for whom, under what circumstances and how</w:t>
                              </w:r>
                            </w:hyperlink>
                            <w:r w:rsidRPr="00B11F13">
                              <w:rPr>
                                <w:rFonts w:ascii="Roboto" w:eastAsia="Roboto" w:hAnsi="Roboto" w:cs="Roboto"/>
                                <w:color w:val="538135" w:themeColor="accent6" w:themeShade="BF"/>
                                <w:sz w:val="18"/>
                                <w:szCs w:val="18"/>
                                <w:lang w:val="en-US"/>
                              </w:rPr>
                              <w:t xml:space="preserve">. </w:t>
                            </w:r>
                          </w:p>
                          <w:p w14:paraId="045362A6" w14:textId="77777777" w:rsidR="00404C7A" w:rsidRPr="00B11F13" w:rsidRDefault="00404C7A" w:rsidP="00404C7A">
                            <w:pPr>
                              <w:jc w:val="both"/>
                              <w:rPr>
                                <w:rFonts w:ascii="Roboto" w:eastAsia="Roboto" w:hAnsi="Roboto" w:cs="Roboto"/>
                                <w:color w:val="538135" w:themeColor="accent6" w:themeShade="BF"/>
                                <w:sz w:val="10"/>
                                <w:szCs w:val="10"/>
                                <w:lang w:val="en-US"/>
                              </w:rPr>
                            </w:pPr>
                          </w:p>
                          <w:p w14:paraId="0DFC1C67" w14:textId="77777777" w:rsidR="00404C7A" w:rsidRPr="00B11F13" w:rsidRDefault="00404C7A" w:rsidP="00404C7A">
                            <w:pPr>
                              <w:jc w:val="both"/>
                              <w:rPr>
                                <w:rFonts w:ascii="Roboto" w:eastAsia="Roboto" w:hAnsi="Roboto" w:cs="Roboto"/>
                                <w:color w:val="538135" w:themeColor="accent6" w:themeShade="BF"/>
                                <w:sz w:val="18"/>
                                <w:szCs w:val="18"/>
                                <w:lang w:val="en-US"/>
                              </w:rPr>
                            </w:pPr>
                            <w:r w:rsidRPr="00B11F13">
                              <w:rPr>
                                <w:rFonts w:ascii="Roboto" w:eastAsia="Roboto" w:hAnsi="Roboto" w:cs="Roboto"/>
                                <w:color w:val="538135" w:themeColor="accent6" w:themeShade="BF"/>
                                <w:sz w:val="18"/>
                                <w:szCs w:val="18"/>
                                <w:lang w:val="en-US"/>
                              </w:rPr>
                              <w:t>Following that, a knowledge product is being prepared to identify entry points for powering a gender-just transition to net zero. Guided by the principles of just transitions and energy justice, the working paper aims to analyze existing knowledge and strategies–research, policies, procedures, and programs that promote gender-transformative practices in the global energy sector. Best practice examples will highlight the role of various actors including local and central government, civil society, research institutions, donors, multilaterals, financing institution and the private sector.</w:t>
                            </w:r>
                          </w:p>
                          <w:p w14:paraId="7CD4F8E7" w14:textId="77777777" w:rsidR="00404C7A" w:rsidRDefault="00404C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58BFDE" id="_x0000_t202" coordsize="21600,21600" o:spt="202" path="m,l,21600r21600,l21600,xe">
                <v:stroke joinstyle="miter"/>
                <v:path gradientshapeok="t" o:connecttype="rect"/>
              </v:shapetype>
              <v:shape id="Text Box 11" o:spid="_x0000_s1027" type="#_x0000_t202" style="position:absolute;left:0;text-align:left;margin-left:-5.25pt;margin-top:307.3pt;width:473.3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" fillcolor="white [3201]" strokecolor="#375623 [1609]" strokeweight=".5pt">
                <v:textbox>
                  <w:txbxContent>
                    <w:p w14:paraId="1B60955E" w14:textId="74D19EAD" w:rsidR="00404C7A" w:rsidRPr="00B11F13" w:rsidRDefault="00404C7A" w:rsidP="00404C7A">
                      <w:pPr>
                        <w:jc w:val="center"/>
                        <w:rPr>
                          <w:b/>
                          <w:bCs/>
                          <w:color w:val="538135" w:themeColor="accent6" w:themeShade="BF"/>
                        </w:rPr>
                      </w:pPr>
                      <w:r w:rsidRPr="00B11F13">
                        <w:rPr>
                          <w:b/>
                          <w:bCs/>
                          <w:color w:val="538135" w:themeColor="accent6" w:themeShade="BF"/>
                        </w:rPr>
                        <w:t>The GGKP Gender Expert Group</w:t>
                      </w:r>
                    </w:p>
                    <w:p w14:paraId="634F08E5" w14:textId="0475B9AA" w:rsidR="00404C7A" w:rsidRPr="00B11F13" w:rsidRDefault="00404C7A" w:rsidP="00404C7A">
                      <w:pPr>
                        <w:jc w:val="both"/>
                        <w:rPr>
                          <w:rFonts w:ascii="Roboto" w:eastAsia="Roboto" w:hAnsi="Roboto" w:cs="Roboto"/>
                          <w:color w:val="538135" w:themeColor="accent6" w:themeShade="BF"/>
                          <w:sz w:val="18"/>
                          <w:szCs w:val="18"/>
                          <w:lang w:val="en-US"/>
                        </w:rPr>
                      </w:pPr>
                      <w:r w:rsidRPr="00B11F13">
                        <w:rPr>
                          <w:rFonts w:ascii="Roboto" w:eastAsia="Roboto" w:hAnsi="Roboto" w:cs="Roboto"/>
                          <w:color w:val="538135" w:themeColor="accent6" w:themeShade="BF"/>
                          <w:sz w:val="18"/>
                          <w:szCs w:val="18"/>
                          <w:lang w:val="en-US"/>
                        </w:rPr>
                        <w:t xml:space="preserve">The GGKP </w:t>
                      </w:r>
                      <w:hyperlink r:id="rId15" w:history="1">
                        <w:r w:rsidRPr="00B11F13">
                          <w:rPr>
                            <w:rStyle w:val="Hyperlink"/>
                            <w:rFonts w:ascii="Roboto" w:eastAsia="Roboto" w:hAnsi="Roboto" w:cs="Roboto"/>
                            <w:color w:val="034990" w:themeColor="hyperlink" w:themeShade="BF"/>
                            <w:sz w:val="18"/>
                            <w:szCs w:val="18"/>
                            <w:lang w:val="en-US"/>
                          </w:rPr>
                          <w:t>Gender Expert Group</w:t>
                        </w:r>
                      </w:hyperlink>
                      <w:r w:rsidRPr="00B11F13">
                        <w:rPr>
                          <w:rFonts w:ascii="Roboto" w:eastAsia="Roboto" w:hAnsi="Roboto" w:cs="Roboto"/>
                          <w:color w:val="538135" w:themeColor="accent6" w:themeShade="BF"/>
                          <w:sz w:val="18"/>
                          <w:szCs w:val="18"/>
                          <w:lang w:val="en-US"/>
                        </w:rPr>
                        <w:t xml:space="preserve"> was created in November 2021. It is a collaboration between leading green growth and green economy institutions influencing future interventions by identifying and responding to knowledge gaps for a gender-just green transition. The group provides research, capacity building and knowledge sharing to aid evidence-based policy development processes, specifically on integrating gender equality in green growth approaches.</w:t>
                      </w:r>
                    </w:p>
                    <w:p w14:paraId="6A15198C" w14:textId="77777777" w:rsidR="00404C7A" w:rsidRPr="00B11F13" w:rsidRDefault="00404C7A" w:rsidP="00404C7A">
                      <w:pPr>
                        <w:jc w:val="both"/>
                        <w:rPr>
                          <w:rFonts w:ascii="Roboto" w:eastAsia="Roboto" w:hAnsi="Roboto" w:cs="Roboto"/>
                          <w:color w:val="538135" w:themeColor="accent6" w:themeShade="BF"/>
                          <w:sz w:val="10"/>
                          <w:szCs w:val="10"/>
                          <w:lang w:val="en-US"/>
                        </w:rPr>
                      </w:pPr>
                    </w:p>
                    <w:p w14:paraId="46820054" w14:textId="0E85417A" w:rsidR="00404C7A" w:rsidRPr="00B11F13" w:rsidRDefault="00404C7A" w:rsidP="00404C7A">
                      <w:pPr>
                        <w:jc w:val="both"/>
                        <w:rPr>
                          <w:rFonts w:ascii="Roboto" w:eastAsia="Roboto" w:hAnsi="Roboto" w:cs="Roboto"/>
                          <w:color w:val="538135" w:themeColor="accent6" w:themeShade="BF"/>
                          <w:sz w:val="18"/>
                          <w:szCs w:val="18"/>
                          <w:lang w:val="en-US"/>
                        </w:rPr>
                      </w:pPr>
                      <w:r w:rsidRPr="00B11F13">
                        <w:rPr>
                          <w:rFonts w:ascii="Roboto" w:eastAsia="Roboto" w:hAnsi="Roboto" w:cs="Roboto"/>
                          <w:color w:val="538135" w:themeColor="accent6" w:themeShade="BF"/>
                          <w:sz w:val="18"/>
                          <w:szCs w:val="18"/>
                          <w:lang w:val="en-US"/>
                        </w:rPr>
                        <w:t xml:space="preserve">To kick-start Phase 1 of its work </w:t>
                      </w:r>
                      <w:proofErr w:type="spellStart"/>
                      <w:r w:rsidRPr="00B11F13">
                        <w:rPr>
                          <w:rFonts w:ascii="Roboto" w:eastAsia="Roboto" w:hAnsi="Roboto" w:cs="Roboto"/>
                          <w:color w:val="538135" w:themeColor="accent6" w:themeShade="BF"/>
                          <w:sz w:val="18"/>
                          <w:szCs w:val="18"/>
                          <w:lang w:val="en-US"/>
                        </w:rPr>
                        <w:t>programme</w:t>
                      </w:r>
                      <w:proofErr w:type="spellEnd"/>
                      <w:r w:rsidRPr="00B11F13">
                        <w:rPr>
                          <w:rFonts w:ascii="Roboto" w:eastAsia="Roboto" w:hAnsi="Roboto" w:cs="Roboto"/>
                          <w:color w:val="538135" w:themeColor="accent6" w:themeShade="BF"/>
                          <w:sz w:val="18"/>
                          <w:szCs w:val="18"/>
                          <w:lang w:val="en-US"/>
                        </w:rPr>
                        <w:t xml:space="preserve">, a mapping of current gender-transformative practices of GEG members and other institutions was carried out. It focused on </w:t>
                      </w:r>
                      <w:hyperlink r:id="rId16" w:history="1">
                        <w:r w:rsidRPr="00B11F13">
                          <w:rPr>
                            <w:rStyle w:val="Hyperlink"/>
                            <w:rFonts w:ascii="Roboto" w:eastAsia="Roboto" w:hAnsi="Roboto" w:cs="Roboto"/>
                            <w:color w:val="034990" w:themeColor="hyperlink" w:themeShade="BF"/>
                            <w:sz w:val="18"/>
                            <w:szCs w:val="18"/>
                            <w:lang w:val="en-US"/>
                          </w:rPr>
                          <w:t>what works, for whom, under what circumstances and how</w:t>
                        </w:r>
                      </w:hyperlink>
                      <w:r w:rsidRPr="00B11F13">
                        <w:rPr>
                          <w:rFonts w:ascii="Roboto" w:eastAsia="Roboto" w:hAnsi="Roboto" w:cs="Roboto"/>
                          <w:color w:val="538135" w:themeColor="accent6" w:themeShade="BF"/>
                          <w:sz w:val="18"/>
                          <w:szCs w:val="18"/>
                          <w:lang w:val="en-US"/>
                        </w:rPr>
                        <w:t xml:space="preserve">. </w:t>
                      </w:r>
                    </w:p>
                    <w:p w14:paraId="045362A6" w14:textId="77777777" w:rsidR="00404C7A" w:rsidRPr="00B11F13" w:rsidRDefault="00404C7A" w:rsidP="00404C7A">
                      <w:pPr>
                        <w:jc w:val="both"/>
                        <w:rPr>
                          <w:rFonts w:ascii="Roboto" w:eastAsia="Roboto" w:hAnsi="Roboto" w:cs="Roboto"/>
                          <w:color w:val="538135" w:themeColor="accent6" w:themeShade="BF"/>
                          <w:sz w:val="10"/>
                          <w:szCs w:val="10"/>
                          <w:lang w:val="en-US"/>
                        </w:rPr>
                      </w:pPr>
                    </w:p>
                    <w:p w14:paraId="0DFC1C67" w14:textId="77777777" w:rsidR="00404C7A" w:rsidRPr="00B11F13" w:rsidRDefault="00404C7A" w:rsidP="00404C7A">
                      <w:pPr>
                        <w:jc w:val="both"/>
                        <w:rPr>
                          <w:rFonts w:ascii="Roboto" w:eastAsia="Roboto" w:hAnsi="Roboto" w:cs="Roboto"/>
                          <w:color w:val="538135" w:themeColor="accent6" w:themeShade="BF"/>
                          <w:sz w:val="18"/>
                          <w:szCs w:val="18"/>
                          <w:lang w:val="en-US"/>
                        </w:rPr>
                      </w:pPr>
                      <w:r w:rsidRPr="00B11F13">
                        <w:rPr>
                          <w:rFonts w:ascii="Roboto" w:eastAsia="Roboto" w:hAnsi="Roboto" w:cs="Roboto"/>
                          <w:color w:val="538135" w:themeColor="accent6" w:themeShade="BF"/>
                          <w:sz w:val="18"/>
                          <w:szCs w:val="18"/>
                          <w:lang w:val="en-US"/>
                        </w:rPr>
                        <w:t>Following that, a knowledge product is being prepared to identify entry points for powering a gender-just transition to net zero. Guided by the principles of just transitions and energy justice, the working paper aims to analyze existing knowledge and strategies–research, policies, procedures, and programs that promote gender-transformative practices in the global energy sector. Best practice examples will highlight the role of various actors including local and central government, civil society, research institutions, donors, multilaterals, financing institution and the private sector.</w:t>
                      </w:r>
                    </w:p>
                    <w:p w14:paraId="7CD4F8E7" w14:textId="77777777" w:rsidR="00404C7A" w:rsidRDefault="00404C7A"/>
                  </w:txbxContent>
                </v:textbox>
              </v:shape>
            </w:pict>
          </mc:Fallback>
        </mc:AlternateContent>
      </w:r>
    </w:p>
    <w:sectPr w:rsidR="002B37E7" w:rsidRPr="00B11F1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820D" w14:textId="77777777" w:rsidR="00B91BB9" w:rsidRDefault="00B91BB9" w:rsidP="0076501E">
      <w:r>
        <w:separator/>
      </w:r>
    </w:p>
  </w:endnote>
  <w:endnote w:type="continuationSeparator" w:id="0">
    <w:p w14:paraId="0EE1E4FD" w14:textId="77777777" w:rsidR="00B91BB9" w:rsidRDefault="00B91BB9" w:rsidP="0076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AE0E" w14:textId="6714BEB1" w:rsidR="0076501E" w:rsidRDefault="0076501E">
    <w:pPr>
      <w:pStyle w:val="Footer"/>
    </w:pPr>
    <w:r w:rsidRPr="0076501E">
      <w:rPr>
        <w:noProof/>
      </w:rPr>
      <w:drawing>
        <wp:anchor distT="0" distB="0" distL="114300" distR="114300" simplePos="0" relativeHeight="251659264" behindDoc="0" locked="0" layoutInCell="1" allowOverlap="1" wp14:anchorId="21E47009" wp14:editId="37676789">
          <wp:simplePos x="0" y="0"/>
          <wp:positionH relativeFrom="column">
            <wp:posOffset>118745</wp:posOffset>
          </wp:positionH>
          <wp:positionV relativeFrom="paragraph">
            <wp:posOffset>102235</wp:posOffset>
          </wp:positionV>
          <wp:extent cx="5731510" cy="468630"/>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1510" cy="4686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DB20" w14:textId="77777777" w:rsidR="00B91BB9" w:rsidRDefault="00B91BB9" w:rsidP="0076501E">
      <w:r>
        <w:separator/>
      </w:r>
    </w:p>
  </w:footnote>
  <w:footnote w:type="continuationSeparator" w:id="0">
    <w:p w14:paraId="299F9B84" w14:textId="77777777" w:rsidR="00B91BB9" w:rsidRDefault="00B91BB9" w:rsidP="0076501E">
      <w:r>
        <w:continuationSeparator/>
      </w:r>
    </w:p>
  </w:footnote>
  <w:footnote w:id="1">
    <w:p w14:paraId="469A8AEE" w14:textId="77777777" w:rsidR="00E417EC" w:rsidRPr="00991683" w:rsidRDefault="00E417EC" w:rsidP="00E417EC">
      <w:pPr>
        <w:rPr>
          <w:rFonts w:asciiTheme="majorHAnsi" w:eastAsia="Calibri" w:hAnsiTheme="majorHAnsi" w:cstheme="majorHAnsi"/>
          <w:color w:val="000000"/>
          <w:sz w:val="18"/>
          <w:szCs w:val="18"/>
        </w:rPr>
      </w:pPr>
      <w:r w:rsidRPr="00991683">
        <w:rPr>
          <w:rStyle w:val="FootnoteReference"/>
          <w:rFonts w:asciiTheme="majorHAnsi" w:hAnsiTheme="majorHAnsi" w:cstheme="majorHAnsi"/>
          <w:sz w:val="18"/>
          <w:szCs w:val="18"/>
        </w:rPr>
        <w:footnoteRef/>
      </w:r>
      <w:r w:rsidRPr="00991683">
        <w:rPr>
          <w:rFonts w:asciiTheme="majorHAnsi" w:eastAsia="Calibri" w:hAnsiTheme="majorHAnsi" w:cstheme="majorHAnsi"/>
          <w:color w:val="000000"/>
          <w:sz w:val="18"/>
          <w:szCs w:val="18"/>
        </w:rPr>
        <w:t xml:space="preserve"> UNDP. 2021. COVID-19 Global Gender Response Tracker: Global Factsheet Version 3 </w:t>
      </w:r>
      <w:hyperlink r:id="rId1">
        <w:r w:rsidRPr="00991683">
          <w:rPr>
            <w:rFonts w:asciiTheme="majorHAnsi" w:eastAsia="Calibri" w:hAnsiTheme="majorHAnsi" w:cstheme="majorHAnsi"/>
            <w:color w:val="0563C1"/>
            <w:sz w:val="18"/>
            <w:szCs w:val="18"/>
            <w:u w:val="single"/>
          </w:rPr>
          <w:t>https://www.undp.org/sites/g/files/zskgke326/files/2021-11/undp-unwomen-covid19-global-regional-factsheet-2020-en-v4.pdf</w:t>
        </w:r>
      </w:hyperlink>
      <w:r w:rsidRPr="00991683">
        <w:rPr>
          <w:rFonts w:asciiTheme="majorHAnsi" w:eastAsia="Calibri" w:hAnsiTheme="majorHAnsi" w:cstheme="majorHAnsi"/>
          <w:color w:val="000000"/>
          <w:sz w:val="18"/>
          <w:szCs w:val="18"/>
        </w:rPr>
        <w:t xml:space="preserve"> </w:t>
      </w:r>
    </w:p>
  </w:footnote>
  <w:footnote w:id="2">
    <w:p w14:paraId="70913AA2" w14:textId="77777777" w:rsidR="008A14C3" w:rsidRPr="008A14C3" w:rsidRDefault="008A14C3" w:rsidP="008A14C3">
      <w:pPr>
        <w:jc w:val="both"/>
        <w:rPr>
          <w:rFonts w:ascii="Roboto" w:hAnsi="Roboto"/>
          <w:color w:val="0563C1"/>
          <w:sz w:val="18"/>
          <w:szCs w:val="18"/>
          <w:u w:val="single"/>
          <w:lang w:val="en-US"/>
        </w:rPr>
      </w:pPr>
      <w:r w:rsidRPr="008A14C3">
        <w:rPr>
          <w:rStyle w:val="FootnoteReference"/>
          <w:rFonts w:ascii="Roboto" w:hAnsi="Roboto"/>
          <w:sz w:val="18"/>
          <w:szCs w:val="18"/>
        </w:rPr>
        <w:footnoteRef/>
      </w:r>
      <w:r w:rsidRPr="008A14C3">
        <w:rPr>
          <w:rFonts w:ascii="Roboto" w:hAnsi="Roboto"/>
          <w:sz w:val="18"/>
          <w:szCs w:val="18"/>
        </w:rPr>
        <w:t xml:space="preserve"> </w:t>
      </w:r>
      <w:r w:rsidRPr="008A14C3">
        <w:rPr>
          <w:rFonts w:ascii="Roboto" w:hAnsi="Roboto"/>
          <w:sz w:val="18"/>
          <w:szCs w:val="18"/>
          <w:lang w:val="en-US"/>
        </w:rPr>
        <w:t>Source: Adapted from recommendations of UNECE. 2022. Energy Transition and post-COVID-19 Socio-Economic Recovery: Role of Women and Impact on Them</w:t>
      </w:r>
      <w:hyperlink r:id="rId2">
        <w:r w:rsidRPr="008A14C3">
          <w:rPr>
            <w:rFonts w:ascii="Roboto" w:hAnsi="Roboto"/>
            <w:sz w:val="18"/>
            <w:szCs w:val="18"/>
            <w:lang w:val="en-US"/>
          </w:rPr>
          <w:t xml:space="preserve"> </w:t>
        </w:r>
      </w:hyperlink>
      <w:hyperlink r:id="rId3">
        <w:r w:rsidRPr="008A14C3">
          <w:rPr>
            <w:rFonts w:ascii="Roboto" w:hAnsi="Roboto"/>
            <w:color w:val="0563C1"/>
            <w:sz w:val="18"/>
            <w:szCs w:val="18"/>
            <w:u w:val="single"/>
            <w:lang w:val="en-US"/>
          </w:rPr>
          <w:t>https://unece.org/sites/default/files/2022-01/Energy-Transition_Role-of-women-in-Post-COVID19.pdf</w:t>
        </w:r>
      </w:hyperlink>
    </w:p>
    <w:p w14:paraId="2C19577E" w14:textId="0E834C65" w:rsidR="008A14C3" w:rsidRPr="008A14C3" w:rsidRDefault="008A14C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3A09" w14:textId="6025E20C" w:rsidR="0076501E" w:rsidRDefault="0076501E">
    <w:pPr>
      <w:pStyle w:val="Header"/>
    </w:pPr>
    <w:r w:rsidRPr="0076501E">
      <w:rPr>
        <w:noProof/>
      </w:rPr>
      <w:drawing>
        <wp:anchor distT="0" distB="0" distL="114300" distR="114300" simplePos="0" relativeHeight="251658240" behindDoc="0" locked="0" layoutInCell="1" allowOverlap="1" wp14:anchorId="285DBE54" wp14:editId="03728D6C">
          <wp:simplePos x="0" y="0"/>
          <wp:positionH relativeFrom="column">
            <wp:posOffset>1079500</wp:posOffset>
          </wp:positionH>
          <wp:positionV relativeFrom="paragraph">
            <wp:posOffset>-284480</wp:posOffset>
          </wp:positionV>
          <wp:extent cx="3402965" cy="748665"/>
          <wp:effectExtent l="0" t="0" r="635" b="635"/>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2965" cy="748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26C2"/>
    <w:multiLevelType w:val="multilevel"/>
    <w:tmpl w:val="36EC8B84"/>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786"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1" w15:restartNumberingAfterBreak="0">
    <w:nsid w:val="53855926"/>
    <w:multiLevelType w:val="multilevel"/>
    <w:tmpl w:val="BE0C6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6098767">
    <w:abstractNumId w:val="1"/>
  </w:num>
  <w:num w:numId="2" w16cid:durableId="3729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36"/>
    <w:rsid w:val="000327CD"/>
    <w:rsid w:val="00041387"/>
    <w:rsid w:val="00084F3E"/>
    <w:rsid w:val="00107A59"/>
    <w:rsid w:val="00127E5D"/>
    <w:rsid w:val="00147E35"/>
    <w:rsid w:val="00156FAA"/>
    <w:rsid w:val="001D477E"/>
    <w:rsid w:val="001E3009"/>
    <w:rsid w:val="00291A67"/>
    <w:rsid w:val="002B37E7"/>
    <w:rsid w:val="002E0EA7"/>
    <w:rsid w:val="003E6910"/>
    <w:rsid w:val="00404C7A"/>
    <w:rsid w:val="00526686"/>
    <w:rsid w:val="00527636"/>
    <w:rsid w:val="005A21F0"/>
    <w:rsid w:val="0060450C"/>
    <w:rsid w:val="0062262B"/>
    <w:rsid w:val="00645095"/>
    <w:rsid w:val="0066324A"/>
    <w:rsid w:val="00747574"/>
    <w:rsid w:val="0076242C"/>
    <w:rsid w:val="0076501E"/>
    <w:rsid w:val="007E2988"/>
    <w:rsid w:val="008A14C3"/>
    <w:rsid w:val="00AC29AA"/>
    <w:rsid w:val="00AC30CC"/>
    <w:rsid w:val="00B065A6"/>
    <w:rsid w:val="00B11F13"/>
    <w:rsid w:val="00B91BB9"/>
    <w:rsid w:val="00B95068"/>
    <w:rsid w:val="00BB25E1"/>
    <w:rsid w:val="00BD6036"/>
    <w:rsid w:val="00C02248"/>
    <w:rsid w:val="00C56056"/>
    <w:rsid w:val="00CC648F"/>
    <w:rsid w:val="00CD17EA"/>
    <w:rsid w:val="00D54803"/>
    <w:rsid w:val="00DA5DCA"/>
    <w:rsid w:val="00E30889"/>
    <w:rsid w:val="00E417EC"/>
    <w:rsid w:val="00E76FB0"/>
    <w:rsid w:val="00E80447"/>
    <w:rsid w:val="00F6185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5A8A5"/>
  <w15:chartTrackingRefBased/>
  <w15:docId w15:val="{5F2C3372-D1C4-4441-8870-9C8A57F7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01E"/>
    <w:pPr>
      <w:tabs>
        <w:tab w:val="center" w:pos="4513"/>
        <w:tab w:val="right" w:pos="9026"/>
      </w:tabs>
    </w:pPr>
  </w:style>
  <w:style w:type="character" w:customStyle="1" w:styleId="HeaderChar">
    <w:name w:val="Header Char"/>
    <w:basedOn w:val="DefaultParagraphFont"/>
    <w:link w:val="Header"/>
    <w:uiPriority w:val="99"/>
    <w:rsid w:val="0076501E"/>
    <w:rPr>
      <w:lang w:val="en-GB"/>
    </w:rPr>
  </w:style>
  <w:style w:type="paragraph" w:styleId="Footer">
    <w:name w:val="footer"/>
    <w:basedOn w:val="Normal"/>
    <w:link w:val="FooterChar"/>
    <w:uiPriority w:val="99"/>
    <w:unhideWhenUsed/>
    <w:rsid w:val="0076501E"/>
    <w:pPr>
      <w:tabs>
        <w:tab w:val="center" w:pos="4513"/>
        <w:tab w:val="right" w:pos="9026"/>
      </w:tabs>
    </w:pPr>
  </w:style>
  <w:style w:type="character" w:customStyle="1" w:styleId="FooterChar">
    <w:name w:val="Footer Char"/>
    <w:basedOn w:val="DefaultParagraphFont"/>
    <w:link w:val="Footer"/>
    <w:uiPriority w:val="99"/>
    <w:rsid w:val="0076501E"/>
    <w:rPr>
      <w:lang w:val="en-GB"/>
    </w:rPr>
  </w:style>
  <w:style w:type="character" w:styleId="CommentReference">
    <w:name w:val="annotation reference"/>
    <w:basedOn w:val="DefaultParagraphFont"/>
    <w:uiPriority w:val="99"/>
    <w:semiHidden/>
    <w:unhideWhenUsed/>
    <w:rsid w:val="00E80447"/>
    <w:rPr>
      <w:sz w:val="16"/>
      <w:szCs w:val="16"/>
    </w:rPr>
  </w:style>
  <w:style w:type="paragraph" w:styleId="CommentText">
    <w:name w:val="annotation text"/>
    <w:basedOn w:val="Normal"/>
    <w:link w:val="CommentTextChar"/>
    <w:uiPriority w:val="99"/>
    <w:unhideWhenUsed/>
    <w:rsid w:val="00E80447"/>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E80447"/>
    <w:rPr>
      <w:rFonts w:ascii="Times New Roman" w:eastAsia="Times New Roman" w:hAnsi="Times New Roman" w:cs="Times New Roman"/>
      <w:sz w:val="20"/>
      <w:szCs w:val="20"/>
      <w:lang w:val="en-GB" w:eastAsia="en-GB"/>
    </w:rPr>
  </w:style>
  <w:style w:type="paragraph" w:styleId="Revision">
    <w:name w:val="Revision"/>
    <w:hidden/>
    <w:uiPriority w:val="99"/>
    <w:semiHidden/>
    <w:rsid w:val="00127E5D"/>
    <w:rPr>
      <w:lang w:val="en-GB"/>
    </w:rPr>
  </w:style>
  <w:style w:type="character" w:styleId="Hyperlink">
    <w:name w:val="Hyperlink"/>
    <w:basedOn w:val="DefaultParagraphFont"/>
    <w:uiPriority w:val="99"/>
    <w:unhideWhenUsed/>
    <w:rsid w:val="00B11F13"/>
    <w:rPr>
      <w:color w:val="0563C1" w:themeColor="hyperlink"/>
      <w:u w:val="single"/>
    </w:rPr>
  </w:style>
  <w:style w:type="character" w:styleId="UnresolvedMention">
    <w:name w:val="Unresolved Mention"/>
    <w:basedOn w:val="DefaultParagraphFont"/>
    <w:uiPriority w:val="99"/>
    <w:semiHidden/>
    <w:unhideWhenUsed/>
    <w:rsid w:val="00B11F13"/>
    <w:rPr>
      <w:color w:val="605E5C"/>
      <w:shd w:val="clear" w:color="auto" w:fill="E1DFDD"/>
    </w:rPr>
  </w:style>
  <w:style w:type="paragraph" w:styleId="FootnoteText">
    <w:name w:val="footnote text"/>
    <w:basedOn w:val="Normal"/>
    <w:link w:val="FootnoteTextChar"/>
    <w:uiPriority w:val="99"/>
    <w:semiHidden/>
    <w:unhideWhenUsed/>
    <w:rsid w:val="008A14C3"/>
    <w:rPr>
      <w:sz w:val="20"/>
      <w:szCs w:val="20"/>
    </w:rPr>
  </w:style>
  <w:style w:type="character" w:customStyle="1" w:styleId="FootnoteTextChar">
    <w:name w:val="Footnote Text Char"/>
    <w:basedOn w:val="DefaultParagraphFont"/>
    <w:link w:val="FootnoteText"/>
    <w:uiPriority w:val="99"/>
    <w:semiHidden/>
    <w:rsid w:val="008A14C3"/>
    <w:rPr>
      <w:sz w:val="20"/>
      <w:szCs w:val="20"/>
      <w:lang w:val="en-GB"/>
    </w:rPr>
  </w:style>
  <w:style w:type="character" w:styleId="FootnoteReference">
    <w:name w:val="footnote reference"/>
    <w:aliases w:val="ftref,Footnote Reference Number,16 Point,Superscript 6 Point,Footnote Reference1,heading1, BVI fnr,BVI fnr"/>
    <w:basedOn w:val="DefaultParagraphFont"/>
    <w:uiPriority w:val="99"/>
    <w:unhideWhenUsed/>
    <w:qFormat/>
    <w:rsid w:val="008A14C3"/>
    <w:rPr>
      <w:vertAlign w:val="superscript"/>
    </w:rPr>
  </w:style>
  <w:style w:type="paragraph" w:styleId="CommentSubject">
    <w:name w:val="annotation subject"/>
    <w:basedOn w:val="CommentText"/>
    <w:next w:val="CommentText"/>
    <w:link w:val="CommentSubjectChar"/>
    <w:uiPriority w:val="99"/>
    <w:semiHidden/>
    <w:unhideWhenUsed/>
    <w:rsid w:val="00AC29AA"/>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C29AA"/>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mcmedicine.biomedcentral.com/articles/10.1186/s12916-016-064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greengrowthknowledge.org/working-group/gender" TargetMode="External"/><Relationship Id="rId10" Type="http://schemas.openxmlformats.org/officeDocument/2006/relationships/hyperlink" Target="https://bmcmedicine.biomedcentral.com/articles/10.1186/s12916-016-064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eengrowthknowledge.org/working-group/gend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unece.org/sites/default/files/2022-01/Energy-Transition_Role-of-women-in-Post-COVID19.pdf" TargetMode="External"/><Relationship Id="rId2" Type="http://schemas.openxmlformats.org/officeDocument/2006/relationships/hyperlink" Target="https://unece.org/sites/default/files/2022-01/Energy-Transition_Role-of-women-in-Post-COVID19.pdf" TargetMode="External"/><Relationship Id="rId1" Type="http://schemas.openxmlformats.org/officeDocument/2006/relationships/hyperlink" Target="https://www.undp.org/sites/g/files/zskgke326/files/2021-11/undp-unwomen-covid19-global-regional-factsheet-2020-en-v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5F46-B7B8-3A4F-A67F-DA863928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Sohna Ngum</dc:creator>
  <cp:keywords/>
  <dc:description/>
  <cp:lastModifiedBy>Clara Mottura</cp:lastModifiedBy>
  <cp:revision>2</cp:revision>
  <dcterms:created xsi:type="dcterms:W3CDTF">2022-06-23T10:40:00Z</dcterms:created>
  <dcterms:modified xsi:type="dcterms:W3CDTF">2022-06-23T10:40:00Z</dcterms:modified>
</cp:coreProperties>
</file>