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3A320" w14:textId="2785CED1" w:rsidR="00F3536C" w:rsidRPr="00A4272B" w:rsidRDefault="00F3536C" w:rsidP="000657A0">
      <w:pPr>
        <w:spacing w:after="240"/>
        <w:rPr>
          <w:rFonts w:ascii="Times New Roman Bold" w:hAnsi="Times New Roman Bold" w:hint="eastAsia"/>
          <w:sz w:val="28"/>
          <w:szCs w:val="28"/>
          <w:lang w:val="en-US"/>
        </w:rPr>
      </w:pPr>
    </w:p>
    <w:p w14:paraId="391206D4" w14:textId="77777777" w:rsidR="000657A0" w:rsidRPr="00A4272B" w:rsidRDefault="000657A0" w:rsidP="000657A0">
      <w:pPr>
        <w:spacing w:after="240"/>
        <w:rPr>
          <w:rFonts w:ascii="Times New Roman Bold" w:hAnsi="Times New Roman Bold" w:hint="eastAsia"/>
          <w:sz w:val="28"/>
          <w:szCs w:val="28"/>
          <w:lang w:val="en-US"/>
        </w:rPr>
      </w:pPr>
    </w:p>
    <w:p w14:paraId="2EED9BF1" w14:textId="77777777" w:rsidR="000657A0" w:rsidRPr="00A4272B" w:rsidRDefault="000657A0" w:rsidP="000657A0">
      <w:pPr>
        <w:spacing w:after="240"/>
        <w:rPr>
          <w:rFonts w:ascii="Times New Roman Bold" w:hAnsi="Times New Roman Bold" w:hint="eastAsia"/>
          <w:sz w:val="28"/>
          <w:szCs w:val="28"/>
          <w:lang w:val="en-US"/>
        </w:rPr>
      </w:pPr>
    </w:p>
    <w:p w14:paraId="289BC6DD" w14:textId="77777777" w:rsidR="000657A0" w:rsidRPr="00A4272B" w:rsidRDefault="000657A0" w:rsidP="000657A0">
      <w:pPr>
        <w:spacing w:after="240"/>
        <w:rPr>
          <w:rFonts w:ascii="Times New Roman Bold" w:hAnsi="Times New Roman Bold" w:hint="eastAsia"/>
          <w:sz w:val="28"/>
          <w:szCs w:val="28"/>
          <w:lang w:val="en-US"/>
        </w:rPr>
      </w:pPr>
    </w:p>
    <w:p w14:paraId="6B282A43" w14:textId="77777777" w:rsidR="000657A0" w:rsidRPr="00A4272B" w:rsidRDefault="000657A0" w:rsidP="000657A0">
      <w:pPr>
        <w:spacing w:after="240"/>
        <w:rPr>
          <w:rFonts w:ascii="Times New Roman Bold" w:hAnsi="Times New Roman Bold" w:hint="eastAsia"/>
          <w:sz w:val="28"/>
          <w:szCs w:val="28"/>
          <w:lang w:val="en-US"/>
        </w:rPr>
      </w:pPr>
    </w:p>
    <w:p w14:paraId="5CE5BC8B" w14:textId="66CF7FFA" w:rsidR="00F3536C" w:rsidRPr="00A4272B" w:rsidRDefault="00474928" w:rsidP="00F3536C">
      <w:pPr>
        <w:spacing w:before="120"/>
        <w:jc w:val="center"/>
        <w:rPr>
          <w:rFonts w:ascii="Times New Roman Bold" w:hAnsi="Times New Roman Bold" w:hint="eastAsia"/>
          <w:b/>
          <w:bCs/>
          <w:sz w:val="48"/>
          <w:szCs w:val="48"/>
          <w:lang w:val="en-US"/>
        </w:rPr>
      </w:pPr>
      <w:r w:rsidRPr="00A4272B">
        <w:rPr>
          <w:rFonts w:ascii="Times New Roman Bold" w:hAnsi="Times New Roman Bold"/>
          <w:b/>
          <w:bCs/>
          <w:sz w:val="48"/>
          <w:szCs w:val="48"/>
          <w:lang w:val="en-US"/>
        </w:rPr>
        <w:t>G</w:t>
      </w:r>
      <w:r w:rsidR="00F3536C" w:rsidRPr="00A4272B">
        <w:rPr>
          <w:rFonts w:ascii="Times New Roman Bold" w:hAnsi="Times New Roman Bold"/>
          <w:b/>
          <w:bCs/>
          <w:sz w:val="48"/>
          <w:szCs w:val="48"/>
          <w:lang w:val="en-US"/>
        </w:rPr>
        <w:t xml:space="preserve">uidance on the Global Monitoring Plan for </w:t>
      </w:r>
      <w:r w:rsidRPr="00A4272B">
        <w:rPr>
          <w:rFonts w:ascii="Times New Roman Bold" w:hAnsi="Times New Roman Bold"/>
          <w:b/>
          <w:bCs/>
          <w:sz w:val="48"/>
          <w:szCs w:val="48"/>
          <w:lang w:val="en-US"/>
        </w:rPr>
        <w:t>P</w:t>
      </w:r>
      <w:r w:rsidR="00F3536C" w:rsidRPr="00A4272B">
        <w:rPr>
          <w:rFonts w:ascii="Times New Roman Bold" w:hAnsi="Times New Roman Bold"/>
          <w:b/>
          <w:bCs/>
          <w:sz w:val="48"/>
          <w:szCs w:val="48"/>
          <w:lang w:val="en-US"/>
        </w:rPr>
        <w:t xml:space="preserve">ersistent </w:t>
      </w:r>
      <w:r w:rsidRPr="00A4272B">
        <w:rPr>
          <w:rFonts w:ascii="Times New Roman Bold" w:hAnsi="Times New Roman Bold"/>
          <w:b/>
          <w:bCs/>
          <w:sz w:val="48"/>
          <w:szCs w:val="48"/>
          <w:lang w:val="en-US"/>
        </w:rPr>
        <w:t>O</w:t>
      </w:r>
      <w:r w:rsidR="00F3536C" w:rsidRPr="00A4272B">
        <w:rPr>
          <w:rFonts w:ascii="Times New Roman Bold" w:hAnsi="Times New Roman Bold"/>
          <w:b/>
          <w:bCs/>
          <w:sz w:val="48"/>
          <w:szCs w:val="48"/>
          <w:lang w:val="en-US"/>
        </w:rPr>
        <w:t xml:space="preserve">rganic </w:t>
      </w:r>
      <w:r w:rsidRPr="00A4272B">
        <w:rPr>
          <w:rFonts w:ascii="Times New Roman Bold" w:hAnsi="Times New Roman Bold"/>
          <w:b/>
          <w:bCs/>
          <w:sz w:val="48"/>
          <w:szCs w:val="48"/>
          <w:lang w:val="en-US"/>
        </w:rPr>
        <w:t>P</w:t>
      </w:r>
      <w:r w:rsidR="00F3536C" w:rsidRPr="00A4272B">
        <w:rPr>
          <w:rFonts w:ascii="Times New Roman Bold" w:hAnsi="Times New Roman Bold"/>
          <w:b/>
          <w:bCs/>
          <w:sz w:val="48"/>
          <w:szCs w:val="48"/>
          <w:lang w:val="en-US"/>
        </w:rPr>
        <w:t>ollutants</w:t>
      </w:r>
    </w:p>
    <w:p w14:paraId="287F68C9" w14:textId="77777777" w:rsidR="005C4E39" w:rsidRPr="00A4272B" w:rsidRDefault="005C4E39" w:rsidP="00F3536C">
      <w:pPr>
        <w:spacing w:before="120"/>
        <w:jc w:val="center"/>
        <w:rPr>
          <w:rFonts w:ascii="Times New Roman Bold" w:hAnsi="Times New Roman Bold" w:hint="eastAsia"/>
          <w:b/>
          <w:bCs/>
          <w:sz w:val="48"/>
          <w:szCs w:val="48"/>
          <w:lang w:val="en-US"/>
        </w:rPr>
      </w:pPr>
    </w:p>
    <w:p w14:paraId="4CCF7C16" w14:textId="77777777" w:rsidR="005C4E39" w:rsidRPr="00A4272B" w:rsidRDefault="005C4E39" w:rsidP="00F3536C">
      <w:pPr>
        <w:spacing w:before="120"/>
        <w:jc w:val="center"/>
        <w:rPr>
          <w:rFonts w:ascii="Times New Roman Bold" w:hAnsi="Times New Roman Bold" w:hint="eastAsia"/>
          <w:b/>
          <w:bCs/>
          <w:sz w:val="48"/>
          <w:szCs w:val="48"/>
          <w:lang w:val="en-US"/>
        </w:rPr>
      </w:pPr>
    </w:p>
    <w:p w14:paraId="58FF12E6" w14:textId="539B9ABE" w:rsidR="005C4E39" w:rsidRPr="00A4272B" w:rsidRDefault="00B00373" w:rsidP="00F3536C">
      <w:pPr>
        <w:spacing w:before="120"/>
        <w:jc w:val="center"/>
        <w:rPr>
          <w:rFonts w:ascii="Times New Roman Bold" w:hAnsi="Times New Roman Bold" w:hint="eastAsia"/>
          <w:b/>
          <w:bCs/>
          <w:sz w:val="48"/>
          <w:szCs w:val="48"/>
          <w:lang w:val="en-US"/>
        </w:rPr>
      </w:pPr>
      <w:r w:rsidRPr="00A4272B">
        <w:rPr>
          <w:rFonts w:ascii="Times New Roman Bold" w:hAnsi="Times New Roman Bold"/>
          <w:b/>
          <w:bCs/>
          <w:sz w:val="48"/>
          <w:szCs w:val="48"/>
          <w:lang w:val="en-US"/>
        </w:rPr>
        <w:t>January 2025</w:t>
      </w:r>
    </w:p>
    <w:p w14:paraId="0E7CAD51" w14:textId="77777777" w:rsidR="005C4E39" w:rsidRPr="00A4272B" w:rsidRDefault="005C4E39" w:rsidP="00F3536C">
      <w:pPr>
        <w:spacing w:before="120"/>
        <w:jc w:val="center"/>
        <w:rPr>
          <w:rFonts w:ascii="Times New Roman Bold" w:hAnsi="Times New Roman Bold" w:hint="eastAsia"/>
          <w:b/>
          <w:bCs/>
          <w:sz w:val="48"/>
          <w:szCs w:val="48"/>
          <w:lang w:val="en-US"/>
        </w:rPr>
      </w:pPr>
    </w:p>
    <w:p w14:paraId="2308D1E9" w14:textId="77777777" w:rsidR="005C4E39" w:rsidRPr="00A4272B" w:rsidRDefault="005C4E39" w:rsidP="00F3536C">
      <w:pPr>
        <w:spacing w:before="120"/>
        <w:jc w:val="center"/>
        <w:rPr>
          <w:rFonts w:ascii="Times New Roman Bold" w:hAnsi="Times New Roman Bold" w:hint="eastAsia"/>
          <w:b/>
          <w:bCs/>
          <w:sz w:val="48"/>
          <w:szCs w:val="48"/>
          <w:lang w:val="en-US"/>
        </w:rPr>
      </w:pPr>
    </w:p>
    <w:p w14:paraId="00CB8D46" w14:textId="77777777" w:rsidR="005C4E39" w:rsidRPr="00A4272B" w:rsidRDefault="005C4E39" w:rsidP="00F3536C">
      <w:pPr>
        <w:spacing w:before="120"/>
        <w:jc w:val="center"/>
        <w:rPr>
          <w:b/>
          <w:bCs/>
          <w:caps/>
          <w:color w:val="4D4D4D"/>
          <w:sz w:val="48"/>
          <w:szCs w:val="48"/>
          <w:lang w:val="en-US"/>
        </w:rPr>
      </w:pPr>
    </w:p>
    <w:p w14:paraId="25F1206A" w14:textId="17FC5668" w:rsidR="005416BE" w:rsidRPr="00A4272B" w:rsidRDefault="00F3536C" w:rsidP="002A04E0">
      <w:pPr>
        <w:pStyle w:val="GMPHeading1"/>
        <w:rPr>
          <w:rFonts w:ascii="Times New&#10; Roman" w:hAnsi="Times New&#10; Roman" w:hint="eastAsia"/>
          <w:lang w:eastAsia="ja-JP"/>
        </w:rPr>
      </w:pPr>
      <w:r w:rsidRPr="00A4272B">
        <w:br w:type="page"/>
      </w:r>
    </w:p>
    <w:p w14:paraId="16E2008E" w14:textId="468B811D" w:rsidR="00F3536C" w:rsidRPr="00A4272B" w:rsidRDefault="00F3536C" w:rsidP="000F54C1">
      <w:pPr>
        <w:adjustRightInd w:val="0"/>
        <w:rPr>
          <w:lang w:val="en-US"/>
        </w:rPr>
      </w:pPr>
      <w:r w:rsidRPr="00A4272B">
        <w:rPr>
          <w:rFonts w:ascii="Times New&#10; Roman" w:hAnsi="Times New&#10; Roman"/>
          <w:lang w:val="en-US" w:eastAsia="ja-JP"/>
        </w:rPr>
        <w:lastRenderedPageBreak/>
        <w:t xml:space="preserve"> </w:t>
      </w:r>
    </w:p>
    <w:p w14:paraId="5134E894" w14:textId="30984CFD" w:rsidR="00F3536C" w:rsidRPr="00A4272B" w:rsidRDefault="00F3536C" w:rsidP="00F3536C">
      <w:pPr>
        <w:autoSpaceDE w:val="0"/>
        <w:autoSpaceDN w:val="0"/>
        <w:adjustRightInd w:val="0"/>
        <w:ind w:left="1247"/>
        <w:rPr>
          <w:b/>
          <w:sz w:val="28"/>
          <w:szCs w:val="28"/>
          <w:lang w:val="en-US"/>
        </w:rPr>
      </w:pPr>
      <w:r w:rsidRPr="00A4272B">
        <w:rPr>
          <w:b/>
          <w:sz w:val="28"/>
          <w:szCs w:val="28"/>
          <w:lang w:val="en-US"/>
        </w:rPr>
        <w:t>T</w:t>
      </w:r>
      <w:r w:rsidR="00474928" w:rsidRPr="00A4272B">
        <w:rPr>
          <w:b/>
          <w:sz w:val="28"/>
          <w:szCs w:val="28"/>
          <w:lang w:val="en-US"/>
        </w:rPr>
        <w:t>able of Contents</w:t>
      </w:r>
    </w:p>
    <w:p w14:paraId="3893FF03" w14:textId="6D8868D8" w:rsidR="005416BE" w:rsidRPr="00A4272B" w:rsidRDefault="00F3536C">
      <w:pPr>
        <w:pStyle w:val="TOC1"/>
        <w:rPr>
          <w:rFonts w:asciiTheme="minorHAnsi" w:eastAsiaTheme="minorEastAsia" w:hAnsiTheme="minorHAnsi" w:cstheme="minorBidi"/>
          <w:bCs w:val="0"/>
          <w:noProof/>
          <w:kern w:val="2"/>
          <w:sz w:val="24"/>
          <w:szCs w:val="24"/>
          <w:lang w:val="en-US" w:eastAsia="ja-JP"/>
          <w14:ligatures w14:val="standardContextual"/>
        </w:rPr>
      </w:pPr>
      <w:r w:rsidRPr="00A4272B">
        <w:rPr>
          <w:bCs w:val="0"/>
          <w:lang w:val="en-US"/>
        </w:rPr>
        <w:fldChar w:fldCharType="begin"/>
      </w:r>
      <w:r w:rsidRPr="00A4272B">
        <w:rPr>
          <w:bCs w:val="0"/>
          <w:lang w:val="en-US"/>
        </w:rPr>
        <w:instrText xml:space="preserve"> TOC \o "1-3" \h \z </w:instrText>
      </w:r>
      <w:r w:rsidRPr="00A4272B">
        <w:rPr>
          <w:bCs w:val="0"/>
          <w:lang w:val="en-US"/>
        </w:rPr>
        <w:fldChar w:fldCharType="separate"/>
      </w:r>
      <w:hyperlink w:anchor="_Toc187270462" w:history="1">
        <w:r w:rsidR="005416BE" w:rsidRPr="00A4272B">
          <w:rPr>
            <w:rStyle w:val="Hyperlink"/>
            <w:noProof/>
            <w:lang w:val="en-US"/>
          </w:rPr>
          <w:t>Acknowledgement</w:t>
        </w:r>
        <w:r w:rsidR="005416BE" w:rsidRPr="00A4272B">
          <w:rPr>
            <w:noProof/>
            <w:webHidden/>
            <w:lang w:val="en-US"/>
          </w:rPr>
          <w:tab/>
        </w:r>
        <w:r w:rsidR="005416BE" w:rsidRPr="00A4272B">
          <w:rPr>
            <w:noProof/>
            <w:webHidden/>
            <w:lang w:val="en-US"/>
          </w:rPr>
          <w:fldChar w:fldCharType="begin"/>
        </w:r>
        <w:r w:rsidR="005416BE" w:rsidRPr="00A4272B">
          <w:rPr>
            <w:noProof/>
            <w:webHidden/>
            <w:lang w:val="en-US"/>
          </w:rPr>
          <w:instrText xml:space="preserve"> PAGEREF _Toc187270462 \h </w:instrText>
        </w:r>
        <w:r w:rsidR="005416BE" w:rsidRPr="00A4272B">
          <w:rPr>
            <w:noProof/>
            <w:webHidden/>
            <w:lang w:val="en-US"/>
          </w:rPr>
        </w:r>
        <w:r w:rsidR="005416BE" w:rsidRPr="00A4272B">
          <w:rPr>
            <w:noProof/>
            <w:webHidden/>
            <w:lang w:val="en-US"/>
          </w:rPr>
          <w:fldChar w:fldCharType="separate"/>
        </w:r>
        <w:r w:rsidR="00B25CD5">
          <w:rPr>
            <w:noProof/>
            <w:webHidden/>
            <w:lang w:val="en-US"/>
          </w:rPr>
          <w:t>5</w:t>
        </w:r>
        <w:r w:rsidR="005416BE" w:rsidRPr="00A4272B">
          <w:rPr>
            <w:noProof/>
            <w:webHidden/>
            <w:lang w:val="en-US"/>
          </w:rPr>
          <w:fldChar w:fldCharType="end"/>
        </w:r>
      </w:hyperlink>
    </w:p>
    <w:p w14:paraId="20AAE7C4" w14:textId="7D0875E4"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463" w:history="1">
        <w:r w:rsidRPr="00A4272B">
          <w:rPr>
            <w:rStyle w:val="Hyperlink"/>
            <w:noProof/>
            <w:lang w:val="en-US"/>
          </w:rPr>
          <w:t>List of abbreviations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_Toc187270463 \h </w:instrText>
        </w:r>
        <w:r w:rsidRPr="00A4272B">
          <w:rPr>
            <w:noProof/>
            <w:webHidden/>
            <w:lang w:val="en-US"/>
          </w:rPr>
        </w:r>
        <w:r w:rsidRPr="00A4272B">
          <w:rPr>
            <w:noProof/>
            <w:webHidden/>
            <w:lang w:val="en-US"/>
          </w:rPr>
          <w:fldChar w:fldCharType="separate"/>
        </w:r>
        <w:r w:rsidR="00B25CD5">
          <w:rPr>
            <w:noProof/>
            <w:webHidden/>
            <w:lang w:val="en-US"/>
          </w:rPr>
          <w:t>6</w:t>
        </w:r>
        <w:r w:rsidRPr="00A4272B">
          <w:rPr>
            <w:noProof/>
            <w:webHidden/>
            <w:lang w:val="en-US"/>
          </w:rPr>
          <w:fldChar w:fldCharType="end"/>
        </w:r>
      </w:hyperlink>
    </w:p>
    <w:p w14:paraId="5789FD3A" w14:textId="35CE7EF3"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464" w:history="1">
        <w:r w:rsidRPr="00A4272B">
          <w:rPr>
            <w:rStyle w:val="Hyperlink"/>
            <w:noProof/>
            <w:lang w:val="en-US"/>
          </w:rPr>
          <w:t>Glossary of terms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_Toc187270464 \h </w:instrText>
        </w:r>
        <w:r w:rsidRPr="00A4272B">
          <w:rPr>
            <w:noProof/>
            <w:webHidden/>
            <w:lang w:val="en-US"/>
          </w:rPr>
        </w:r>
        <w:r w:rsidRPr="00A4272B">
          <w:rPr>
            <w:noProof/>
            <w:webHidden/>
            <w:lang w:val="en-US"/>
          </w:rPr>
          <w:fldChar w:fldCharType="separate"/>
        </w:r>
        <w:r w:rsidR="00B25CD5">
          <w:rPr>
            <w:noProof/>
            <w:webHidden/>
            <w:lang w:val="en-US"/>
          </w:rPr>
          <w:t>8</w:t>
        </w:r>
        <w:r w:rsidRPr="00A4272B">
          <w:rPr>
            <w:noProof/>
            <w:webHidden/>
            <w:lang w:val="en-US"/>
          </w:rPr>
          <w:fldChar w:fldCharType="end"/>
        </w:r>
      </w:hyperlink>
    </w:p>
    <w:p w14:paraId="63C48EA8" w14:textId="3E1800B9"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465" w:history="1">
        <w:r w:rsidRPr="00A4272B">
          <w:rPr>
            <w:rStyle w:val="Hyperlink"/>
            <w:noProof/>
            <w:lang w:val="en-US"/>
          </w:rPr>
          <w:t>1.</w:t>
        </w:r>
        <w:r w:rsidRPr="00A4272B">
          <w:rPr>
            <w:rFonts w:asciiTheme="minorHAnsi" w:eastAsiaTheme="minorEastAsia" w:hAnsiTheme="minorHAnsi" w:cstheme="minorBidi"/>
            <w:bCs w:val="0"/>
            <w:noProof/>
            <w:kern w:val="2"/>
            <w:sz w:val="24"/>
            <w:szCs w:val="24"/>
            <w:lang w:val="en-US" w:eastAsia="ja-JP"/>
            <w14:ligatures w14:val="standardContextual"/>
          </w:rPr>
          <w:tab/>
        </w:r>
        <w:r w:rsidRPr="00A4272B">
          <w:rPr>
            <w:rStyle w:val="Hyperlink"/>
            <w:noProof/>
            <w:lang w:val="en-US"/>
          </w:rPr>
          <w:t>Background and objectives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_Toc187270465 \h </w:instrText>
        </w:r>
        <w:r w:rsidRPr="00A4272B">
          <w:rPr>
            <w:noProof/>
            <w:webHidden/>
            <w:lang w:val="en-US"/>
          </w:rPr>
        </w:r>
        <w:r w:rsidRPr="00A4272B">
          <w:rPr>
            <w:noProof/>
            <w:webHidden/>
            <w:lang w:val="en-US"/>
          </w:rPr>
          <w:fldChar w:fldCharType="separate"/>
        </w:r>
        <w:r w:rsidR="00B25CD5">
          <w:rPr>
            <w:noProof/>
            <w:webHidden/>
            <w:lang w:val="en-US"/>
          </w:rPr>
          <w:t>9</w:t>
        </w:r>
        <w:r w:rsidRPr="00A4272B">
          <w:rPr>
            <w:noProof/>
            <w:webHidden/>
            <w:lang w:val="en-US"/>
          </w:rPr>
          <w:fldChar w:fldCharType="end"/>
        </w:r>
      </w:hyperlink>
    </w:p>
    <w:p w14:paraId="06A1B527" w14:textId="7403B7B8"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66" w:history="1">
        <w:r w:rsidRPr="00A4272B">
          <w:rPr>
            <w:rStyle w:val="Hyperlink"/>
            <w:noProof/>
            <w:lang w:val="en-US"/>
          </w:rPr>
          <w:t>1.1</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Objectives of the Global Monitoring Plan for POPs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_Toc187270466 \h </w:instrText>
        </w:r>
        <w:r w:rsidRPr="00A4272B">
          <w:rPr>
            <w:noProof/>
            <w:webHidden/>
            <w:lang w:val="en-US"/>
          </w:rPr>
        </w:r>
        <w:r w:rsidRPr="00A4272B">
          <w:rPr>
            <w:noProof/>
            <w:webHidden/>
            <w:lang w:val="en-US"/>
          </w:rPr>
          <w:fldChar w:fldCharType="separate"/>
        </w:r>
        <w:r w:rsidR="00B25CD5">
          <w:rPr>
            <w:noProof/>
            <w:webHidden/>
            <w:lang w:val="en-US"/>
          </w:rPr>
          <w:t>9</w:t>
        </w:r>
        <w:r w:rsidRPr="00A4272B">
          <w:rPr>
            <w:noProof/>
            <w:webHidden/>
            <w:lang w:val="en-US"/>
          </w:rPr>
          <w:fldChar w:fldCharType="end"/>
        </w:r>
      </w:hyperlink>
    </w:p>
    <w:p w14:paraId="04AF3EC9" w14:textId="67BA4836"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67" w:history="1">
        <w:r w:rsidRPr="00A4272B">
          <w:rPr>
            <w:rStyle w:val="Hyperlink"/>
            <w:noProof/>
            <w:lang w:val="en-US"/>
          </w:rPr>
          <w:t>1.2</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Objectives of the guidance</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_Toc187270467 \h </w:instrText>
        </w:r>
        <w:r w:rsidRPr="00A4272B">
          <w:rPr>
            <w:noProof/>
            <w:webHidden/>
            <w:lang w:val="en-US"/>
          </w:rPr>
        </w:r>
        <w:r w:rsidRPr="00A4272B">
          <w:rPr>
            <w:noProof/>
            <w:webHidden/>
            <w:lang w:val="en-US"/>
          </w:rPr>
          <w:fldChar w:fldCharType="separate"/>
        </w:r>
        <w:r w:rsidR="00B25CD5">
          <w:rPr>
            <w:noProof/>
            <w:webHidden/>
            <w:lang w:val="en-US"/>
          </w:rPr>
          <w:t>9</w:t>
        </w:r>
        <w:r w:rsidRPr="00A4272B">
          <w:rPr>
            <w:noProof/>
            <w:webHidden/>
            <w:lang w:val="en-US"/>
          </w:rPr>
          <w:fldChar w:fldCharType="end"/>
        </w:r>
      </w:hyperlink>
    </w:p>
    <w:p w14:paraId="52085F8A" w14:textId="35AE76B9"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68" w:history="1">
        <w:r w:rsidRPr="00A4272B">
          <w:rPr>
            <w:rStyle w:val="Hyperlink"/>
            <w:noProof/>
            <w:lang w:val="en-US"/>
          </w:rPr>
          <w:t>1.3</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General principles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_Toc187270468 \h </w:instrText>
        </w:r>
        <w:r w:rsidRPr="00A4272B">
          <w:rPr>
            <w:noProof/>
            <w:webHidden/>
            <w:lang w:val="en-US"/>
          </w:rPr>
        </w:r>
        <w:r w:rsidRPr="00A4272B">
          <w:rPr>
            <w:noProof/>
            <w:webHidden/>
            <w:lang w:val="en-US"/>
          </w:rPr>
          <w:fldChar w:fldCharType="separate"/>
        </w:r>
        <w:r w:rsidR="00B25CD5">
          <w:rPr>
            <w:noProof/>
            <w:webHidden/>
            <w:lang w:val="en-US"/>
          </w:rPr>
          <w:t>10</w:t>
        </w:r>
        <w:r w:rsidRPr="00A4272B">
          <w:rPr>
            <w:noProof/>
            <w:webHidden/>
            <w:lang w:val="en-US"/>
          </w:rPr>
          <w:fldChar w:fldCharType="end"/>
        </w:r>
      </w:hyperlink>
    </w:p>
    <w:p w14:paraId="264605A7" w14:textId="4728B09D"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69" w:history="1">
        <w:r w:rsidRPr="00A4272B">
          <w:rPr>
            <w:rStyle w:val="Hyperlink"/>
            <w:noProof/>
            <w:lang w:val="en-US"/>
          </w:rPr>
          <w:t>1.4</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Sustainability and adaptability of the GMP</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_Toc187270469 \h </w:instrText>
        </w:r>
        <w:r w:rsidRPr="00A4272B">
          <w:rPr>
            <w:noProof/>
            <w:webHidden/>
            <w:lang w:val="en-US"/>
          </w:rPr>
        </w:r>
        <w:r w:rsidRPr="00A4272B">
          <w:rPr>
            <w:noProof/>
            <w:webHidden/>
            <w:lang w:val="en-US"/>
          </w:rPr>
          <w:fldChar w:fldCharType="separate"/>
        </w:r>
        <w:r w:rsidR="00B25CD5">
          <w:rPr>
            <w:noProof/>
            <w:webHidden/>
            <w:lang w:val="en-US"/>
          </w:rPr>
          <w:t>11</w:t>
        </w:r>
        <w:r w:rsidRPr="00A4272B">
          <w:rPr>
            <w:noProof/>
            <w:webHidden/>
            <w:lang w:val="en-US"/>
          </w:rPr>
          <w:fldChar w:fldCharType="end"/>
        </w:r>
      </w:hyperlink>
    </w:p>
    <w:p w14:paraId="6753AD4F" w14:textId="626BCC36"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470" w:history="1">
        <w:r w:rsidRPr="00A4272B">
          <w:rPr>
            <w:rStyle w:val="Hyperlink"/>
            <w:noProof/>
            <w:lang w:val="en-US"/>
          </w:rPr>
          <w:t>2.</w:t>
        </w:r>
        <w:r w:rsidRPr="00A4272B">
          <w:rPr>
            <w:rFonts w:asciiTheme="minorHAnsi" w:eastAsiaTheme="minorEastAsia" w:hAnsiTheme="minorHAnsi" w:cstheme="minorBidi"/>
            <w:bCs w:val="0"/>
            <w:noProof/>
            <w:kern w:val="2"/>
            <w:sz w:val="24"/>
            <w:szCs w:val="24"/>
            <w:lang w:val="en-US" w:eastAsia="ja-JP"/>
            <w14:ligatures w14:val="standardContextual"/>
          </w:rPr>
          <w:tab/>
        </w:r>
        <w:r w:rsidRPr="00A4272B">
          <w:rPr>
            <w:rStyle w:val="Hyperlink"/>
            <w:noProof/>
            <w:lang w:val="en-US"/>
          </w:rPr>
          <w:t>Substances to be monitored</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_Toc187270470 \h </w:instrText>
        </w:r>
        <w:r w:rsidRPr="00A4272B">
          <w:rPr>
            <w:noProof/>
            <w:webHidden/>
            <w:lang w:val="en-US"/>
          </w:rPr>
        </w:r>
        <w:r w:rsidRPr="00A4272B">
          <w:rPr>
            <w:noProof/>
            <w:webHidden/>
            <w:lang w:val="en-US"/>
          </w:rPr>
          <w:fldChar w:fldCharType="separate"/>
        </w:r>
        <w:r w:rsidR="00B25CD5">
          <w:rPr>
            <w:noProof/>
            <w:webHidden/>
            <w:lang w:val="en-US"/>
          </w:rPr>
          <w:t>13</w:t>
        </w:r>
        <w:r w:rsidRPr="00A4272B">
          <w:rPr>
            <w:noProof/>
            <w:webHidden/>
            <w:lang w:val="en-US"/>
          </w:rPr>
          <w:fldChar w:fldCharType="end"/>
        </w:r>
      </w:hyperlink>
    </w:p>
    <w:p w14:paraId="102CA125" w14:textId="0E0A6700"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71" w:history="1">
        <w:r w:rsidRPr="00A4272B">
          <w:rPr>
            <w:rStyle w:val="Hyperlink"/>
            <w:noProof/>
            <w:lang w:val="en-US"/>
          </w:rPr>
          <w:t>2.1</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Recommendations for POPs to be analyzed</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_Toc187270471 \h </w:instrText>
        </w:r>
        <w:r w:rsidRPr="00A4272B">
          <w:rPr>
            <w:noProof/>
            <w:webHidden/>
            <w:lang w:val="en-US"/>
          </w:rPr>
        </w:r>
        <w:r w:rsidRPr="00A4272B">
          <w:rPr>
            <w:noProof/>
            <w:webHidden/>
            <w:lang w:val="en-US"/>
          </w:rPr>
          <w:fldChar w:fldCharType="separate"/>
        </w:r>
        <w:r w:rsidR="00B25CD5">
          <w:rPr>
            <w:noProof/>
            <w:webHidden/>
            <w:lang w:val="en-US"/>
          </w:rPr>
          <w:t>13</w:t>
        </w:r>
        <w:r w:rsidRPr="00A4272B">
          <w:rPr>
            <w:noProof/>
            <w:webHidden/>
            <w:lang w:val="en-US"/>
          </w:rPr>
          <w:fldChar w:fldCharType="end"/>
        </w:r>
      </w:hyperlink>
    </w:p>
    <w:p w14:paraId="1B2EBC12" w14:textId="483530F6"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72" w:history="1">
        <w:r w:rsidRPr="00A4272B">
          <w:rPr>
            <w:rStyle w:val="Hyperlink"/>
            <w:noProof/>
            <w:lang w:val="en-US"/>
          </w:rPr>
          <w:t>2.2</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Recommended reporting format</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_Toc187270472 \h </w:instrText>
        </w:r>
        <w:r w:rsidRPr="00A4272B">
          <w:rPr>
            <w:noProof/>
            <w:webHidden/>
            <w:lang w:val="en-US"/>
          </w:rPr>
        </w:r>
        <w:r w:rsidRPr="00A4272B">
          <w:rPr>
            <w:noProof/>
            <w:webHidden/>
            <w:lang w:val="en-US"/>
          </w:rPr>
          <w:fldChar w:fldCharType="separate"/>
        </w:r>
        <w:r w:rsidR="00B25CD5">
          <w:rPr>
            <w:noProof/>
            <w:webHidden/>
            <w:lang w:val="en-US"/>
          </w:rPr>
          <w:t>20</w:t>
        </w:r>
        <w:r w:rsidRPr="00A4272B">
          <w:rPr>
            <w:noProof/>
            <w:webHidden/>
            <w:lang w:val="en-US"/>
          </w:rPr>
          <w:fldChar w:fldCharType="end"/>
        </w:r>
      </w:hyperlink>
    </w:p>
    <w:p w14:paraId="6AF1B7C8" w14:textId="72BB8E7D"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473" w:history="1">
        <w:r w:rsidRPr="00A4272B">
          <w:rPr>
            <w:rStyle w:val="Hyperlink"/>
            <w:noProof/>
            <w:lang w:val="en-US"/>
          </w:rPr>
          <w:t>3.</w:t>
        </w:r>
        <w:r w:rsidRPr="00A4272B">
          <w:rPr>
            <w:rFonts w:asciiTheme="minorHAnsi" w:eastAsiaTheme="minorEastAsia" w:hAnsiTheme="minorHAnsi" w:cstheme="minorBidi"/>
            <w:bCs w:val="0"/>
            <w:noProof/>
            <w:kern w:val="2"/>
            <w:sz w:val="24"/>
            <w:szCs w:val="24"/>
            <w:lang w:val="en-US" w:eastAsia="ja-JP"/>
            <w14:ligatures w14:val="standardContextual"/>
          </w:rPr>
          <w:tab/>
        </w:r>
        <w:r w:rsidRPr="00A4272B">
          <w:rPr>
            <w:rStyle w:val="Hyperlink"/>
            <w:noProof/>
            <w:lang w:val="en-US"/>
          </w:rPr>
          <w:t>Statistical considerations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_Toc187270473 \h </w:instrText>
        </w:r>
        <w:r w:rsidRPr="00A4272B">
          <w:rPr>
            <w:noProof/>
            <w:webHidden/>
            <w:lang w:val="en-US"/>
          </w:rPr>
        </w:r>
        <w:r w:rsidRPr="00A4272B">
          <w:rPr>
            <w:noProof/>
            <w:webHidden/>
            <w:lang w:val="en-US"/>
          </w:rPr>
          <w:fldChar w:fldCharType="separate"/>
        </w:r>
        <w:r w:rsidR="00B25CD5">
          <w:rPr>
            <w:noProof/>
            <w:webHidden/>
            <w:lang w:val="en-US"/>
          </w:rPr>
          <w:t>21</w:t>
        </w:r>
        <w:r w:rsidRPr="00A4272B">
          <w:rPr>
            <w:noProof/>
            <w:webHidden/>
            <w:lang w:val="en-US"/>
          </w:rPr>
          <w:fldChar w:fldCharType="end"/>
        </w:r>
      </w:hyperlink>
    </w:p>
    <w:p w14:paraId="56246B2A" w14:textId="10AF672F"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74" w:history="1">
        <w:r w:rsidRPr="00A4272B">
          <w:rPr>
            <w:rStyle w:val="Hyperlink"/>
            <w:noProof/>
            <w:lang w:val="en-US"/>
          </w:rPr>
          <w:t>3.1</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Quantitative objectives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_Toc187270474 \h </w:instrText>
        </w:r>
        <w:r w:rsidRPr="00A4272B">
          <w:rPr>
            <w:noProof/>
            <w:webHidden/>
            <w:lang w:val="en-US"/>
          </w:rPr>
        </w:r>
        <w:r w:rsidRPr="00A4272B">
          <w:rPr>
            <w:noProof/>
            <w:webHidden/>
            <w:lang w:val="en-US"/>
          </w:rPr>
          <w:fldChar w:fldCharType="separate"/>
        </w:r>
        <w:r w:rsidR="00B25CD5">
          <w:rPr>
            <w:noProof/>
            <w:webHidden/>
            <w:lang w:val="en-US"/>
          </w:rPr>
          <w:t>21</w:t>
        </w:r>
        <w:r w:rsidRPr="00A4272B">
          <w:rPr>
            <w:noProof/>
            <w:webHidden/>
            <w:lang w:val="en-US"/>
          </w:rPr>
          <w:fldChar w:fldCharType="end"/>
        </w:r>
      </w:hyperlink>
    </w:p>
    <w:p w14:paraId="4E301FAB" w14:textId="6B4679D2"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75" w:history="1">
        <w:r w:rsidRPr="00A4272B">
          <w:rPr>
            <w:rStyle w:val="Hyperlink"/>
            <w:noProof/>
            <w:lang w:val="en-US"/>
          </w:rPr>
          <w:t>3.2</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Statistical methods to be used</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_Toc187270475 \h </w:instrText>
        </w:r>
        <w:r w:rsidRPr="00A4272B">
          <w:rPr>
            <w:noProof/>
            <w:webHidden/>
            <w:lang w:val="en-US"/>
          </w:rPr>
        </w:r>
        <w:r w:rsidRPr="00A4272B">
          <w:rPr>
            <w:noProof/>
            <w:webHidden/>
            <w:lang w:val="en-US"/>
          </w:rPr>
          <w:fldChar w:fldCharType="separate"/>
        </w:r>
        <w:r w:rsidR="00B25CD5">
          <w:rPr>
            <w:noProof/>
            <w:webHidden/>
            <w:lang w:val="en-US"/>
          </w:rPr>
          <w:t>21</w:t>
        </w:r>
        <w:r w:rsidRPr="00A4272B">
          <w:rPr>
            <w:noProof/>
            <w:webHidden/>
            <w:lang w:val="en-US"/>
          </w:rPr>
          <w:fldChar w:fldCharType="end"/>
        </w:r>
      </w:hyperlink>
    </w:p>
    <w:p w14:paraId="273BD52A" w14:textId="0A335997"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76" w:history="1">
        <w:r w:rsidRPr="00A4272B">
          <w:rPr>
            <w:rStyle w:val="Hyperlink"/>
            <w:noProof/>
            <w:lang w:val="en-US"/>
          </w:rPr>
          <w:t>3.3</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Sources of variation</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_Toc187270476 \h </w:instrText>
        </w:r>
        <w:r w:rsidRPr="00A4272B">
          <w:rPr>
            <w:noProof/>
            <w:webHidden/>
            <w:lang w:val="en-US"/>
          </w:rPr>
        </w:r>
        <w:r w:rsidRPr="00A4272B">
          <w:rPr>
            <w:noProof/>
            <w:webHidden/>
            <w:lang w:val="en-US"/>
          </w:rPr>
          <w:fldChar w:fldCharType="separate"/>
        </w:r>
        <w:r w:rsidR="00B25CD5">
          <w:rPr>
            <w:noProof/>
            <w:webHidden/>
            <w:lang w:val="en-US"/>
          </w:rPr>
          <w:t>23</w:t>
        </w:r>
        <w:r w:rsidRPr="00A4272B">
          <w:rPr>
            <w:noProof/>
            <w:webHidden/>
            <w:lang w:val="en-US"/>
          </w:rPr>
          <w:fldChar w:fldCharType="end"/>
        </w:r>
      </w:hyperlink>
    </w:p>
    <w:p w14:paraId="3D6D7144" w14:textId="4E8AADB0"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77" w:history="1">
        <w:r w:rsidRPr="00A4272B">
          <w:rPr>
            <w:rStyle w:val="Hyperlink"/>
            <w:noProof/>
            <w:lang w:val="en-US"/>
          </w:rPr>
          <w:t>3.4</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Length of time-series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_Toc187270477 \h </w:instrText>
        </w:r>
        <w:r w:rsidRPr="00A4272B">
          <w:rPr>
            <w:noProof/>
            <w:webHidden/>
            <w:lang w:val="en-US"/>
          </w:rPr>
        </w:r>
        <w:r w:rsidRPr="00A4272B">
          <w:rPr>
            <w:noProof/>
            <w:webHidden/>
            <w:lang w:val="en-US"/>
          </w:rPr>
          <w:fldChar w:fldCharType="separate"/>
        </w:r>
        <w:r w:rsidR="00B25CD5">
          <w:rPr>
            <w:noProof/>
            <w:webHidden/>
            <w:lang w:val="en-US"/>
          </w:rPr>
          <w:t>24</w:t>
        </w:r>
        <w:r w:rsidRPr="00A4272B">
          <w:rPr>
            <w:noProof/>
            <w:webHidden/>
            <w:lang w:val="en-US"/>
          </w:rPr>
          <w:fldChar w:fldCharType="end"/>
        </w:r>
      </w:hyperlink>
    </w:p>
    <w:p w14:paraId="2A9F22B5" w14:textId="6FA30FF9"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78" w:history="1">
        <w:r w:rsidRPr="00A4272B">
          <w:rPr>
            <w:rStyle w:val="Hyperlink"/>
            <w:noProof/>
            <w:lang w:val="en-US"/>
          </w:rPr>
          <w:t>3.5</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Number of samples needed</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_Toc187270478 \h </w:instrText>
        </w:r>
        <w:r w:rsidRPr="00A4272B">
          <w:rPr>
            <w:noProof/>
            <w:webHidden/>
            <w:lang w:val="en-US"/>
          </w:rPr>
        </w:r>
        <w:r w:rsidRPr="00A4272B">
          <w:rPr>
            <w:noProof/>
            <w:webHidden/>
            <w:lang w:val="en-US"/>
          </w:rPr>
          <w:fldChar w:fldCharType="separate"/>
        </w:r>
        <w:r w:rsidR="00B25CD5">
          <w:rPr>
            <w:noProof/>
            <w:webHidden/>
            <w:lang w:val="en-US"/>
          </w:rPr>
          <w:t>24</w:t>
        </w:r>
        <w:r w:rsidRPr="00A4272B">
          <w:rPr>
            <w:noProof/>
            <w:webHidden/>
            <w:lang w:val="en-US"/>
          </w:rPr>
          <w:fldChar w:fldCharType="end"/>
        </w:r>
      </w:hyperlink>
    </w:p>
    <w:p w14:paraId="36034DE6" w14:textId="5C081E58"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79" w:history="1">
        <w:r w:rsidRPr="00A4272B">
          <w:rPr>
            <w:rStyle w:val="Hyperlink"/>
            <w:noProof/>
            <w:lang w:val="en-US"/>
          </w:rPr>
          <w:t>3.6</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Outcomes of statistical processing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_Toc187270479 \h </w:instrText>
        </w:r>
        <w:r w:rsidRPr="00A4272B">
          <w:rPr>
            <w:noProof/>
            <w:webHidden/>
            <w:lang w:val="en-US"/>
          </w:rPr>
        </w:r>
        <w:r w:rsidRPr="00A4272B">
          <w:rPr>
            <w:noProof/>
            <w:webHidden/>
            <w:lang w:val="en-US"/>
          </w:rPr>
          <w:fldChar w:fldCharType="separate"/>
        </w:r>
        <w:r w:rsidR="00B25CD5">
          <w:rPr>
            <w:noProof/>
            <w:webHidden/>
            <w:lang w:val="en-US"/>
          </w:rPr>
          <w:t>24</w:t>
        </w:r>
        <w:r w:rsidRPr="00A4272B">
          <w:rPr>
            <w:noProof/>
            <w:webHidden/>
            <w:lang w:val="en-US"/>
          </w:rPr>
          <w:fldChar w:fldCharType="end"/>
        </w:r>
      </w:hyperlink>
    </w:p>
    <w:p w14:paraId="37D049B8" w14:textId="373B6AF6"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80" w:history="1">
        <w:r w:rsidRPr="00A4272B">
          <w:rPr>
            <w:rStyle w:val="Hyperlink"/>
            <w:noProof/>
            <w:lang w:val="en-US"/>
          </w:rPr>
          <w:t>3.7</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Examples of statistical treatment and graphical presentation</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_Toc187270480 \h </w:instrText>
        </w:r>
        <w:r w:rsidRPr="00A4272B">
          <w:rPr>
            <w:noProof/>
            <w:webHidden/>
            <w:lang w:val="en-US"/>
          </w:rPr>
        </w:r>
        <w:r w:rsidRPr="00A4272B">
          <w:rPr>
            <w:noProof/>
            <w:webHidden/>
            <w:lang w:val="en-US"/>
          </w:rPr>
          <w:fldChar w:fldCharType="separate"/>
        </w:r>
        <w:r w:rsidR="00B25CD5">
          <w:rPr>
            <w:noProof/>
            <w:webHidden/>
            <w:lang w:val="en-US"/>
          </w:rPr>
          <w:t>25</w:t>
        </w:r>
        <w:r w:rsidRPr="00A4272B">
          <w:rPr>
            <w:noProof/>
            <w:webHidden/>
            <w:lang w:val="en-US"/>
          </w:rPr>
          <w:fldChar w:fldCharType="end"/>
        </w:r>
      </w:hyperlink>
    </w:p>
    <w:p w14:paraId="4CA8F787" w14:textId="183F64B3"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481" w:history="1">
        <w:r w:rsidRPr="00A4272B">
          <w:rPr>
            <w:rStyle w:val="Hyperlink"/>
            <w:noProof/>
            <w:lang w:val="en-US"/>
          </w:rPr>
          <w:t>4.</w:t>
        </w:r>
        <w:r w:rsidRPr="00A4272B">
          <w:rPr>
            <w:rFonts w:asciiTheme="minorHAnsi" w:eastAsiaTheme="minorEastAsia" w:hAnsiTheme="minorHAnsi" w:cstheme="minorBidi"/>
            <w:bCs w:val="0"/>
            <w:noProof/>
            <w:kern w:val="2"/>
            <w:sz w:val="24"/>
            <w:szCs w:val="24"/>
            <w:lang w:val="en-US" w:eastAsia="ja-JP"/>
            <w14:ligatures w14:val="standardContextual"/>
          </w:rPr>
          <w:tab/>
        </w:r>
        <w:r w:rsidRPr="00A4272B">
          <w:rPr>
            <w:rStyle w:val="Hyperlink"/>
            <w:noProof/>
            <w:lang w:val="en-US"/>
          </w:rPr>
          <w:t>Sampling and sampling preparation methodology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_Toc187270481 \h </w:instrText>
        </w:r>
        <w:r w:rsidRPr="00A4272B">
          <w:rPr>
            <w:noProof/>
            <w:webHidden/>
            <w:lang w:val="en-US"/>
          </w:rPr>
        </w:r>
        <w:r w:rsidRPr="00A4272B">
          <w:rPr>
            <w:noProof/>
            <w:webHidden/>
            <w:lang w:val="en-US"/>
          </w:rPr>
          <w:fldChar w:fldCharType="separate"/>
        </w:r>
        <w:r w:rsidR="00B25CD5">
          <w:rPr>
            <w:noProof/>
            <w:webHidden/>
            <w:lang w:val="en-US"/>
          </w:rPr>
          <w:t>28</w:t>
        </w:r>
        <w:r w:rsidRPr="00A4272B">
          <w:rPr>
            <w:noProof/>
            <w:webHidden/>
            <w:lang w:val="en-US"/>
          </w:rPr>
          <w:fldChar w:fldCharType="end"/>
        </w:r>
      </w:hyperlink>
    </w:p>
    <w:p w14:paraId="092CCE2A" w14:textId="37B934A8"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82" w:history="1">
        <w:r w:rsidRPr="00A4272B">
          <w:rPr>
            <w:rStyle w:val="Hyperlink"/>
            <w:noProof/>
            <w:lang w:val="en-US"/>
          </w:rPr>
          <w:t>4.1</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Air</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_Toc187270482 \h </w:instrText>
        </w:r>
        <w:r w:rsidRPr="00A4272B">
          <w:rPr>
            <w:noProof/>
            <w:webHidden/>
            <w:lang w:val="en-US"/>
          </w:rPr>
        </w:r>
        <w:r w:rsidRPr="00A4272B">
          <w:rPr>
            <w:noProof/>
            <w:webHidden/>
            <w:lang w:val="en-US"/>
          </w:rPr>
          <w:fldChar w:fldCharType="separate"/>
        </w:r>
        <w:r w:rsidR="00B25CD5">
          <w:rPr>
            <w:noProof/>
            <w:webHidden/>
            <w:lang w:val="en-US"/>
          </w:rPr>
          <w:t>28</w:t>
        </w:r>
        <w:r w:rsidRPr="00A4272B">
          <w:rPr>
            <w:noProof/>
            <w:webHidden/>
            <w:lang w:val="en-US"/>
          </w:rPr>
          <w:fldChar w:fldCharType="end"/>
        </w:r>
      </w:hyperlink>
    </w:p>
    <w:p w14:paraId="16EDC5C0" w14:textId="0A8D1060"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83" w:history="1">
        <w:r w:rsidRPr="00A4272B">
          <w:rPr>
            <w:rStyle w:val="Hyperlink"/>
            <w:noProof/>
            <w:lang w:val="en-US"/>
          </w:rPr>
          <w:t>4.1.1</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Experimental design</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_Toc187270483 \h </w:instrText>
        </w:r>
        <w:r w:rsidRPr="00A4272B">
          <w:rPr>
            <w:noProof/>
            <w:webHidden/>
            <w:lang w:val="en-US"/>
          </w:rPr>
        </w:r>
        <w:r w:rsidRPr="00A4272B">
          <w:rPr>
            <w:noProof/>
            <w:webHidden/>
            <w:lang w:val="en-US"/>
          </w:rPr>
          <w:fldChar w:fldCharType="separate"/>
        </w:r>
        <w:r w:rsidR="00B25CD5">
          <w:rPr>
            <w:noProof/>
            <w:webHidden/>
            <w:lang w:val="en-US"/>
          </w:rPr>
          <w:t>29</w:t>
        </w:r>
        <w:r w:rsidRPr="00A4272B">
          <w:rPr>
            <w:noProof/>
            <w:webHidden/>
            <w:lang w:val="en-US"/>
          </w:rPr>
          <w:fldChar w:fldCharType="end"/>
        </w:r>
      </w:hyperlink>
    </w:p>
    <w:p w14:paraId="3AC81BD6" w14:textId="454A87C9"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84" w:history="1">
        <w:r w:rsidRPr="00A4272B">
          <w:rPr>
            <w:rStyle w:val="Hyperlink"/>
            <w:noProof/>
            <w:lang w:val="en-US"/>
          </w:rPr>
          <w:t>4.1.2</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Sample matrix</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_Toc187270484 \h </w:instrText>
        </w:r>
        <w:r w:rsidRPr="00A4272B">
          <w:rPr>
            <w:noProof/>
            <w:webHidden/>
            <w:lang w:val="en-US"/>
          </w:rPr>
        </w:r>
        <w:r w:rsidRPr="00A4272B">
          <w:rPr>
            <w:noProof/>
            <w:webHidden/>
            <w:lang w:val="en-US"/>
          </w:rPr>
          <w:fldChar w:fldCharType="separate"/>
        </w:r>
        <w:r w:rsidR="00B25CD5">
          <w:rPr>
            <w:noProof/>
            <w:webHidden/>
            <w:lang w:val="en-US"/>
          </w:rPr>
          <w:t>36</w:t>
        </w:r>
        <w:r w:rsidRPr="00A4272B">
          <w:rPr>
            <w:noProof/>
            <w:webHidden/>
            <w:lang w:val="en-US"/>
          </w:rPr>
          <w:fldChar w:fldCharType="end"/>
        </w:r>
      </w:hyperlink>
    </w:p>
    <w:p w14:paraId="29E0A65A" w14:textId="7C50AAC8"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85" w:history="1">
        <w:r w:rsidRPr="00A4272B">
          <w:rPr>
            <w:rStyle w:val="Hyperlink"/>
            <w:noProof/>
            <w:lang w:val="en-US"/>
          </w:rPr>
          <w:t>4.1.3</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Sampling and sample handling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_Toc187270485 \h </w:instrText>
        </w:r>
        <w:r w:rsidRPr="00A4272B">
          <w:rPr>
            <w:noProof/>
            <w:webHidden/>
            <w:lang w:val="en-US"/>
          </w:rPr>
        </w:r>
        <w:r w:rsidRPr="00A4272B">
          <w:rPr>
            <w:noProof/>
            <w:webHidden/>
            <w:lang w:val="en-US"/>
          </w:rPr>
          <w:fldChar w:fldCharType="separate"/>
        </w:r>
        <w:r w:rsidR="00B25CD5">
          <w:rPr>
            <w:noProof/>
            <w:webHidden/>
            <w:lang w:val="en-US"/>
          </w:rPr>
          <w:t>36</w:t>
        </w:r>
        <w:r w:rsidRPr="00A4272B">
          <w:rPr>
            <w:noProof/>
            <w:webHidden/>
            <w:lang w:val="en-US"/>
          </w:rPr>
          <w:fldChar w:fldCharType="end"/>
        </w:r>
      </w:hyperlink>
    </w:p>
    <w:p w14:paraId="2A5A9AB8" w14:textId="61A87C60"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86" w:history="1">
        <w:r w:rsidRPr="00A4272B">
          <w:rPr>
            <w:rStyle w:val="Hyperlink"/>
            <w:noProof/>
            <w:lang w:val="en-US"/>
          </w:rPr>
          <w:t>4.1.4</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QA/QC and data treatment</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_Toc187270486 \h </w:instrText>
        </w:r>
        <w:r w:rsidRPr="00A4272B">
          <w:rPr>
            <w:noProof/>
            <w:webHidden/>
            <w:lang w:val="en-US"/>
          </w:rPr>
        </w:r>
        <w:r w:rsidRPr="00A4272B">
          <w:rPr>
            <w:noProof/>
            <w:webHidden/>
            <w:lang w:val="en-US"/>
          </w:rPr>
          <w:fldChar w:fldCharType="separate"/>
        </w:r>
        <w:r w:rsidR="00B25CD5">
          <w:rPr>
            <w:noProof/>
            <w:webHidden/>
            <w:lang w:val="en-US"/>
          </w:rPr>
          <w:t>43</w:t>
        </w:r>
        <w:r w:rsidRPr="00A4272B">
          <w:rPr>
            <w:noProof/>
            <w:webHidden/>
            <w:lang w:val="en-US"/>
          </w:rPr>
          <w:fldChar w:fldCharType="end"/>
        </w:r>
      </w:hyperlink>
    </w:p>
    <w:p w14:paraId="70EE5E61" w14:textId="1F3FFB9A"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87" w:history="1">
        <w:r w:rsidRPr="00A4272B">
          <w:rPr>
            <w:rStyle w:val="Hyperlink"/>
            <w:noProof/>
            <w:lang w:val="en-US"/>
          </w:rPr>
          <w:t>4.1.5</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Climate effects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_Toc187270487 \h </w:instrText>
        </w:r>
        <w:r w:rsidRPr="00A4272B">
          <w:rPr>
            <w:noProof/>
            <w:webHidden/>
            <w:lang w:val="en-US"/>
          </w:rPr>
        </w:r>
        <w:r w:rsidRPr="00A4272B">
          <w:rPr>
            <w:noProof/>
            <w:webHidden/>
            <w:lang w:val="en-US"/>
          </w:rPr>
          <w:fldChar w:fldCharType="separate"/>
        </w:r>
        <w:r w:rsidR="00B25CD5">
          <w:rPr>
            <w:noProof/>
            <w:webHidden/>
            <w:lang w:val="en-US"/>
          </w:rPr>
          <w:t>46</w:t>
        </w:r>
        <w:r w:rsidRPr="00A4272B">
          <w:rPr>
            <w:noProof/>
            <w:webHidden/>
            <w:lang w:val="en-US"/>
          </w:rPr>
          <w:fldChar w:fldCharType="end"/>
        </w:r>
      </w:hyperlink>
    </w:p>
    <w:p w14:paraId="03A7B1C4" w14:textId="353DE881"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88" w:history="1">
        <w:r w:rsidRPr="00A4272B">
          <w:rPr>
            <w:rStyle w:val="Hyperlink"/>
            <w:noProof/>
            <w:lang w:val="en-US"/>
          </w:rPr>
          <w:t>4.1.6</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Integration</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_Toc187270488 \h </w:instrText>
        </w:r>
        <w:r w:rsidRPr="00A4272B">
          <w:rPr>
            <w:noProof/>
            <w:webHidden/>
            <w:lang w:val="en-US"/>
          </w:rPr>
        </w:r>
        <w:r w:rsidRPr="00A4272B">
          <w:rPr>
            <w:noProof/>
            <w:webHidden/>
            <w:lang w:val="en-US"/>
          </w:rPr>
          <w:fldChar w:fldCharType="separate"/>
        </w:r>
        <w:r w:rsidR="00B25CD5">
          <w:rPr>
            <w:noProof/>
            <w:webHidden/>
            <w:lang w:val="en-US"/>
          </w:rPr>
          <w:t>47</w:t>
        </w:r>
        <w:r w:rsidRPr="00A4272B">
          <w:rPr>
            <w:noProof/>
            <w:webHidden/>
            <w:lang w:val="en-US"/>
          </w:rPr>
          <w:fldChar w:fldCharType="end"/>
        </w:r>
      </w:hyperlink>
    </w:p>
    <w:p w14:paraId="535B6FDD" w14:textId="2920A359" w:rsidR="005416BE" w:rsidRPr="00A4272B" w:rsidRDefault="005416BE">
      <w:pPr>
        <w:pStyle w:val="TOC3"/>
        <w:rPr>
          <w:rFonts w:asciiTheme="minorHAnsi" w:eastAsiaTheme="minorEastAsia" w:hAnsiTheme="minorHAnsi" w:cstheme="minorBidi"/>
          <w:iCs w:val="0"/>
          <w:noProof/>
          <w:kern w:val="2"/>
          <w:sz w:val="24"/>
          <w:szCs w:val="24"/>
          <w:lang w:val="en-US" w:eastAsia="ja-JP"/>
          <w14:ligatures w14:val="standardContextual"/>
        </w:rPr>
      </w:pPr>
      <w:hyperlink w:anchor="_Toc187270489" w:history="1">
        <w:r w:rsidRPr="00A4272B">
          <w:rPr>
            <w:rStyle w:val="Hyperlink"/>
            <w:noProof/>
            <w:lang w:val="en-US"/>
          </w:rPr>
          <w:t>4.1.7 Cross-cutting considerations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_Toc187270489 \h </w:instrText>
        </w:r>
        <w:r w:rsidRPr="00A4272B">
          <w:rPr>
            <w:noProof/>
            <w:webHidden/>
            <w:lang w:val="en-US"/>
          </w:rPr>
        </w:r>
        <w:r w:rsidRPr="00A4272B">
          <w:rPr>
            <w:noProof/>
            <w:webHidden/>
            <w:lang w:val="en-US"/>
          </w:rPr>
          <w:fldChar w:fldCharType="separate"/>
        </w:r>
        <w:r w:rsidR="00B25CD5">
          <w:rPr>
            <w:noProof/>
            <w:webHidden/>
            <w:lang w:val="en-US"/>
          </w:rPr>
          <w:t>48</w:t>
        </w:r>
        <w:r w:rsidRPr="00A4272B">
          <w:rPr>
            <w:noProof/>
            <w:webHidden/>
            <w:lang w:val="en-US"/>
          </w:rPr>
          <w:fldChar w:fldCharType="end"/>
        </w:r>
      </w:hyperlink>
    </w:p>
    <w:p w14:paraId="75DF4BF2" w14:textId="290F5004"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90" w:history="1">
        <w:r w:rsidRPr="00A4272B">
          <w:rPr>
            <w:rStyle w:val="Hyperlink"/>
            <w:noProof/>
            <w:lang w:val="en-US"/>
          </w:rPr>
          <w:t>4.2</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Human milk and human blood</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_Toc187270490 \h </w:instrText>
        </w:r>
        <w:r w:rsidRPr="00A4272B">
          <w:rPr>
            <w:noProof/>
            <w:webHidden/>
            <w:lang w:val="en-US"/>
          </w:rPr>
        </w:r>
        <w:r w:rsidRPr="00A4272B">
          <w:rPr>
            <w:noProof/>
            <w:webHidden/>
            <w:lang w:val="en-US"/>
          </w:rPr>
          <w:fldChar w:fldCharType="separate"/>
        </w:r>
        <w:r w:rsidR="00B25CD5">
          <w:rPr>
            <w:noProof/>
            <w:webHidden/>
            <w:lang w:val="en-US"/>
          </w:rPr>
          <w:t>48</w:t>
        </w:r>
        <w:r w:rsidRPr="00A4272B">
          <w:rPr>
            <w:noProof/>
            <w:webHidden/>
            <w:lang w:val="en-US"/>
          </w:rPr>
          <w:fldChar w:fldCharType="end"/>
        </w:r>
      </w:hyperlink>
    </w:p>
    <w:p w14:paraId="12717AE1" w14:textId="3FAE2802"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91" w:history="1">
        <w:r w:rsidRPr="00A4272B">
          <w:rPr>
            <w:rStyle w:val="Hyperlink"/>
            <w:noProof/>
            <w:lang w:val="en-US"/>
          </w:rPr>
          <w:t>4.2.1</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Experimental design</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_Toc187270491 \h </w:instrText>
        </w:r>
        <w:r w:rsidRPr="00A4272B">
          <w:rPr>
            <w:noProof/>
            <w:webHidden/>
            <w:lang w:val="en-US"/>
          </w:rPr>
        </w:r>
        <w:r w:rsidRPr="00A4272B">
          <w:rPr>
            <w:noProof/>
            <w:webHidden/>
            <w:lang w:val="en-US"/>
          </w:rPr>
          <w:fldChar w:fldCharType="separate"/>
        </w:r>
        <w:r w:rsidR="00B25CD5">
          <w:rPr>
            <w:noProof/>
            <w:webHidden/>
            <w:lang w:val="en-US"/>
          </w:rPr>
          <w:t>48</w:t>
        </w:r>
        <w:r w:rsidRPr="00A4272B">
          <w:rPr>
            <w:noProof/>
            <w:webHidden/>
            <w:lang w:val="en-US"/>
          </w:rPr>
          <w:fldChar w:fldCharType="end"/>
        </w:r>
      </w:hyperlink>
    </w:p>
    <w:p w14:paraId="2683B5DF" w14:textId="51736C78"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92" w:history="1">
        <w:r w:rsidRPr="00A4272B">
          <w:rPr>
            <w:rStyle w:val="Hyperlink"/>
            <w:noProof/>
            <w:lang w:val="en-US"/>
          </w:rPr>
          <w:t>4.2.2</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Sample matrix</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_Toc187270492 \h </w:instrText>
        </w:r>
        <w:r w:rsidRPr="00A4272B">
          <w:rPr>
            <w:noProof/>
            <w:webHidden/>
            <w:lang w:val="en-US"/>
          </w:rPr>
        </w:r>
        <w:r w:rsidRPr="00A4272B">
          <w:rPr>
            <w:noProof/>
            <w:webHidden/>
            <w:lang w:val="en-US"/>
          </w:rPr>
          <w:fldChar w:fldCharType="separate"/>
        </w:r>
        <w:r w:rsidR="00B25CD5">
          <w:rPr>
            <w:noProof/>
            <w:webHidden/>
            <w:lang w:val="en-US"/>
          </w:rPr>
          <w:t>50</w:t>
        </w:r>
        <w:r w:rsidRPr="00A4272B">
          <w:rPr>
            <w:noProof/>
            <w:webHidden/>
            <w:lang w:val="en-US"/>
          </w:rPr>
          <w:fldChar w:fldCharType="end"/>
        </w:r>
      </w:hyperlink>
    </w:p>
    <w:p w14:paraId="25E50554" w14:textId="5C5EF826"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93" w:history="1">
        <w:r w:rsidRPr="00A4272B">
          <w:rPr>
            <w:rStyle w:val="Hyperlink"/>
            <w:noProof/>
            <w:lang w:val="en-US"/>
          </w:rPr>
          <w:t>4.2.3</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Sampling and sample preparation methodology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_Toc187270493 \h </w:instrText>
        </w:r>
        <w:r w:rsidRPr="00A4272B">
          <w:rPr>
            <w:noProof/>
            <w:webHidden/>
            <w:lang w:val="en-US"/>
          </w:rPr>
        </w:r>
        <w:r w:rsidRPr="00A4272B">
          <w:rPr>
            <w:noProof/>
            <w:webHidden/>
            <w:lang w:val="en-US"/>
          </w:rPr>
          <w:fldChar w:fldCharType="separate"/>
        </w:r>
        <w:r w:rsidR="00B25CD5">
          <w:rPr>
            <w:noProof/>
            <w:webHidden/>
            <w:lang w:val="en-US"/>
          </w:rPr>
          <w:t>51</w:t>
        </w:r>
        <w:r w:rsidRPr="00A4272B">
          <w:rPr>
            <w:noProof/>
            <w:webHidden/>
            <w:lang w:val="en-US"/>
          </w:rPr>
          <w:fldChar w:fldCharType="end"/>
        </w:r>
      </w:hyperlink>
    </w:p>
    <w:p w14:paraId="5E0A2EC5" w14:textId="57076DDE"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94" w:history="1">
        <w:r w:rsidRPr="00A4272B">
          <w:rPr>
            <w:rStyle w:val="Hyperlink"/>
            <w:noProof/>
            <w:lang w:val="en-US"/>
          </w:rPr>
          <w:t>4.2.4</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Special considerations for fluorinated POPs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_Toc187270494 \h </w:instrText>
        </w:r>
        <w:r w:rsidRPr="00A4272B">
          <w:rPr>
            <w:noProof/>
            <w:webHidden/>
            <w:lang w:val="en-US"/>
          </w:rPr>
        </w:r>
        <w:r w:rsidRPr="00A4272B">
          <w:rPr>
            <w:noProof/>
            <w:webHidden/>
            <w:lang w:val="en-US"/>
          </w:rPr>
          <w:fldChar w:fldCharType="separate"/>
        </w:r>
        <w:r w:rsidR="00B25CD5">
          <w:rPr>
            <w:noProof/>
            <w:webHidden/>
            <w:lang w:val="en-US"/>
          </w:rPr>
          <w:t>52</w:t>
        </w:r>
        <w:r w:rsidRPr="00A4272B">
          <w:rPr>
            <w:noProof/>
            <w:webHidden/>
            <w:lang w:val="en-US"/>
          </w:rPr>
          <w:fldChar w:fldCharType="end"/>
        </w:r>
      </w:hyperlink>
    </w:p>
    <w:p w14:paraId="47B131CE" w14:textId="49EA8BE7"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495" w:history="1">
        <w:r w:rsidRPr="00A4272B">
          <w:rPr>
            <w:rStyle w:val="Hyperlink"/>
            <w:noProof/>
            <w:lang w:val="en-US"/>
          </w:rPr>
          <w:t>4.3</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Water</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_Toc187270495 \h </w:instrText>
        </w:r>
        <w:r w:rsidRPr="00A4272B">
          <w:rPr>
            <w:noProof/>
            <w:webHidden/>
            <w:lang w:val="en-US"/>
          </w:rPr>
        </w:r>
        <w:r w:rsidRPr="00A4272B">
          <w:rPr>
            <w:noProof/>
            <w:webHidden/>
            <w:lang w:val="en-US"/>
          </w:rPr>
          <w:fldChar w:fldCharType="separate"/>
        </w:r>
        <w:r w:rsidR="00B25CD5">
          <w:rPr>
            <w:noProof/>
            <w:webHidden/>
            <w:lang w:val="en-US"/>
          </w:rPr>
          <w:t>53</w:t>
        </w:r>
        <w:r w:rsidRPr="00A4272B">
          <w:rPr>
            <w:noProof/>
            <w:webHidden/>
            <w:lang w:val="en-US"/>
          </w:rPr>
          <w:fldChar w:fldCharType="end"/>
        </w:r>
      </w:hyperlink>
    </w:p>
    <w:p w14:paraId="73D07770" w14:textId="7FF8085F"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96" w:history="1">
        <w:r w:rsidRPr="00A4272B">
          <w:rPr>
            <w:rStyle w:val="Hyperlink"/>
            <w:noProof/>
            <w:lang w:val="en-US"/>
          </w:rPr>
          <w:t>4.3.1</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Experimental design</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_Toc187270496 \h </w:instrText>
        </w:r>
        <w:r w:rsidRPr="00A4272B">
          <w:rPr>
            <w:noProof/>
            <w:webHidden/>
            <w:lang w:val="en-US"/>
          </w:rPr>
        </w:r>
        <w:r w:rsidRPr="00A4272B">
          <w:rPr>
            <w:noProof/>
            <w:webHidden/>
            <w:lang w:val="en-US"/>
          </w:rPr>
          <w:fldChar w:fldCharType="separate"/>
        </w:r>
        <w:r w:rsidR="00B25CD5">
          <w:rPr>
            <w:noProof/>
            <w:webHidden/>
            <w:lang w:val="en-US"/>
          </w:rPr>
          <w:t>53</w:t>
        </w:r>
        <w:r w:rsidRPr="00A4272B">
          <w:rPr>
            <w:noProof/>
            <w:webHidden/>
            <w:lang w:val="en-US"/>
          </w:rPr>
          <w:fldChar w:fldCharType="end"/>
        </w:r>
      </w:hyperlink>
    </w:p>
    <w:p w14:paraId="1F82E818" w14:textId="6AD5E0AF"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97" w:history="1">
        <w:r w:rsidRPr="00A4272B">
          <w:rPr>
            <w:rStyle w:val="Hyperlink"/>
            <w:noProof/>
            <w:lang w:val="en-US"/>
          </w:rPr>
          <w:t>4.3.2</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Sampled matrix</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_Toc187270497 \h </w:instrText>
        </w:r>
        <w:r w:rsidRPr="00A4272B">
          <w:rPr>
            <w:noProof/>
            <w:webHidden/>
            <w:lang w:val="en-US"/>
          </w:rPr>
        </w:r>
        <w:r w:rsidRPr="00A4272B">
          <w:rPr>
            <w:noProof/>
            <w:webHidden/>
            <w:lang w:val="en-US"/>
          </w:rPr>
          <w:fldChar w:fldCharType="separate"/>
        </w:r>
        <w:r w:rsidR="00B25CD5">
          <w:rPr>
            <w:noProof/>
            <w:webHidden/>
            <w:lang w:val="en-US"/>
          </w:rPr>
          <w:t>55</w:t>
        </w:r>
        <w:r w:rsidRPr="00A4272B">
          <w:rPr>
            <w:noProof/>
            <w:webHidden/>
            <w:lang w:val="en-US"/>
          </w:rPr>
          <w:fldChar w:fldCharType="end"/>
        </w:r>
      </w:hyperlink>
    </w:p>
    <w:p w14:paraId="7C0EA37A" w14:textId="6D79A030"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98" w:history="1">
        <w:r w:rsidRPr="00A4272B">
          <w:rPr>
            <w:rStyle w:val="Hyperlink"/>
            <w:noProof/>
            <w:lang w:val="en-US"/>
          </w:rPr>
          <w:t>4.3.3</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Sampling and sample handling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_Toc187270498 \h </w:instrText>
        </w:r>
        <w:r w:rsidRPr="00A4272B">
          <w:rPr>
            <w:noProof/>
            <w:webHidden/>
            <w:lang w:val="en-US"/>
          </w:rPr>
        </w:r>
        <w:r w:rsidRPr="00A4272B">
          <w:rPr>
            <w:noProof/>
            <w:webHidden/>
            <w:lang w:val="en-US"/>
          </w:rPr>
          <w:fldChar w:fldCharType="separate"/>
        </w:r>
        <w:r w:rsidR="00B25CD5">
          <w:rPr>
            <w:noProof/>
            <w:webHidden/>
            <w:lang w:val="en-US"/>
          </w:rPr>
          <w:t>55</w:t>
        </w:r>
        <w:r w:rsidRPr="00A4272B">
          <w:rPr>
            <w:noProof/>
            <w:webHidden/>
            <w:lang w:val="en-US"/>
          </w:rPr>
          <w:fldChar w:fldCharType="end"/>
        </w:r>
      </w:hyperlink>
    </w:p>
    <w:p w14:paraId="58A27974" w14:textId="7B0B2A5D"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499" w:history="1">
        <w:r w:rsidRPr="00A4272B">
          <w:rPr>
            <w:rStyle w:val="Hyperlink"/>
            <w:noProof/>
            <w:lang w:val="en-US"/>
          </w:rPr>
          <w:t>4.3.4</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QA/QC and data treatment</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_Toc187270499 \h </w:instrText>
        </w:r>
        <w:r w:rsidRPr="00A4272B">
          <w:rPr>
            <w:noProof/>
            <w:webHidden/>
            <w:lang w:val="en-US"/>
          </w:rPr>
        </w:r>
        <w:r w:rsidRPr="00A4272B">
          <w:rPr>
            <w:noProof/>
            <w:webHidden/>
            <w:lang w:val="en-US"/>
          </w:rPr>
          <w:fldChar w:fldCharType="separate"/>
        </w:r>
        <w:r w:rsidR="00B25CD5">
          <w:rPr>
            <w:noProof/>
            <w:webHidden/>
            <w:lang w:val="en-US"/>
          </w:rPr>
          <w:t>56</w:t>
        </w:r>
        <w:r w:rsidRPr="00A4272B">
          <w:rPr>
            <w:noProof/>
            <w:webHidden/>
            <w:lang w:val="en-US"/>
          </w:rPr>
          <w:fldChar w:fldCharType="end"/>
        </w:r>
      </w:hyperlink>
    </w:p>
    <w:p w14:paraId="6C1A33F9" w14:textId="66B4F365"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00" w:history="1">
        <w:r w:rsidRPr="00A4272B">
          <w:rPr>
            <w:rStyle w:val="Hyperlink"/>
            <w:noProof/>
            <w:lang w:val="en-US"/>
          </w:rPr>
          <w:t>4.4</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Complementary media and approaches for addressing data gaps in POPs Monitoring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_Toc187270500 \h </w:instrText>
        </w:r>
        <w:r w:rsidRPr="00A4272B">
          <w:rPr>
            <w:noProof/>
            <w:webHidden/>
            <w:lang w:val="en-US"/>
          </w:rPr>
        </w:r>
        <w:r w:rsidRPr="00A4272B">
          <w:rPr>
            <w:noProof/>
            <w:webHidden/>
            <w:lang w:val="en-US"/>
          </w:rPr>
          <w:fldChar w:fldCharType="separate"/>
        </w:r>
        <w:r w:rsidR="00B25CD5">
          <w:rPr>
            <w:noProof/>
            <w:webHidden/>
            <w:lang w:val="en-US"/>
          </w:rPr>
          <w:t>57</w:t>
        </w:r>
        <w:r w:rsidRPr="00A4272B">
          <w:rPr>
            <w:noProof/>
            <w:webHidden/>
            <w:lang w:val="en-US"/>
          </w:rPr>
          <w:fldChar w:fldCharType="end"/>
        </w:r>
      </w:hyperlink>
    </w:p>
    <w:p w14:paraId="4448D9AF" w14:textId="08911151"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1" w:history="1">
        <w:r w:rsidRPr="00A4272B">
          <w:rPr>
            <w:rStyle w:val="Hyperlink"/>
            <w:noProof/>
            <w:lang w:val="en-US"/>
          </w:rPr>
          <w:t>4.4.</w:t>
        </w:r>
        <w:r w:rsidRPr="00A4272B">
          <w:rPr>
            <w:rStyle w:val="Hyperlink"/>
            <w:noProof/>
            <w:lang w:val="en-US" w:eastAsia="ja-JP"/>
          </w:rPr>
          <w:t>1</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eastAsia="ja-JP"/>
          </w:rPr>
          <w:t>Aquatic environments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_Toc187270501 \h </w:instrText>
        </w:r>
        <w:r w:rsidRPr="00A4272B">
          <w:rPr>
            <w:noProof/>
            <w:webHidden/>
            <w:lang w:val="en-US"/>
          </w:rPr>
        </w:r>
        <w:r w:rsidRPr="00A4272B">
          <w:rPr>
            <w:noProof/>
            <w:webHidden/>
            <w:lang w:val="en-US"/>
          </w:rPr>
          <w:fldChar w:fldCharType="separate"/>
        </w:r>
        <w:r w:rsidR="00B25CD5">
          <w:rPr>
            <w:noProof/>
            <w:webHidden/>
            <w:lang w:val="en-US"/>
          </w:rPr>
          <w:t>57</w:t>
        </w:r>
        <w:r w:rsidRPr="00A4272B">
          <w:rPr>
            <w:noProof/>
            <w:webHidden/>
            <w:lang w:val="en-US"/>
          </w:rPr>
          <w:fldChar w:fldCharType="end"/>
        </w:r>
      </w:hyperlink>
    </w:p>
    <w:p w14:paraId="39D3DCBA" w14:textId="5F383206"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2" w:history="1">
        <w:r w:rsidRPr="00A4272B">
          <w:rPr>
            <w:rStyle w:val="Hyperlink"/>
            <w:noProof/>
            <w:lang w:val="en-US"/>
          </w:rPr>
          <w:t>4.4.2</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eastAsia="ja-JP"/>
          </w:rPr>
          <w:t>Terrestrial environments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_Toc187270502 \h </w:instrText>
        </w:r>
        <w:r w:rsidRPr="00A4272B">
          <w:rPr>
            <w:noProof/>
            <w:webHidden/>
            <w:lang w:val="en-US"/>
          </w:rPr>
        </w:r>
        <w:r w:rsidRPr="00A4272B">
          <w:rPr>
            <w:noProof/>
            <w:webHidden/>
            <w:lang w:val="en-US"/>
          </w:rPr>
          <w:fldChar w:fldCharType="separate"/>
        </w:r>
        <w:r w:rsidR="00B25CD5">
          <w:rPr>
            <w:noProof/>
            <w:webHidden/>
            <w:lang w:val="en-US"/>
          </w:rPr>
          <w:t>59</w:t>
        </w:r>
        <w:r w:rsidRPr="00A4272B">
          <w:rPr>
            <w:noProof/>
            <w:webHidden/>
            <w:lang w:val="en-US"/>
          </w:rPr>
          <w:fldChar w:fldCharType="end"/>
        </w:r>
      </w:hyperlink>
    </w:p>
    <w:p w14:paraId="0FC7905C" w14:textId="227184CA"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3" w:history="1">
        <w:r w:rsidRPr="00A4272B">
          <w:rPr>
            <w:rStyle w:val="Hyperlink"/>
            <w:noProof/>
            <w:lang w:val="en-US"/>
          </w:rPr>
          <w:t>4.4.3</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eastAsia="ja-JP"/>
          </w:rPr>
          <w:t>Indoor spaces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_Toc187270503 \h </w:instrText>
        </w:r>
        <w:r w:rsidRPr="00A4272B">
          <w:rPr>
            <w:noProof/>
            <w:webHidden/>
            <w:lang w:val="en-US"/>
          </w:rPr>
        </w:r>
        <w:r w:rsidRPr="00A4272B">
          <w:rPr>
            <w:noProof/>
            <w:webHidden/>
            <w:lang w:val="en-US"/>
          </w:rPr>
          <w:fldChar w:fldCharType="separate"/>
        </w:r>
        <w:r w:rsidR="00B25CD5">
          <w:rPr>
            <w:noProof/>
            <w:webHidden/>
            <w:lang w:val="en-US"/>
          </w:rPr>
          <w:t>59</w:t>
        </w:r>
        <w:r w:rsidRPr="00A4272B">
          <w:rPr>
            <w:noProof/>
            <w:webHidden/>
            <w:lang w:val="en-US"/>
          </w:rPr>
          <w:fldChar w:fldCharType="end"/>
        </w:r>
      </w:hyperlink>
    </w:p>
    <w:p w14:paraId="75F9C327" w14:textId="61E15F07"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4" w:history="1">
        <w:r w:rsidRPr="00A4272B">
          <w:rPr>
            <w:rStyle w:val="Hyperlink"/>
            <w:noProof/>
            <w:lang w:val="en-US"/>
          </w:rPr>
          <w:t>4.4.</w:t>
        </w:r>
        <w:r w:rsidRPr="00A4272B">
          <w:rPr>
            <w:rStyle w:val="Hyperlink"/>
            <w:noProof/>
            <w:lang w:val="en-US" w:eastAsia="ja-JP"/>
          </w:rPr>
          <w:t>4</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eastAsia="ja-JP"/>
          </w:rPr>
          <w:t>Food and biota</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_Toc187270504 \h </w:instrText>
        </w:r>
        <w:r w:rsidRPr="00A4272B">
          <w:rPr>
            <w:noProof/>
            <w:webHidden/>
            <w:lang w:val="en-US"/>
          </w:rPr>
        </w:r>
        <w:r w:rsidRPr="00A4272B">
          <w:rPr>
            <w:noProof/>
            <w:webHidden/>
            <w:lang w:val="en-US"/>
          </w:rPr>
          <w:fldChar w:fldCharType="separate"/>
        </w:r>
        <w:r w:rsidR="00B25CD5">
          <w:rPr>
            <w:noProof/>
            <w:webHidden/>
            <w:lang w:val="en-US"/>
          </w:rPr>
          <w:t>60</w:t>
        </w:r>
        <w:r w:rsidRPr="00A4272B">
          <w:rPr>
            <w:noProof/>
            <w:webHidden/>
            <w:lang w:val="en-US"/>
          </w:rPr>
          <w:fldChar w:fldCharType="end"/>
        </w:r>
      </w:hyperlink>
    </w:p>
    <w:p w14:paraId="09C0B60B" w14:textId="793DEE0D"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5" w:history="1">
        <w:r w:rsidRPr="00A4272B">
          <w:rPr>
            <w:rStyle w:val="Hyperlink"/>
            <w:noProof/>
            <w:lang w:val="en-US"/>
          </w:rPr>
          <w:t>4.4.</w:t>
        </w:r>
        <w:r w:rsidRPr="00A4272B">
          <w:rPr>
            <w:rStyle w:val="Hyperlink"/>
            <w:noProof/>
            <w:lang w:val="en-US" w:eastAsia="ja-JP"/>
          </w:rPr>
          <w:t>5</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Microorganisms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_Toc187270505 \h </w:instrText>
        </w:r>
        <w:r w:rsidRPr="00A4272B">
          <w:rPr>
            <w:noProof/>
            <w:webHidden/>
            <w:lang w:val="en-US"/>
          </w:rPr>
        </w:r>
        <w:r w:rsidRPr="00A4272B">
          <w:rPr>
            <w:noProof/>
            <w:webHidden/>
            <w:lang w:val="en-US"/>
          </w:rPr>
          <w:fldChar w:fldCharType="separate"/>
        </w:r>
        <w:r w:rsidR="00B25CD5">
          <w:rPr>
            <w:noProof/>
            <w:webHidden/>
            <w:lang w:val="en-US"/>
          </w:rPr>
          <w:t>60</w:t>
        </w:r>
        <w:r w:rsidRPr="00A4272B">
          <w:rPr>
            <w:noProof/>
            <w:webHidden/>
            <w:lang w:val="en-US"/>
          </w:rPr>
          <w:fldChar w:fldCharType="end"/>
        </w:r>
      </w:hyperlink>
    </w:p>
    <w:p w14:paraId="411475AC" w14:textId="3891C6A8"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6" w:history="1">
        <w:r w:rsidRPr="00A4272B">
          <w:rPr>
            <w:rStyle w:val="Hyperlink"/>
            <w:noProof/>
            <w:lang w:val="en-US"/>
          </w:rPr>
          <w:t>4.4.</w:t>
        </w:r>
        <w:r w:rsidRPr="00A4272B">
          <w:rPr>
            <w:rStyle w:val="Hyperlink"/>
            <w:noProof/>
            <w:lang w:val="en-US" w:eastAsia="ja-JP"/>
          </w:rPr>
          <w:t>6</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eastAsia="ja-JP"/>
          </w:rPr>
          <w:t>Emission inventories and PRTR data for POPs monitoring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_Toc187270506 \h </w:instrText>
        </w:r>
        <w:r w:rsidRPr="00A4272B">
          <w:rPr>
            <w:noProof/>
            <w:webHidden/>
            <w:lang w:val="en-US"/>
          </w:rPr>
        </w:r>
        <w:r w:rsidRPr="00A4272B">
          <w:rPr>
            <w:noProof/>
            <w:webHidden/>
            <w:lang w:val="en-US"/>
          </w:rPr>
          <w:fldChar w:fldCharType="separate"/>
        </w:r>
        <w:r w:rsidR="00B25CD5">
          <w:rPr>
            <w:noProof/>
            <w:webHidden/>
            <w:lang w:val="en-US"/>
          </w:rPr>
          <w:t>61</w:t>
        </w:r>
        <w:r w:rsidRPr="00A4272B">
          <w:rPr>
            <w:noProof/>
            <w:webHidden/>
            <w:lang w:val="en-US"/>
          </w:rPr>
          <w:fldChar w:fldCharType="end"/>
        </w:r>
      </w:hyperlink>
    </w:p>
    <w:p w14:paraId="48F331BC" w14:textId="2E97D363"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7" w:history="1">
        <w:r w:rsidRPr="00A4272B">
          <w:rPr>
            <w:rStyle w:val="Hyperlink"/>
            <w:noProof/>
            <w:lang w:val="en-US"/>
          </w:rPr>
          <w:t>4.4.7</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Collaborative frameworks for POPs monitoring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_Toc187270507 \h </w:instrText>
        </w:r>
        <w:r w:rsidRPr="00A4272B">
          <w:rPr>
            <w:noProof/>
            <w:webHidden/>
            <w:lang w:val="en-US"/>
          </w:rPr>
        </w:r>
        <w:r w:rsidRPr="00A4272B">
          <w:rPr>
            <w:noProof/>
            <w:webHidden/>
            <w:lang w:val="en-US"/>
          </w:rPr>
          <w:fldChar w:fldCharType="separate"/>
        </w:r>
        <w:r w:rsidR="00B25CD5">
          <w:rPr>
            <w:noProof/>
            <w:webHidden/>
            <w:lang w:val="en-US"/>
          </w:rPr>
          <w:t>61</w:t>
        </w:r>
        <w:r w:rsidRPr="00A4272B">
          <w:rPr>
            <w:noProof/>
            <w:webHidden/>
            <w:lang w:val="en-US"/>
          </w:rPr>
          <w:fldChar w:fldCharType="end"/>
        </w:r>
      </w:hyperlink>
    </w:p>
    <w:p w14:paraId="34C7C281" w14:textId="11559F28"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8" w:history="1">
        <w:r w:rsidRPr="00A4272B">
          <w:rPr>
            <w:rStyle w:val="Hyperlink"/>
            <w:noProof/>
            <w:lang w:val="en-US"/>
          </w:rPr>
          <w:t>4.4.8</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The role of specimen banking in POPs monitoring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_Toc187270508 \h </w:instrText>
        </w:r>
        <w:r w:rsidRPr="00A4272B">
          <w:rPr>
            <w:noProof/>
            <w:webHidden/>
            <w:lang w:val="en-US"/>
          </w:rPr>
        </w:r>
        <w:r w:rsidRPr="00A4272B">
          <w:rPr>
            <w:noProof/>
            <w:webHidden/>
            <w:lang w:val="en-US"/>
          </w:rPr>
          <w:fldChar w:fldCharType="separate"/>
        </w:r>
        <w:r w:rsidR="00B25CD5">
          <w:rPr>
            <w:noProof/>
            <w:webHidden/>
            <w:lang w:val="en-US"/>
          </w:rPr>
          <w:t>62</w:t>
        </w:r>
        <w:r w:rsidRPr="00A4272B">
          <w:rPr>
            <w:noProof/>
            <w:webHidden/>
            <w:lang w:val="en-US"/>
          </w:rPr>
          <w:fldChar w:fldCharType="end"/>
        </w:r>
      </w:hyperlink>
    </w:p>
    <w:p w14:paraId="6E7D9418" w14:textId="5093C544"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09" w:history="1">
        <w:r w:rsidRPr="00A4272B">
          <w:rPr>
            <w:rStyle w:val="Hyperlink"/>
            <w:noProof/>
            <w:lang w:val="en-US"/>
          </w:rPr>
          <w:t>4.4.9</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Data flow, models and archives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_Toc187270509 \h </w:instrText>
        </w:r>
        <w:r w:rsidRPr="00A4272B">
          <w:rPr>
            <w:noProof/>
            <w:webHidden/>
            <w:lang w:val="en-US"/>
          </w:rPr>
        </w:r>
        <w:r w:rsidRPr="00A4272B">
          <w:rPr>
            <w:noProof/>
            <w:webHidden/>
            <w:lang w:val="en-US"/>
          </w:rPr>
          <w:fldChar w:fldCharType="separate"/>
        </w:r>
        <w:r w:rsidR="00B25CD5">
          <w:rPr>
            <w:noProof/>
            <w:webHidden/>
            <w:lang w:val="en-US"/>
          </w:rPr>
          <w:t>62</w:t>
        </w:r>
        <w:r w:rsidRPr="00A4272B">
          <w:rPr>
            <w:noProof/>
            <w:webHidden/>
            <w:lang w:val="en-US"/>
          </w:rPr>
          <w:fldChar w:fldCharType="end"/>
        </w:r>
      </w:hyperlink>
    </w:p>
    <w:p w14:paraId="62A756A0" w14:textId="216DC844"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510" w:history="1">
        <w:r w:rsidRPr="00A4272B">
          <w:rPr>
            <w:rStyle w:val="Hyperlink"/>
            <w:noProof/>
            <w:lang w:val="en-US"/>
          </w:rPr>
          <w:t>5.</w:t>
        </w:r>
        <w:r w:rsidRPr="00A4272B">
          <w:rPr>
            <w:rFonts w:asciiTheme="minorHAnsi" w:eastAsiaTheme="minorEastAsia" w:hAnsiTheme="minorHAnsi" w:cstheme="minorBidi"/>
            <w:bCs w:val="0"/>
            <w:noProof/>
            <w:kern w:val="2"/>
            <w:sz w:val="24"/>
            <w:szCs w:val="24"/>
            <w:lang w:val="en-US" w:eastAsia="ja-JP"/>
            <w14:ligatures w14:val="standardContextual"/>
          </w:rPr>
          <w:tab/>
        </w:r>
        <w:r w:rsidRPr="00A4272B">
          <w:rPr>
            <w:rStyle w:val="Hyperlink"/>
            <w:noProof/>
            <w:lang w:val="en-US"/>
          </w:rPr>
          <w:t>Analytical methodology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_Toc187270510 \h </w:instrText>
        </w:r>
        <w:r w:rsidRPr="00A4272B">
          <w:rPr>
            <w:noProof/>
            <w:webHidden/>
            <w:lang w:val="en-US"/>
          </w:rPr>
        </w:r>
        <w:r w:rsidRPr="00A4272B">
          <w:rPr>
            <w:noProof/>
            <w:webHidden/>
            <w:lang w:val="en-US"/>
          </w:rPr>
          <w:fldChar w:fldCharType="separate"/>
        </w:r>
        <w:r w:rsidR="00B25CD5">
          <w:rPr>
            <w:noProof/>
            <w:webHidden/>
            <w:lang w:val="en-US"/>
          </w:rPr>
          <w:t>63</w:t>
        </w:r>
        <w:r w:rsidRPr="00A4272B">
          <w:rPr>
            <w:noProof/>
            <w:webHidden/>
            <w:lang w:val="en-US"/>
          </w:rPr>
          <w:fldChar w:fldCharType="end"/>
        </w:r>
      </w:hyperlink>
    </w:p>
    <w:p w14:paraId="48B32658" w14:textId="650A4EA7"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11" w:history="1">
        <w:r w:rsidRPr="00A4272B">
          <w:rPr>
            <w:rStyle w:val="Hyperlink"/>
            <w:noProof/>
            <w:lang w:val="en-US"/>
          </w:rPr>
          <w:t>5.1</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Sampling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_Toc187270511 \h </w:instrText>
        </w:r>
        <w:r w:rsidRPr="00A4272B">
          <w:rPr>
            <w:noProof/>
            <w:webHidden/>
            <w:lang w:val="en-US"/>
          </w:rPr>
        </w:r>
        <w:r w:rsidRPr="00A4272B">
          <w:rPr>
            <w:noProof/>
            <w:webHidden/>
            <w:lang w:val="en-US"/>
          </w:rPr>
          <w:fldChar w:fldCharType="separate"/>
        </w:r>
        <w:r w:rsidR="00B25CD5">
          <w:rPr>
            <w:noProof/>
            <w:webHidden/>
            <w:lang w:val="en-US"/>
          </w:rPr>
          <w:t>63</w:t>
        </w:r>
        <w:r w:rsidRPr="00A4272B">
          <w:rPr>
            <w:noProof/>
            <w:webHidden/>
            <w:lang w:val="en-US"/>
          </w:rPr>
          <w:fldChar w:fldCharType="end"/>
        </w:r>
      </w:hyperlink>
    </w:p>
    <w:p w14:paraId="1BD2DF3A" w14:textId="40CE36FB"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12" w:history="1">
        <w:r w:rsidRPr="00A4272B">
          <w:rPr>
            <w:rStyle w:val="Hyperlink"/>
            <w:noProof/>
            <w:lang w:val="en-US"/>
          </w:rPr>
          <w:t>5.2</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Extraction and clean-up</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_Toc187270512 \h </w:instrText>
        </w:r>
        <w:r w:rsidRPr="00A4272B">
          <w:rPr>
            <w:noProof/>
            <w:webHidden/>
            <w:lang w:val="en-US"/>
          </w:rPr>
        </w:r>
        <w:r w:rsidRPr="00A4272B">
          <w:rPr>
            <w:noProof/>
            <w:webHidden/>
            <w:lang w:val="en-US"/>
          </w:rPr>
          <w:fldChar w:fldCharType="separate"/>
        </w:r>
        <w:r w:rsidR="00B25CD5">
          <w:rPr>
            <w:noProof/>
            <w:webHidden/>
            <w:lang w:val="en-US"/>
          </w:rPr>
          <w:t>63</w:t>
        </w:r>
        <w:r w:rsidRPr="00A4272B">
          <w:rPr>
            <w:noProof/>
            <w:webHidden/>
            <w:lang w:val="en-US"/>
          </w:rPr>
          <w:fldChar w:fldCharType="end"/>
        </w:r>
      </w:hyperlink>
    </w:p>
    <w:p w14:paraId="03CA8512" w14:textId="0E0D61A0"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13" w:history="1">
        <w:r w:rsidRPr="00A4272B">
          <w:rPr>
            <w:rStyle w:val="Hyperlink"/>
            <w:noProof/>
            <w:lang w:val="en-US"/>
          </w:rPr>
          <w:t>5.3</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POPs analysis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_Toc187270513 \h </w:instrText>
        </w:r>
        <w:r w:rsidRPr="00A4272B">
          <w:rPr>
            <w:noProof/>
            <w:webHidden/>
            <w:lang w:val="en-US"/>
          </w:rPr>
        </w:r>
        <w:r w:rsidRPr="00A4272B">
          <w:rPr>
            <w:noProof/>
            <w:webHidden/>
            <w:lang w:val="en-US"/>
          </w:rPr>
          <w:fldChar w:fldCharType="separate"/>
        </w:r>
        <w:r w:rsidR="00B25CD5">
          <w:rPr>
            <w:noProof/>
            <w:webHidden/>
            <w:lang w:val="en-US"/>
          </w:rPr>
          <w:t>64</w:t>
        </w:r>
        <w:r w:rsidRPr="00A4272B">
          <w:rPr>
            <w:noProof/>
            <w:webHidden/>
            <w:lang w:val="en-US"/>
          </w:rPr>
          <w:fldChar w:fldCharType="end"/>
        </w:r>
      </w:hyperlink>
    </w:p>
    <w:p w14:paraId="0B5FC495" w14:textId="42A08847"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14" w:history="1">
        <w:r w:rsidRPr="00A4272B">
          <w:rPr>
            <w:rStyle w:val="Hyperlink"/>
            <w:noProof/>
            <w:lang w:val="en-US"/>
          </w:rPr>
          <w:t>5.4</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Data treatment</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_Toc187270514 \h </w:instrText>
        </w:r>
        <w:r w:rsidRPr="00A4272B">
          <w:rPr>
            <w:noProof/>
            <w:webHidden/>
            <w:lang w:val="en-US"/>
          </w:rPr>
        </w:r>
        <w:r w:rsidRPr="00A4272B">
          <w:rPr>
            <w:noProof/>
            <w:webHidden/>
            <w:lang w:val="en-US"/>
          </w:rPr>
          <w:fldChar w:fldCharType="separate"/>
        </w:r>
        <w:r w:rsidR="00B25CD5">
          <w:rPr>
            <w:noProof/>
            <w:webHidden/>
            <w:lang w:val="en-US"/>
          </w:rPr>
          <w:t>69</w:t>
        </w:r>
        <w:r w:rsidRPr="00A4272B">
          <w:rPr>
            <w:noProof/>
            <w:webHidden/>
            <w:lang w:val="en-US"/>
          </w:rPr>
          <w:fldChar w:fldCharType="end"/>
        </w:r>
      </w:hyperlink>
    </w:p>
    <w:p w14:paraId="74052EB7" w14:textId="066DE345"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15" w:history="1">
        <w:r w:rsidRPr="00A4272B">
          <w:rPr>
            <w:rStyle w:val="Hyperlink"/>
            <w:noProof/>
            <w:lang w:val="en-US"/>
          </w:rPr>
          <w:t>5.5</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Organization of quality control</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_Toc187270515 \h </w:instrText>
        </w:r>
        <w:r w:rsidRPr="00A4272B">
          <w:rPr>
            <w:noProof/>
            <w:webHidden/>
            <w:lang w:val="en-US"/>
          </w:rPr>
        </w:r>
        <w:r w:rsidRPr="00A4272B">
          <w:rPr>
            <w:noProof/>
            <w:webHidden/>
            <w:lang w:val="en-US"/>
          </w:rPr>
          <w:fldChar w:fldCharType="separate"/>
        </w:r>
        <w:r w:rsidR="00B25CD5">
          <w:rPr>
            <w:noProof/>
            <w:webHidden/>
            <w:lang w:val="en-US"/>
          </w:rPr>
          <w:t>69</w:t>
        </w:r>
        <w:r w:rsidRPr="00A4272B">
          <w:rPr>
            <w:noProof/>
            <w:webHidden/>
            <w:lang w:val="en-US"/>
          </w:rPr>
          <w:fldChar w:fldCharType="end"/>
        </w:r>
      </w:hyperlink>
    </w:p>
    <w:p w14:paraId="05DE113A" w14:textId="70526B89"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16" w:history="1">
        <w:r w:rsidRPr="00A4272B">
          <w:rPr>
            <w:rStyle w:val="Hyperlink"/>
            <w:noProof/>
            <w:lang w:val="en-US"/>
          </w:rPr>
          <w:t>5.6</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Other references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_Toc187270516 \h </w:instrText>
        </w:r>
        <w:r w:rsidRPr="00A4272B">
          <w:rPr>
            <w:noProof/>
            <w:webHidden/>
            <w:lang w:val="en-US"/>
          </w:rPr>
        </w:r>
        <w:r w:rsidRPr="00A4272B">
          <w:rPr>
            <w:noProof/>
            <w:webHidden/>
            <w:lang w:val="en-US"/>
          </w:rPr>
          <w:fldChar w:fldCharType="separate"/>
        </w:r>
        <w:r w:rsidR="00B25CD5">
          <w:rPr>
            <w:noProof/>
            <w:webHidden/>
            <w:lang w:val="en-US"/>
          </w:rPr>
          <w:t>70</w:t>
        </w:r>
        <w:r w:rsidRPr="00A4272B">
          <w:rPr>
            <w:noProof/>
            <w:webHidden/>
            <w:lang w:val="en-US"/>
          </w:rPr>
          <w:fldChar w:fldCharType="end"/>
        </w:r>
      </w:hyperlink>
    </w:p>
    <w:p w14:paraId="3347A388" w14:textId="4865268C"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517" w:history="1">
        <w:r w:rsidRPr="00A4272B">
          <w:rPr>
            <w:rStyle w:val="Hyperlink"/>
            <w:noProof/>
            <w:lang w:val="en-US"/>
          </w:rPr>
          <w:t>6.</w:t>
        </w:r>
        <w:r w:rsidRPr="00A4272B">
          <w:rPr>
            <w:rFonts w:asciiTheme="minorHAnsi" w:eastAsiaTheme="minorEastAsia" w:hAnsiTheme="minorHAnsi" w:cstheme="minorBidi"/>
            <w:bCs w:val="0"/>
            <w:noProof/>
            <w:kern w:val="2"/>
            <w:sz w:val="24"/>
            <w:szCs w:val="24"/>
            <w:lang w:val="en-US" w:eastAsia="ja-JP"/>
            <w14:ligatures w14:val="standardContextual"/>
          </w:rPr>
          <w:tab/>
        </w:r>
        <w:r w:rsidRPr="00A4272B">
          <w:rPr>
            <w:rStyle w:val="Hyperlink"/>
            <w:noProof/>
            <w:lang w:val="en-US"/>
          </w:rPr>
          <w:t>Data handling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_Toc187270517 \h </w:instrText>
        </w:r>
        <w:r w:rsidRPr="00A4272B">
          <w:rPr>
            <w:noProof/>
            <w:webHidden/>
            <w:lang w:val="en-US"/>
          </w:rPr>
        </w:r>
        <w:r w:rsidRPr="00A4272B">
          <w:rPr>
            <w:noProof/>
            <w:webHidden/>
            <w:lang w:val="en-US"/>
          </w:rPr>
          <w:fldChar w:fldCharType="separate"/>
        </w:r>
        <w:r w:rsidR="00B25CD5">
          <w:rPr>
            <w:noProof/>
            <w:webHidden/>
            <w:lang w:val="en-US"/>
          </w:rPr>
          <w:t>71</w:t>
        </w:r>
        <w:r w:rsidRPr="00A4272B">
          <w:rPr>
            <w:noProof/>
            <w:webHidden/>
            <w:lang w:val="en-US"/>
          </w:rPr>
          <w:fldChar w:fldCharType="end"/>
        </w:r>
      </w:hyperlink>
    </w:p>
    <w:p w14:paraId="5E595A7E" w14:textId="6C1136D8"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18" w:history="1">
        <w:r w:rsidRPr="00A4272B">
          <w:rPr>
            <w:rStyle w:val="Hyperlink"/>
            <w:noProof/>
            <w:lang w:val="en-US"/>
          </w:rPr>
          <w:t>6.1</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Objectives and priorities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_Toc187270518 \h </w:instrText>
        </w:r>
        <w:r w:rsidRPr="00A4272B">
          <w:rPr>
            <w:noProof/>
            <w:webHidden/>
            <w:lang w:val="en-US"/>
          </w:rPr>
        </w:r>
        <w:r w:rsidRPr="00A4272B">
          <w:rPr>
            <w:noProof/>
            <w:webHidden/>
            <w:lang w:val="en-US"/>
          </w:rPr>
          <w:fldChar w:fldCharType="separate"/>
        </w:r>
        <w:r w:rsidR="00B25CD5">
          <w:rPr>
            <w:noProof/>
            <w:webHidden/>
            <w:lang w:val="en-US"/>
          </w:rPr>
          <w:t>71</w:t>
        </w:r>
        <w:r w:rsidRPr="00A4272B">
          <w:rPr>
            <w:noProof/>
            <w:webHidden/>
            <w:lang w:val="en-US"/>
          </w:rPr>
          <w:fldChar w:fldCharType="end"/>
        </w:r>
      </w:hyperlink>
    </w:p>
    <w:p w14:paraId="24F1758F" w14:textId="55FCE687"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19" w:history="1">
        <w:r w:rsidRPr="00A4272B">
          <w:rPr>
            <w:rStyle w:val="Hyperlink"/>
            <w:noProof/>
            <w:lang w:val="en-US"/>
          </w:rPr>
          <w:t>6.2</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Data policy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_Toc187270519 \h </w:instrText>
        </w:r>
        <w:r w:rsidRPr="00A4272B">
          <w:rPr>
            <w:noProof/>
            <w:webHidden/>
            <w:lang w:val="en-US"/>
          </w:rPr>
        </w:r>
        <w:r w:rsidRPr="00A4272B">
          <w:rPr>
            <w:noProof/>
            <w:webHidden/>
            <w:lang w:val="en-US"/>
          </w:rPr>
          <w:fldChar w:fldCharType="separate"/>
        </w:r>
        <w:r w:rsidR="00B25CD5">
          <w:rPr>
            <w:noProof/>
            <w:webHidden/>
            <w:lang w:val="en-US"/>
          </w:rPr>
          <w:t>71</w:t>
        </w:r>
        <w:r w:rsidRPr="00A4272B">
          <w:rPr>
            <w:noProof/>
            <w:webHidden/>
            <w:lang w:val="en-US"/>
          </w:rPr>
          <w:fldChar w:fldCharType="end"/>
        </w:r>
      </w:hyperlink>
    </w:p>
    <w:p w14:paraId="5E37A3FF" w14:textId="7674B5F5"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20" w:history="1">
        <w:r w:rsidRPr="00A4272B">
          <w:rPr>
            <w:rStyle w:val="Hyperlink"/>
            <w:noProof/>
            <w:lang w:val="en-US"/>
          </w:rPr>
          <w:t>6.2.1</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Terminology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_Toc187270520 \h </w:instrText>
        </w:r>
        <w:r w:rsidRPr="00A4272B">
          <w:rPr>
            <w:noProof/>
            <w:webHidden/>
            <w:lang w:val="en-US"/>
          </w:rPr>
        </w:r>
        <w:r w:rsidRPr="00A4272B">
          <w:rPr>
            <w:noProof/>
            <w:webHidden/>
            <w:lang w:val="en-US"/>
          </w:rPr>
          <w:fldChar w:fldCharType="separate"/>
        </w:r>
        <w:r w:rsidR="00B25CD5">
          <w:rPr>
            <w:noProof/>
            <w:webHidden/>
            <w:lang w:val="en-US"/>
          </w:rPr>
          <w:t>71</w:t>
        </w:r>
        <w:r w:rsidRPr="00A4272B">
          <w:rPr>
            <w:noProof/>
            <w:webHidden/>
            <w:lang w:val="en-US"/>
          </w:rPr>
          <w:fldChar w:fldCharType="end"/>
        </w:r>
      </w:hyperlink>
    </w:p>
    <w:p w14:paraId="179B5E8E" w14:textId="69450F3E"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21" w:history="1">
        <w:r w:rsidRPr="00A4272B">
          <w:rPr>
            <w:rStyle w:val="Hyperlink"/>
            <w:noProof/>
            <w:lang w:val="en-US"/>
          </w:rPr>
          <w:t>6.2.2</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Data policy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_Toc187270521 \h </w:instrText>
        </w:r>
        <w:r w:rsidRPr="00A4272B">
          <w:rPr>
            <w:noProof/>
            <w:webHidden/>
            <w:lang w:val="en-US"/>
          </w:rPr>
        </w:r>
        <w:r w:rsidRPr="00A4272B">
          <w:rPr>
            <w:noProof/>
            <w:webHidden/>
            <w:lang w:val="en-US"/>
          </w:rPr>
          <w:fldChar w:fldCharType="separate"/>
        </w:r>
        <w:r w:rsidR="00B25CD5">
          <w:rPr>
            <w:noProof/>
            <w:webHidden/>
            <w:lang w:val="en-US"/>
          </w:rPr>
          <w:t>72</w:t>
        </w:r>
        <w:r w:rsidRPr="00A4272B">
          <w:rPr>
            <w:noProof/>
            <w:webHidden/>
            <w:lang w:val="en-US"/>
          </w:rPr>
          <w:fldChar w:fldCharType="end"/>
        </w:r>
      </w:hyperlink>
    </w:p>
    <w:p w14:paraId="3E873D29" w14:textId="6BFEACBA"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22" w:history="1">
        <w:r w:rsidRPr="00A4272B">
          <w:rPr>
            <w:rStyle w:val="Hyperlink"/>
            <w:noProof/>
            <w:lang w:val="en-US"/>
          </w:rPr>
          <w:t>6.3</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Data quality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_Toc187270522 \h </w:instrText>
        </w:r>
        <w:r w:rsidRPr="00A4272B">
          <w:rPr>
            <w:noProof/>
            <w:webHidden/>
            <w:lang w:val="en-US"/>
          </w:rPr>
        </w:r>
        <w:r w:rsidRPr="00A4272B">
          <w:rPr>
            <w:noProof/>
            <w:webHidden/>
            <w:lang w:val="en-US"/>
          </w:rPr>
          <w:fldChar w:fldCharType="separate"/>
        </w:r>
        <w:r w:rsidR="00B25CD5">
          <w:rPr>
            <w:noProof/>
            <w:webHidden/>
            <w:lang w:val="en-US"/>
          </w:rPr>
          <w:t>72</w:t>
        </w:r>
        <w:r w:rsidRPr="00A4272B">
          <w:rPr>
            <w:noProof/>
            <w:webHidden/>
            <w:lang w:val="en-US"/>
          </w:rPr>
          <w:fldChar w:fldCharType="end"/>
        </w:r>
      </w:hyperlink>
    </w:p>
    <w:p w14:paraId="654223FC" w14:textId="3FA2FB16"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23" w:history="1">
        <w:r w:rsidRPr="00A4272B">
          <w:rPr>
            <w:rStyle w:val="Hyperlink"/>
            <w:noProof/>
            <w:lang w:val="en-US"/>
          </w:rPr>
          <w:t>6.4</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Data flow and storage facilities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_Toc187270523 \h </w:instrText>
        </w:r>
        <w:r w:rsidRPr="00A4272B">
          <w:rPr>
            <w:noProof/>
            <w:webHidden/>
            <w:lang w:val="en-US"/>
          </w:rPr>
        </w:r>
        <w:r w:rsidRPr="00A4272B">
          <w:rPr>
            <w:noProof/>
            <w:webHidden/>
            <w:lang w:val="en-US"/>
          </w:rPr>
          <w:fldChar w:fldCharType="separate"/>
        </w:r>
        <w:r w:rsidR="00B25CD5">
          <w:rPr>
            <w:noProof/>
            <w:webHidden/>
            <w:lang w:val="en-US"/>
          </w:rPr>
          <w:t>73</w:t>
        </w:r>
        <w:r w:rsidRPr="00A4272B">
          <w:rPr>
            <w:noProof/>
            <w:webHidden/>
            <w:lang w:val="en-US"/>
          </w:rPr>
          <w:fldChar w:fldCharType="end"/>
        </w:r>
      </w:hyperlink>
    </w:p>
    <w:p w14:paraId="356B6F70" w14:textId="3E1FFECD"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24" w:history="1">
        <w:r w:rsidRPr="00A4272B">
          <w:rPr>
            <w:rStyle w:val="Hyperlink"/>
            <w:noProof/>
            <w:lang w:val="en-US"/>
          </w:rPr>
          <w:t>6.4.1</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Scope</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_Toc187270524 \h </w:instrText>
        </w:r>
        <w:r w:rsidRPr="00A4272B">
          <w:rPr>
            <w:noProof/>
            <w:webHidden/>
            <w:lang w:val="en-US"/>
          </w:rPr>
        </w:r>
        <w:r w:rsidRPr="00A4272B">
          <w:rPr>
            <w:noProof/>
            <w:webHidden/>
            <w:lang w:val="en-US"/>
          </w:rPr>
          <w:fldChar w:fldCharType="separate"/>
        </w:r>
        <w:r w:rsidR="00B25CD5">
          <w:rPr>
            <w:noProof/>
            <w:webHidden/>
            <w:lang w:val="en-US"/>
          </w:rPr>
          <w:t>73</w:t>
        </w:r>
        <w:r w:rsidRPr="00A4272B">
          <w:rPr>
            <w:noProof/>
            <w:webHidden/>
            <w:lang w:val="en-US"/>
          </w:rPr>
          <w:fldChar w:fldCharType="end"/>
        </w:r>
      </w:hyperlink>
    </w:p>
    <w:p w14:paraId="759EDCF2" w14:textId="47A5DF98"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25" w:history="1">
        <w:r w:rsidRPr="00A4272B">
          <w:rPr>
            <w:rStyle w:val="Hyperlink"/>
            <w:noProof/>
            <w:lang w:val="en-US"/>
          </w:rPr>
          <w:t>6.4.2</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GMP data storage (compilation and archiving)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_Toc187270525 \h </w:instrText>
        </w:r>
        <w:r w:rsidRPr="00A4272B">
          <w:rPr>
            <w:noProof/>
            <w:webHidden/>
            <w:lang w:val="en-US"/>
          </w:rPr>
        </w:r>
        <w:r w:rsidRPr="00A4272B">
          <w:rPr>
            <w:noProof/>
            <w:webHidden/>
            <w:lang w:val="en-US"/>
          </w:rPr>
          <w:fldChar w:fldCharType="separate"/>
        </w:r>
        <w:r w:rsidR="00B25CD5">
          <w:rPr>
            <w:noProof/>
            <w:webHidden/>
            <w:lang w:val="en-US"/>
          </w:rPr>
          <w:t>73</w:t>
        </w:r>
        <w:r w:rsidRPr="00A4272B">
          <w:rPr>
            <w:noProof/>
            <w:webHidden/>
            <w:lang w:val="en-US"/>
          </w:rPr>
          <w:fldChar w:fldCharType="end"/>
        </w:r>
      </w:hyperlink>
    </w:p>
    <w:p w14:paraId="6A8F3822" w14:textId="0E845BCE"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26" w:history="1">
        <w:r w:rsidRPr="00A4272B">
          <w:rPr>
            <w:rStyle w:val="Hyperlink"/>
            <w:noProof/>
            <w:lang w:val="en-US"/>
          </w:rPr>
          <w:t>6.4.3</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Data reporting scheme/flow</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_Toc187270526 \h </w:instrText>
        </w:r>
        <w:r w:rsidRPr="00A4272B">
          <w:rPr>
            <w:noProof/>
            <w:webHidden/>
            <w:lang w:val="en-US"/>
          </w:rPr>
        </w:r>
        <w:r w:rsidRPr="00A4272B">
          <w:rPr>
            <w:noProof/>
            <w:webHidden/>
            <w:lang w:val="en-US"/>
          </w:rPr>
          <w:fldChar w:fldCharType="separate"/>
        </w:r>
        <w:r w:rsidR="00B25CD5">
          <w:rPr>
            <w:noProof/>
            <w:webHidden/>
            <w:lang w:val="en-US"/>
          </w:rPr>
          <w:t>74</w:t>
        </w:r>
        <w:r w:rsidRPr="00A4272B">
          <w:rPr>
            <w:noProof/>
            <w:webHidden/>
            <w:lang w:val="en-US"/>
          </w:rPr>
          <w:fldChar w:fldCharType="end"/>
        </w:r>
      </w:hyperlink>
    </w:p>
    <w:p w14:paraId="136952E3" w14:textId="1B363007"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27" w:history="1">
        <w:r w:rsidRPr="00A4272B">
          <w:rPr>
            <w:rStyle w:val="Hyperlink"/>
            <w:noProof/>
            <w:lang w:val="en-US"/>
          </w:rPr>
          <w:t>6.4.4</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Data continuity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_Toc187270527 \h </w:instrText>
        </w:r>
        <w:r w:rsidRPr="00A4272B">
          <w:rPr>
            <w:noProof/>
            <w:webHidden/>
            <w:lang w:val="en-US"/>
          </w:rPr>
        </w:r>
        <w:r w:rsidRPr="00A4272B">
          <w:rPr>
            <w:noProof/>
            <w:webHidden/>
            <w:lang w:val="en-US"/>
          </w:rPr>
          <w:fldChar w:fldCharType="separate"/>
        </w:r>
        <w:r w:rsidR="00B25CD5">
          <w:rPr>
            <w:noProof/>
            <w:webHidden/>
            <w:lang w:val="en-US"/>
          </w:rPr>
          <w:t>74</w:t>
        </w:r>
        <w:r w:rsidRPr="00A4272B">
          <w:rPr>
            <w:noProof/>
            <w:webHidden/>
            <w:lang w:val="en-US"/>
          </w:rPr>
          <w:fldChar w:fldCharType="end"/>
        </w:r>
      </w:hyperlink>
    </w:p>
    <w:p w14:paraId="4A9D7C78" w14:textId="6679DF1B"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28" w:history="1">
        <w:r w:rsidRPr="00A4272B">
          <w:rPr>
            <w:rStyle w:val="Hyperlink"/>
            <w:noProof/>
            <w:lang w:val="en-US"/>
          </w:rPr>
          <w:t>6.4.5</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Standardized data exchange</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_Toc187270528 \h </w:instrText>
        </w:r>
        <w:r w:rsidRPr="00A4272B">
          <w:rPr>
            <w:noProof/>
            <w:webHidden/>
            <w:lang w:val="en-US"/>
          </w:rPr>
        </w:r>
        <w:r w:rsidRPr="00A4272B">
          <w:rPr>
            <w:noProof/>
            <w:webHidden/>
            <w:lang w:val="en-US"/>
          </w:rPr>
          <w:fldChar w:fldCharType="separate"/>
        </w:r>
        <w:r w:rsidR="00B25CD5">
          <w:rPr>
            <w:noProof/>
            <w:webHidden/>
            <w:lang w:val="en-US"/>
          </w:rPr>
          <w:t>75</w:t>
        </w:r>
        <w:r w:rsidRPr="00A4272B">
          <w:rPr>
            <w:noProof/>
            <w:webHidden/>
            <w:lang w:val="en-US"/>
          </w:rPr>
          <w:fldChar w:fldCharType="end"/>
        </w:r>
      </w:hyperlink>
    </w:p>
    <w:p w14:paraId="16BCF5AB" w14:textId="0E5A7329"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29" w:history="1">
        <w:r w:rsidRPr="00A4272B">
          <w:rPr>
            <w:rStyle w:val="Hyperlink"/>
            <w:noProof/>
            <w:lang w:val="en-US"/>
          </w:rPr>
          <w:t>6.4.6</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Data products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_Toc187270529 \h </w:instrText>
        </w:r>
        <w:r w:rsidRPr="00A4272B">
          <w:rPr>
            <w:noProof/>
            <w:webHidden/>
            <w:lang w:val="en-US"/>
          </w:rPr>
        </w:r>
        <w:r w:rsidRPr="00A4272B">
          <w:rPr>
            <w:noProof/>
            <w:webHidden/>
            <w:lang w:val="en-US"/>
          </w:rPr>
          <w:fldChar w:fldCharType="separate"/>
        </w:r>
        <w:r w:rsidR="00B25CD5">
          <w:rPr>
            <w:noProof/>
            <w:webHidden/>
            <w:lang w:val="en-US"/>
          </w:rPr>
          <w:t>79</w:t>
        </w:r>
        <w:r w:rsidRPr="00A4272B">
          <w:rPr>
            <w:noProof/>
            <w:webHidden/>
            <w:lang w:val="en-US"/>
          </w:rPr>
          <w:fldChar w:fldCharType="end"/>
        </w:r>
      </w:hyperlink>
    </w:p>
    <w:p w14:paraId="6A294E13" w14:textId="527A67F0"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530" w:history="1">
        <w:r w:rsidRPr="00A4272B">
          <w:rPr>
            <w:rStyle w:val="Hyperlink"/>
            <w:noProof/>
            <w:lang w:val="en-US"/>
          </w:rPr>
          <w:t>7.</w:t>
        </w:r>
        <w:r w:rsidRPr="00A4272B">
          <w:rPr>
            <w:rFonts w:asciiTheme="minorHAnsi" w:eastAsiaTheme="minorEastAsia" w:hAnsiTheme="minorHAnsi" w:cstheme="minorBidi"/>
            <w:bCs w:val="0"/>
            <w:noProof/>
            <w:kern w:val="2"/>
            <w:sz w:val="24"/>
            <w:szCs w:val="24"/>
            <w:lang w:val="en-US" w:eastAsia="ja-JP"/>
            <w14:ligatures w14:val="standardContextual"/>
          </w:rPr>
          <w:tab/>
        </w:r>
        <w:r w:rsidRPr="00A4272B">
          <w:rPr>
            <w:rStyle w:val="Hyperlink"/>
            <w:noProof/>
            <w:lang w:val="en-US"/>
          </w:rPr>
          <w:t>Strategy, process and draft structure for regional monitoring reports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_Toc187270530 \h </w:instrText>
        </w:r>
        <w:r w:rsidRPr="00A4272B">
          <w:rPr>
            <w:noProof/>
            <w:webHidden/>
            <w:lang w:val="en-US"/>
          </w:rPr>
        </w:r>
        <w:r w:rsidRPr="00A4272B">
          <w:rPr>
            <w:noProof/>
            <w:webHidden/>
            <w:lang w:val="en-US"/>
          </w:rPr>
          <w:fldChar w:fldCharType="separate"/>
        </w:r>
        <w:r w:rsidR="00B25CD5">
          <w:rPr>
            <w:noProof/>
            <w:webHidden/>
            <w:lang w:val="en-US"/>
          </w:rPr>
          <w:t>79</w:t>
        </w:r>
        <w:r w:rsidRPr="00A4272B">
          <w:rPr>
            <w:noProof/>
            <w:webHidden/>
            <w:lang w:val="en-US"/>
          </w:rPr>
          <w:fldChar w:fldCharType="end"/>
        </w:r>
      </w:hyperlink>
    </w:p>
    <w:p w14:paraId="4DA52E81" w14:textId="52B1D2D5"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31" w:history="1">
        <w:r w:rsidRPr="00A4272B">
          <w:rPr>
            <w:rStyle w:val="Hyperlink"/>
            <w:noProof/>
            <w:lang w:val="en-US"/>
          </w:rPr>
          <w:t>7.1</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Implementation of the global monitoring plan for effectiveness evaluation</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_Toc187270531 \h </w:instrText>
        </w:r>
        <w:r w:rsidRPr="00A4272B">
          <w:rPr>
            <w:noProof/>
            <w:webHidden/>
            <w:lang w:val="en-US"/>
          </w:rPr>
        </w:r>
        <w:r w:rsidRPr="00A4272B">
          <w:rPr>
            <w:noProof/>
            <w:webHidden/>
            <w:lang w:val="en-US"/>
          </w:rPr>
          <w:fldChar w:fldCharType="separate"/>
        </w:r>
        <w:r w:rsidR="00B25CD5">
          <w:rPr>
            <w:noProof/>
            <w:webHidden/>
            <w:lang w:val="en-US"/>
          </w:rPr>
          <w:t>79</w:t>
        </w:r>
        <w:r w:rsidRPr="00A4272B">
          <w:rPr>
            <w:noProof/>
            <w:webHidden/>
            <w:lang w:val="en-US"/>
          </w:rPr>
          <w:fldChar w:fldCharType="end"/>
        </w:r>
      </w:hyperlink>
    </w:p>
    <w:p w14:paraId="54F5F184" w14:textId="20437B9B"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32" w:history="1">
        <w:r w:rsidRPr="00A4272B">
          <w:rPr>
            <w:rStyle w:val="Hyperlink"/>
            <w:noProof/>
            <w:lang w:val="en-US"/>
          </w:rPr>
          <w:t>7.2</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Outline of regional monitoring reports (to be adapted as appropriate for use in specific regions)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_Toc187270532 \h </w:instrText>
        </w:r>
        <w:r w:rsidRPr="00A4272B">
          <w:rPr>
            <w:noProof/>
            <w:webHidden/>
            <w:lang w:val="en-US"/>
          </w:rPr>
        </w:r>
        <w:r w:rsidRPr="00A4272B">
          <w:rPr>
            <w:noProof/>
            <w:webHidden/>
            <w:lang w:val="en-US"/>
          </w:rPr>
          <w:fldChar w:fldCharType="separate"/>
        </w:r>
        <w:r w:rsidR="00B25CD5">
          <w:rPr>
            <w:noProof/>
            <w:webHidden/>
            <w:lang w:val="en-US"/>
          </w:rPr>
          <w:t>79</w:t>
        </w:r>
        <w:r w:rsidRPr="00A4272B">
          <w:rPr>
            <w:noProof/>
            <w:webHidden/>
            <w:lang w:val="en-US"/>
          </w:rPr>
          <w:fldChar w:fldCharType="end"/>
        </w:r>
      </w:hyperlink>
    </w:p>
    <w:p w14:paraId="7A3F28F2" w14:textId="162AA151"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33" w:history="1">
        <w:r w:rsidRPr="00A4272B">
          <w:rPr>
            <w:rStyle w:val="Hyperlink"/>
            <w:noProof/>
            <w:lang w:val="en-US"/>
          </w:rPr>
          <w:t>7.3</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Outline of the global monitoring report</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_Toc187270533 \h </w:instrText>
        </w:r>
        <w:r w:rsidRPr="00A4272B">
          <w:rPr>
            <w:noProof/>
            <w:webHidden/>
            <w:lang w:val="en-US"/>
          </w:rPr>
        </w:r>
        <w:r w:rsidRPr="00A4272B">
          <w:rPr>
            <w:noProof/>
            <w:webHidden/>
            <w:lang w:val="en-US"/>
          </w:rPr>
          <w:fldChar w:fldCharType="separate"/>
        </w:r>
        <w:r w:rsidR="00B25CD5">
          <w:rPr>
            <w:noProof/>
            <w:webHidden/>
            <w:lang w:val="en-US"/>
          </w:rPr>
          <w:t>82</w:t>
        </w:r>
        <w:r w:rsidRPr="00A4272B">
          <w:rPr>
            <w:noProof/>
            <w:webHidden/>
            <w:lang w:val="en-US"/>
          </w:rPr>
          <w:fldChar w:fldCharType="end"/>
        </w:r>
      </w:hyperlink>
    </w:p>
    <w:p w14:paraId="6412BD81" w14:textId="2D2BBF68"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534" w:history="1">
        <w:r w:rsidRPr="00A4272B">
          <w:rPr>
            <w:rStyle w:val="Hyperlink"/>
            <w:noProof/>
            <w:lang w:val="en-US"/>
          </w:rPr>
          <w:t>8.</w:t>
        </w:r>
        <w:r w:rsidRPr="00A4272B">
          <w:rPr>
            <w:rFonts w:asciiTheme="minorHAnsi" w:eastAsiaTheme="minorEastAsia" w:hAnsiTheme="minorHAnsi" w:cstheme="minorBidi"/>
            <w:bCs w:val="0"/>
            <w:noProof/>
            <w:kern w:val="2"/>
            <w:sz w:val="24"/>
            <w:szCs w:val="24"/>
            <w:lang w:val="en-US" w:eastAsia="ja-JP"/>
            <w14:ligatures w14:val="standardContextual"/>
          </w:rPr>
          <w:tab/>
        </w:r>
        <w:r w:rsidRPr="00A4272B">
          <w:rPr>
            <w:rStyle w:val="Hyperlink"/>
            <w:noProof/>
            <w:lang w:val="en-US"/>
          </w:rPr>
          <w:t>Environmental specimen banking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_Toc187270534 \h </w:instrText>
        </w:r>
        <w:r w:rsidRPr="00A4272B">
          <w:rPr>
            <w:noProof/>
            <w:webHidden/>
            <w:lang w:val="en-US"/>
          </w:rPr>
        </w:r>
        <w:r w:rsidRPr="00A4272B">
          <w:rPr>
            <w:noProof/>
            <w:webHidden/>
            <w:lang w:val="en-US"/>
          </w:rPr>
          <w:fldChar w:fldCharType="separate"/>
        </w:r>
        <w:r w:rsidR="00B25CD5">
          <w:rPr>
            <w:noProof/>
            <w:webHidden/>
            <w:lang w:val="en-US"/>
          </w:rPr>
          <w:t>83</w:t>
        </w:r>
        <w:r w:rsidRPr="00A4272B">
          <w:rPr>
            <w:noProof/>
            <w:webHidden/>
            <w:lang w:val="en-US"/>
          </w:rPr>
          <w:fldChar w:fldCharType="end"/>
        </w:r>
      </w:hyperlink>
    </w:p>
    <w:p w14:paraId="3DFCE5CA" w14:textId="467E0DCB"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35" w:history="1">
        <w:r w:rsidRPr="00A4272B">
          <w:rPr>
            <w:rStyle w:val="Hyperlink"/>
            <w:noProof/>
            <w:lang w:val="en-US"/>
          </w:rPr>
          <w:t>8.1</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Introduction</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_Toc187270535 \h </w:instrText>
        </w:r>
        <w:r w:rsidRPr="00A4272B">
          <w:rPr>
            <w:noProof/>
            <w:webHidden/>
            <w:lang w:val="en-US"/>
          </w:rPr>
        </w:r>
        <w:r w:rsidRPr="00A4272B">
          <w:rPr>
            <w:noProof/>
            <w:webHidden/>
            <w:lang w:val="en-US"/>
          </w:rPr>
          <w:fldChar w:fldCharType="separate"/>
        </w:r>
        <w:r w:rsidR="00B25CD5">
          <w:rPr>
            <w:noProof/>
            <w:webHidden/>
            <w:lang w:val="en-US"/>
          </w:rPr>
          <w:t>83</w:t>
        </w:r>
        <w:r w:rsidRPr="00A4272B">
          <w:rPr>
            <w:noProof/>
            <w:webHidden/>
            <w:lang w:val="en-US"/>
          </w:rPr>
          <w:fldChar w:fldCharType="end"/>
        </w:r>
      </w:hyperlink>
    </w:p>
    <w:p w14:paraId="2A084DC0" w14:textId="179DEF5F"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36" w:history="1">
        <w:r w:rsidRPr="00A4272B">
          <w:rPr>
            <w:rStyle w:val="Hyperlink"/>
            <w:noProof/>
            <w:lang w:val="en-US"/>
          </w:rPr>
          <w:t>8.2</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Basic concept and requirements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_Toc187270536 \h </w:instrText>
        </w:r>
        <w:r w:rsidRPr="00A4272B">
          <w:rPr>
            <w:noProof/>
            <w:webHidden/>
            <w:lang w:val="en-US"/>
          </w:rPr>
        </w:r>
        <w:r w:rsidRPr="00A4272B">
          <w:rPr>
            <w:noProof/>
            <w:webHidden/>
            <w:lang w:val="en-US"/>
          </w:rPr>
          <w:fldChar w:fldCharType="separate"/>
        </w:r>
        <w:r w:rsidR="00B25CD5">
          <w:rPr>
            <w:noProof/>
            <w:webHidden/>
            <w:lang w:val="en-US"/>
          </w:rPr>
          <w:t>86</w:t>
        </w:r>
        <w:r w:rsidRPr="00A4272B">
          <w:rPr>
            <w:noProof/>
            <w:webHidden/>
            <w:lang w:val="en-US"/>
          </w:rPr>
          <w:fldChar w:fldCharType="end"/>
        </w:r>
      </w:hyperlink>
    </w:p>
    <w:p w14:paraId="1B9B90A6" w14:textId="1C06D710"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37" w:history="1">
        <w:r w:rsidRPr="00A4272B">
          <w:rPr>
            <w:rStyle w:val="Hyperlink"/>
            <w:noProof/>
            <w:lang w:val="en-US"/>
          </w:rPr>
          <w:t>8.2.1</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Basic concept of environmental specimen banking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_Toc187270537 \h </w:instrText>
        </w:r>
        <w:r w:rsidRPr="00A4272B">
          <w:rPr>
            <w:noProof/>
            <w:webHidden/>
            <w:lang w:val="en-US"/>
          </w:rPr>
        </w:r>
        <w:r w:rsidRPr="00A4272B">
          <w:rPr>
            <w:noProof/>
            <w:webHidden/>
            <w:lang w:val="en-US"/>
          </w:rPr>
          <w:fldChar w:fldCharType="separate"/>
        </w:r>
        <w:r w:rsidR="00B25CD5">
          <w:rPr>
            <w:noProof/>
            <w:webHidden/>
            <w:lang w:val="en-US"/>
          </w:rPr>
          <w:t>86</w:t>
        </w:r>
        <w:r w:rsidRPr="00A4272B">
          <w:rPr>
            <w:noProof/>
            <w:webHidden/>
            <w:lang w:val="en-US"/>
          </w:rPr>
          <w:fldChar w:fldCharType="end"/>
        </w:r>
      </w:hyperlink>
    </w:p>
    <w:p w14:paraId="3A08F83D" w14:textId="0A8C323F"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38" w:history="1">
        <w:r w:rsidRPr="00A4272B">
          <w:rPr>
            <w:rStyle w:val="Hyperlink"/>
            <w:noProof/>
            <w:lang w:val="en-US"/>
          </w:rPr>
          <w:t>8.2.2</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Samples to be stored</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_Toc187270538 \h </w:instrText>
        </w:r>
        <w:r w:rsidRPr="00A4272B">
          <w:rPr>
            <w:noProof/>
            <w:webHidden/>
            <w:lang w:val="en-US"/>
          </w:rPr>
        </w:r>
        <w:r w:rsidRPr="00A4272B">
          <w:rPr>
            <w:noProof/>
            <w:webHidden/>
            <w:lang w:val="en-US"/>
          </w:rPr>
          <w:fldChar w:fldCharType="separate"/>
        </w:r>
        <w:r w:rsidR="00B25CD5">
          <w:rPr>
            <w:noProof/>
            <w:webHidden/>
            <w:lang w:val="en-US"/>
          </w:rPr>
          <w:t>86</w:t>
        </w:r>
        <w:r w:rsidRPr="00A4272B">
          <w:rPr>
            <w:noProof/>
            <w:webHidden/>
            <w:lang w:val="en-US"/>
          </w:rPr>
          <w:fldChar w:fldCharType="end"/>
        </w:r>
      </w:hyperlink>
    </w:p>
    <w:p w14:paraId="0527FE07" w14:textId="7737FE16"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39" w:history="1">
        <w:r w:rsidRPr="00A4272B">
          <w:rPr>
            <w:rStyle w:val="Hyperlink"/>
            <w:noProof/>
            <w:lang w:val="en-US"/>
          </w:rPr>
          <w:t>8.2.3</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Long-term storage method</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_Toc187270539 \h </w:instrText>
        </w:r>
        <w:r w:rsidRPr="00A4272B">
          <w:rPr>
            <w:noProof/>
            <w:webHidden/>
            <w:lang w:val="en-US"/>
          </w:rPr>
        </w:r>
        <w:r w:rsidRPr="00A4272B">
          <w:rPr>
            <w:noProof/>
            <w:webHidden/>
            <w:lang w:val="en-US"/>
          </w:rPr>
          <w:fldChar w:fldCharType="separate"/>
        </w:r>
        <w:r w:rsidR="00B25CD5">
          <w:rPr>
            <w:noProof/>
            <w:webHidden/>
            <w:lang w:val="en-US"/>
          </w:rPr>
          <w:t>87</w:t>
        </w:r>
        <w:r w:rsidRPr="00A4272B">
          <w:rPr>
            <w:noProof/>
            <w:webHidden/>
            <w:lang w:val="en-US"/>
          </w:rPr>
          <w:fldChar w:fldCharType="end"/>
        </w:r>
      </w:hyperlink>
    </w:p>
    <w:p w14:paraId="6A48F90E" w14:textId="221D3AE5"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40" w:history="1">
        <w:r w:rsidRPr="00A4272B">
          <w:rPr>
            <w:rStyle w:val="Hyperlink"/>
            <w:noProof/>
            <w:lang w:val="en-US"/>
          </w:rPr>
          <w:t>8.2.4</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Facility requirement</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_Toc187270540 \h </w:instrText>
        </w:r>
        <w:r w:rsidRPr="00A4272B">
          <w:rPr>
            <w:noProof/>
            <w:webHidden/>
            <w:lang w:val="en-US"/>
          </w:rPr>
        </w:r>
        <w:r w:rsidRPr="00A4272B">
          <w:rPr>
            <w:noProof/>
            <w:webHidden/>
            <w:lang w:val="en-US"/>
          </w:rPr>
          <w:fldChar w:fldCharType="separate"/>
        </w:r>
        <w:r w:rsidR="00B25CD5">
          <w:rPr>
            <w:noProof/>
            <w:webHidden/>
            <w:lang w:val="en-US"/>
          </w:rPr>
          <w:t>88</w:t>
        </w:r>
        <w:r w:rsidRPr="00A4272B">
          <w:rPr>
            <w:noProof/>
            <w:webHidden/>
            <w:lang w:val="en-US"/>
          </w:rPr>
          <w:fldChar w:fldCharType="end"/>
        </w:r>
      </w:hyperlink>
    </w:p>
    <w:p w14:paraId="0C8775DD" w14:textId="5DDB6CB3"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41" w:history="1">
        <w:r w:rsidRPr="00A4272B">
          <w:rPr>
            <w:rStyle w:val="Hyperlink"/>
            <w:noProof/>
            <w:lang w:val="en-US"/>
          </w:rPr>
          <w:t>8.2.5</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Administrative system</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_Toc187270541 \h </w:instrText>
        </w:r>
        <w:r w:rsidRPr="00A4272B">
          <w:rPr>
            <w:noProof/>
            <w:webHidden/>
            <w:lang w:val="en-US"/>
          </w:rPr>
        </w:r>
        <w:r w:rsidRPr="00A4272B">
          <w:rPr>
            <w:noProof/>
            <w:webHidden/>
            <w:lang w:val="en-US"/>
          </w:rPr>
          <w:fldChar w:fldCharType="separate"/>
        </w:r>
        <w:r w:rsidR="00B25CD5">
          <w:rPr>
            <w:noProof/>
            <w:webHidden/>
            <w:lang w:val="en-US"/>
          </w:rPr>
          <w:t>89</w:t>
        </w:r>
        <w:r w:rsidRPr="00A4272B">
          <w:rPr>
            <w:noProof/>
            <w:webHidden/>
            <w:lang w:val="en-US"/>
          </w:rPr>
          <w:fldChar w:fldCharType="end"/>
        </w:r>
      </w:hyperlink>
    </w:p>
    <w:p w14:paraId="43C168B7" w14:textId="3C30E07D"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42" w:history="1">
        <w:r w:rsidRPr="00A4272B">
          <w:rPr>
            <w:rStyle w:val="Hyperlink"/>
            <w:noProof/>
            <w:lang w:val="en-US"/>
          </w:rPr>
          <w:t>8.2.6</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Safety caution and training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_Toc187270542 \h </w:instrText>
        </w:r>
        <w:r w:rsidRPr="00A4272B">
          <w:rPr>
            <w:noProof/>
            <w:webHidden/>
            <w:lang w:val="en-US"/>
          </w:rPr>
        </w:r>
        <w:r w:rsidRPr="00A4272B">
          <w:rPr>
            <w:noProof/>
            <w:webHidden/>
            <w:lang w:val="en-US"/>
          </w:rPr>
          <w:fldChar w:fldCharType="separate"/>
        </w:r>
        <w:r w:rsidR="00B25CD5">
          <w:rPr>
            <w:noProof/>
            <w:webHidden/>
            <w:lang w:val="en-US"/>
          </w:rPr>
          <w:t>89</w:t>
        </w:r>
        <w:r w:rsidRPr="00A4272B">
          <w:rPr>
            <w:noProof/>
            <w:webHidden/>
            <w:lang w:val="en-US"/>
          </w:rPr>
          <w:fldChar w:fldCharType="end"/>
        </w:r>
      </w:hyperlink>
    </w:p>
    <w:p w14:paraId="6DDB0E9E" w14:textId="29E7E23D"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43" w:history="1">
        <w:r w:rsidRPr="00A4272B">
          <w:rPr>
            <w:rStyle w:val="Hyperlink"/>
            <w:noProof/>
            <w:lang w:val="en-US"/>
          </w:rPr>
          <w:t>8.2.7</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Sample access / discarding policy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_Toc187270543 \h </w:instrText>
        </w:r>
        <w:r w:rsidRPr="00A4272B">
          <w:rPr>
            <w:noProof/>
            <w:webHidden/>
            <w:lang w:val="en-US"/>
          </w:rPr>
        </w:r>
        <w:r w:rsidRPr="00A4272B">
          <w:rPr>
            <w:noProof/>
            <w:webHidden/>
            <w:lang w:val="en-US"/>
          </w:rPr>
          <w:fldChar w:fldCharType="separate"/>
        </w:r>
        <w:r w:rsidR="00B25CD5">
          <w:rPr>
            <w:noProof/>
            <w:webHidden/>
            <w:lang w:val="en-US"/>
          </w:rPr>
          <w:t>90</w:t>
        </w:r>
        <w:r w:rsidRPr="00A4272B">
          <w:rPr>
            <w:noProof/>
            <w:webHidden/>
            <w:lang w:val="en-US"/>
          </w:rPr>
          <w:fldChar w:fldCharType="end"/>
        </w:r>
      </w:hyperlink>
    </w:p>
    <w:p w14:paraId="07CCB0F3" w14:textId="36E59CF7"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44" w:history="1">
        <w:r w:rsidRPr="00A4272B">
          <w:rPr>
            <w:rStyle w:val="Hyperlink"/>
            <w:noProof/>
            <w:lang w:val="en-US"/>
          </w:rPr>
          <w:t>8.2.8</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Guideline, banuals and standard operational procedures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_Toc187270544 \h </w:instrText>
        </w:r>
        <w:r w:rsidRPr="00A4272B">
          <w:rPr>
            <w:noProof/>
            <w:webHidden/>
            <w:lang w:val="en-US"/>
          </w:rPr>
        </w:r>
        <w:r w:rsidRPr="00A4272B">
          <w:rPr>
            <w:noProof/>
            <w:webHidden/>
            <w:lang w:val="en-US"/>
          </w:rPr>
          <w:fldChar w:fldCharType="separate"/>
        </w:r>
        <w:r w:rsidR="00B25CD5">
          <w:rPr>
            <w:noProof/>
            <w:webHidden/>
            <w:lang w:val="en-US"/>
          </w:rPr>
          <w:t>90</w:t>
        </w:r>
        <w:r w:rsidRPr="00A4272B">
          <w:rPr>
            <w:noProof/>
            <w:webHidden/>
            <w:lang w:val="en-US"/>
          </w:rPr>
          <w:fldChar w:fldCharType="end"/>
        </w:r>
      </w:hyperlink>
    </w:p>
    <w:p w14:paraId="52ACFCF8" w14:textId="1F6A5564"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45" w:history="1">
        <w:r w:rsidRPr="00A4272B">
          <w:rPr>
            <w:rStyle w:val="Hyperlink"/>
            <w:noProof/>
            <w:lang w:val="en-US"/>
          </w:rPr>
          <w:t>8.3</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Sampling and storage</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_Toc187270545 \h </w:instrText>
        </w:r>
        <w:r w:rsidRPr="00A4272B">
          <w:rPr>
            <w:noProof/>
            <w:webHidden/>
            <w:lang w:val="en-US"/>
          </w:rPr>
        </w:r>
        <w:r w:rsidRPr="00A4272B">
          <w:rPr>
            <w:noProof/>
            <w:webHidden/>
            <w:lang w:val="en-US"/>
          </w:rPr>
          <w:fldChar w:fldCharType="separate"/>
        </w:r>
        <w:r w:rsidR="00B25CD5">
          <w:rPr>
            <w:noProof/>
            <w:webHidden/>
            <w:lang w:val="en-US"/>
          </w:rPr>
          <w:t>90</w:t>
        </w:r>
        <w:r w:rsidRPr="00A4272B">
          <w:rPr>
            <w:noProof/>
            <w:webHidden/>
            <w:lang w:val="en-US"/>
          </w:rPr>
          <w:fldChar w:fldCharType="end"/>
        </w:r>
      </w:hyperlink>
    </w:p>
    <w:p w14:paraId="517193C1" w14:textId="7F6E9D9C"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46" w:history="1">
        <w:r w:rsidRPr="00A4272B">
          <w:rPr>
            <w:rStyle w:val="Hyperlink"/>
            <w:noProof/>
            <w:lang w:val="en-US"/>
          </w:rPr>
          <w:t>8.3.1</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Sampling devices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_Toc187270546 \h </w:instrText>
        </w:r>
        <w:r w:rsidRPr="00A4272B">
          <w:rPr>
            <w:noProof/>
            <w:webHidden/>
            <w:lang w:val="en-US"/>
          </w:rPr>
        </w:r>
        <w:r w:rsidRPr="00A4272B">
          <w:rPr>
            <w:noProof/>
            <w:webHidden/>
            <w:lang w:val="en-US"/>
          </w:rPr>
          <w:fldChar w:fldCharType="separate"/>
        </w:r>
        <w:r w:rsidR="00B25CD5">
          <w:rPr>
            <w:noProof/>
            <w:webHidden/>
            <w:lang w:val="en-US"/>
          </w:rPr>
          <w:t>90</w:t>
        </w:r>
        <w:r w:rsidRPr="00A4272B">
          <w:rPr>
            <w:noProof/>
            <w:webHidden/>
            <w:lang w:val="en-US"/>
          </w:rPr>
          <w:fldChar w:fldCharType="end"/>
        </w:r>
      </w:hyperlink>
    </w:p>
    <w:p w14:paraId="0D3E2EE7" w14:textId="45473C00"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47" w:history="1">
        <w:r w:rsidRPr="00A4272B">
          <w:rPr>
            <w:rStyle w:val="Hyperlink"/>
            <w:noProof/>
            <w:lang w:val="en-US"/>
          </w:rPr>
          <w:t>8.3.2</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Sample processing and archiving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_Toc187270547 \h </w:instrText>
        </w:r>
        <w:r w:rsidRPr="00A4272B">
          <w:rPr>
            <w:noProof/>
            <w:webHidden/>
            <w:lang w:val="en-US"/>
          </w:rPr>
        </w:r>
        <w:r w:rsidRPr="00A4272B">
          <w:rPr>
            <w:noProof/>
            <w:webHidden/>
            <w:lang w:val="en-US"/>
          </w:rPr>
          <w:fldChar w:fldCharType="separate"/>
        </w:r>
        <w:r w:rsidR="00B25CD5">
          <w:rPr>
            <w:noProof/>
            <w:webHidden/>
            <w:lang w:val="en-US"/>
          </w:rPr>
          <w:t>91</w:t>
        </w:r>
        <w:r w:rsidRPr="00A4272B">
          <w:rPr>
            <w:noProof/>
            <w:webHidden/>
            <w:lang w:val="en-US"/>
          </w:rPr>
          <w:fldChar w:fldCharType="end"/>
        </w:r>
      </w:hyperlink>
    </w:p>
    <w:p w14:paraId="259A1AF4" w14:textId="08385605" w:rsidR="005416BE" w:rsidRPr="00A4272B" w:rsidRDefault="005416BE">
      <w:pPr>
        <w:pStyle w:val="TOC3"/>
        <w:tabs>
          <w:tab w:val="left" w:pos="3515"/>
        </w:tabs>
        <w:rPr>
          <w:rFonts w:asciiTheme="minorHAnsi" w:eastAsiaTheme="minorEastAsia" w:hAnsiTheme="minorHAnsi" w:cstheme="minorBidi"/>
          <w:iCs w:val="0"/>
          <w:noProof/>
          <w:kern w:val="2"/>
          <w:sz w:val="24"/>
          <w:szCs w:val="24"/>
          <w:lang w:val="en-US" w:eastAsia="ja-JP"/>
          <w14:ligatures w14:val="standardContextual"/>
        </w:rPr>
      </w:pPr>
      <w:hyperlink w:anchor="_Toc187270548" w:history="1">
        <w:r w:rsidRPr="00A4272B">
          <w:rPr>
            <w:rStyle w:val="Hyperlink"/>
            <w:noProof/>
            <w:lang w:val="en-US"/>
          </w:rPr>
          <w:t>8.3.3</w:t>
        </w:r>
        <w:r w:rsidRPr="00A4272B">
          <w:rPr>
            <w:rFonts w:asciiTheme="minorHAnsi" w:eastAsiaTheme="minorEastAsia" w:hAnsiTheme="minorHAnsi" w:cstheme="minorBidi"/>
            <w:iCs w:val="0"/>
            <w:noProof/>
            <w:kern w:val="2"/>
            <w:sz w:val="24"/>
            <w:szCs w:val="24"/>
            <w:lang w:val="en-US" w:eastAsia="ja-JP"/>
            <w14:ligatures w14:val="standardContextual"/>
          </w:rPr>
          <w:tab/>
        </w:r>
        <w:r w:rsidRPr="00A4272B">
          <w:rPr>
            <w:rStyle w:val="Hyperlink"/>
            <w:noProof/>
            <w:lang w:val="en-US"/>
          </w:rPr>
          <w:t>QA/QC and security</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_Toc187270548 \h </w:instrText>
        </w:r>
        <w:r w:rsidRPr="00A4272B">
          <w:rPr>
            <w:noProof/>
            <w:webHidden/>
            <w:lang w:val="en-US"/>
          </w:rPr>
        </w:r>
        <w:r w:rsidRPr="00A4272B">
          <w:rPr>
            <w:noProof/>
            <w:webHidden/>
            <w:lang w:val="en-US"/>
          </w:rPr>
          <w:fldChar w:fldCharType="separate"/>
        </w:r>
        <w:r w:rsidR="00B25CD5">
          <w:rPr>
            <w:noProof/>
            <w:webHidden/>
            <w:lang w:val="en-US"/>
          </w:rPr>
          <w:t>91</w:t>
        </w:r>
        <w:r w:rsidRPr="00A4272B">
          <w:rPr>
            <w:noProof/>
            <w:webHidden/>
            <w:lang w:val="en-US"/>
          </w:rPr>
          <w:fldChar w:fldCharType="end"/>
        </w:r>
      </w:hyperlink>
    </w:p>
    <w:p w14:paraId="2408BD9C" w14:textId="0E3B7A24"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49" w:history="1">
        <w:r w:rsidRPr="00A4272B">
          <w:rPr>
            <w:rStyle w:val="Hyperlink"/>
            <w:noProof/>
            <w:lang w:val="en-US"/>
          </w:rPr>
          <w:t>8.4</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Communicating results to decision-makers, science and public</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_Toc187270549 \h </w:instrText>
        </w:r>
        <w:r w:rsidRPr="00A4272B">
          <w:rPr>
            <w:noProof/>
            <w:webHidden/>
            <w:lang w:val="en-US"/>
          </w:rPr>
        </w:r>
        <w:r w:rsidRPr="00A4272B">
          <w:rPr>
            <w:noProof/>
            <w:webHidden/>
            <w:lang w:val="en-US"/>
          </w:rPr>
          <w:fldChar w:fldCharType="separate"/>
        </w:r>
        <w:r w:rsidR="00B25CD5">
          <w:rPr>
            <w:noProof/>
            <w:webHidden/>
            <w:lang w:val="en-US"/>
          </w:rPr>
          <w:t>92</w:t>
        </w:r>
        <w:r w:rsidRPr="00A4272B">
          <w:rPr>
            <w:noProof/>
            <w:webHidden/>
            <w:lang w:val="en-US"/>
          </w:rPr>
          <w:fldChar w:fldCharType="end"/>
        </w:r>
      </w:hyperlink>
    </w:p>
    <w:p w14:paraId="7E5EE1A2" w14:textId="152B6DCC"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50" w:history="1">
        <w:r w:rsidRPr="00A4272B">
          <w:rPr>
            <w:rStyle w:val="Hyperlink"/>
            <w:noProof/>
            <w:lang w:val="en-US"/>
          </w:rPr>
          <w:t>8.5</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Available information on environmental specimen banking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_Toc187270550 \h </w:instrText>
        </w:r>
        <w:r w:rsidRPr="00A4272B">
          <w:rPr>
            <w:noProof/>
            <w:webHidden/>
            <w:lang w:val="en-US"/>
          </w:rPr>
        </w:r>
        <w:r w:rsidRPr="00A4272B">
          <w:rPr>
            <w:noProof/>
            <w:webHidden/>
            <w:lang w:val="en-US"/>
          </w:rPr>
          <w:fldChar w:fldCharType="separate"/>
        </w:r>
        <w:r w:rsidR="00B25CD5">
          <w:rPr>
            <w:noProof/>
            <w:webHidden/>
            <w:lang w:val="en-US"/>
          </w:rPr>
          <w:t>92</w:t>
        </w:r>
        <w:r w:rsidRPr="00A4272B">
          <w:rPr>
            <w:noProof/>
            <w:webHidden/>
            <w:lang w:val="en-US"/>
          </w:rPr>
          <w:fldChar w:fldCharType="end"/>
        </w:r>
      </w:hyperlink>
    </w:p>
    <w:p w14:paraId="19030D7F" w14:textId="670F0BD4"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51" w:history="1">
        <w:r w:rsidRPr="00A4272B">
          <w:rPr>
            <w:rStyle w:val="Hyperlink"/>
            <w:noProof/>
            <w:lang w:val="en-US"/>
          </w:rPr>
          <w:t>8.6</w:t>
        </w:r>
        <w:r w:rsidRPr="00A4272B">
          <w:rPr>
            <w:rFonts w:asciiTheme="minorHAnsi" w:eastAsiaTheme="minorEastAsia" w:hAnsiTheme="minorHAnsi" w:cstheme="minorBidi"/>
            <w:noProof/>
            <w:kern w:val="2"/>
            <w:sz w:val="24"/>
            <w:szCs w:val="24"/>
            <w:lang w:val="en-US" w:eastAsia="ja-JP"/>
            <w14:ligatures w14:val="standardContextual"/>
          </w:rPr>
          <w:tab/>
        </w:r>
        <w:r w:rsidRPr="00A4272B">
          <w:rPr>
            <w:rStyle w:val="Hyperlink"/>
            <w:noProof/>
            <w:lang w:val="en-US"/>
          </w:rPr>
          <w:t>Environmental specimen banking in the future</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_Toc187270551 \h </w:instrText>
        </w:r>
        <w:r w:rsidRPr="00A4272B">
          <w:rPr>
            <w:noProof/>
            <w:webHidden/>
            <w:lang w:val="en-US"/>
          </w:rPr>
        </w:r>
        <w:r w:rsidRPr="00A4272B">
          <w:rPr>
            <w:noProof/>
            <w:webHidden/>
            <w:lang w:val="en-US"/>
          </w:rPr>
          <w:fldChar w:fldCharType="separate"/>
        </w:r>
        <w:r w:rsidR="00B25CD5">
          <w:rPr>
            <w:noProof/>
            <w:webHidden/>
            <w:lang w:val="en-US"/>
          </w:rPr>
          <w:t>92</w:t>
        </w:r>
        <w:r w:rsidRPr="00A4272B">
          <w:rPr>
            <w:noProof/>
            <w:webHidden/>
            <w:lang w:val="en-US"/>
          </w:rPr>
          <w:fldChar w:fldCharType="end"/>
        </w:r>
      </w:hyperlink>
    </w:p>
    <w:p w14:paraId="25298E8A" w14:textId="27720AF2"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552" w:history="1">
        <w:r w:rsidRPr="00A4272B">
          <w:rPr>
            <w:rStyle w:val="Hyperlink"/>
            <w:noProof/>
            <w:lang w:val="en-US"/>
          </w:rPr>
          <w:t>Appendix I: Description of important parameters for the determination of POPs in air, human blood and breast milk</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_Toc187270552 \h </w:instrText>
        </w:r>
        <w:r w:rsidRPr="00A4272B">
          <w:rPr>
            <w:noProof/>
            <w:webHidden/>
            <w:lang w:val="en-US"/>
          </w:rPr>
        </w:r>
        <w:r w:rsidRPr="00A4272B">
          <w:rPr>
            <w:noProof/>
            <w:webHidden/>
            <w:lang w:val="en-US"/>
          </w:rPr>
          <w:fldChar w:fldCharType="separate"/>
        </w:r>
        <w:r w:rsidR="00B25CD5">
          <w:rPr>
            <w:noProof/>
            <w:webHidden/>
            <w:lang w:val="en-US"/>
          </w:rPr>
          <w:t>94</w:t>
        </w:r>
        <w:r w:rsidRPr="00A4272B">
          <w:rPr>
            <w:noProof/>
            <w:webHidden/>
            <w:lang w:val="en-US"/>
          </w:rPr>
          <w:fldChar w:fldCharType="end"/>
        </w:r>
      </w:hyperlink>
    </w:p>
    <w:p w14:paraId="464E0FF6" w14:textId="71263073"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553" w:history="1">
        <w:r w:rsidRPr="00A4272B">
          <w:rPr>
            <w:rStyle w:val="Hyperlink"/>
            <w:noProof/>
            <w:lang w:val="en-US"/>
          </w:rPr>
          <w:t>Appendix II: Air monitoring sites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_Toc187270553 \h </w:instrText>
        </w:r>
        <w:r w:rsidRPr="00A4272B">
          <w:rPr>
            <w:noProof/>
            <w:webHidden/>
            <w:lang w:val="en-US"/>
          </w:rPr>
        </w:r>
        <w:r w:rsidRPr="00A4272B">
          <w:rPr>
            <w:noProof/>
            <w:webHidden/>
            <w:lang w:val="en-US"/>
          </w:rPr>
          <w:fldChar w:fldCharType="separate"/>
        </w:r>
        <w:r w:rsidR="00B25CD5">
          <w:rPr>
            <w:noProof/>
            <w:webHidden/>
            <w:lang w:val="en-US"/>
          </w:rPr>
          <w:t>101</w:t>
        </w:r>
        <w:r w:rsidRPr="00A4272B">
          <w:rPr>
            <w:noProof/>
            <w:webHidden/>
            <w:lang w:val="en-US"/>
          </w:rPr>
          <w:fldChar w:fldCharType="end"/>
        </w:r>
      </w:hyperlink>
    </w:p>
    <w:p w14:paraId="3BC72350" w14:textId="0157FC33"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54" w:history="1">
        <w:r w:rsidRPr="00A4272B">
          <w:rPr>
            <w:rStyle w:val="Hyperlink"/>
            <w:noProof/>
            <w:lang w:val="en-US"/>
          </w:rPr>
          <w:t>Part 1. Air monitoring sites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_Toc187270554 \h </w:instrText>
        </w:r>
        <w:r w:rsidRPr="00A4272B">
          <w:rPr>
            <w:noProof/>
            <w:webHidden/>
            <w:lang w:val="en-US"/>
          </w:rPr>
        </w:r>
        <w:r w:rsidRPr="00A4272B">
          <w:rPr>
            <w:noProof/>
            <w:webHidden/>
            <w:lang w:val="en-US"/>
          </w:rPr>
          <w:fldChar w:fldCharType="separate"/>
        </w:r>
        <w:r w:rsidR="00B25CD5">
          <w:rPr>
            <w:noProof/>
            <w:webHidden/>
            <w:lang w:val="en-US"/>
          </w:rPr>
          <w:t>101</w:t>
        </w:r>
        <w:r w:rsidRPr="00A4272B">
          <w:rPr>
            <w:noProof/>
            <w:webHidden/>
            <w:lang w:val="en-US"/>
          </w:rPr>
          <w:fldChar w:fldCharType="end"/>
        </w:r>
      </w:hyperlink>
    </w:p>
    <w:p w14:paraId="61A290D2" w14:textId="6DEE7568"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55" w:history="1">
        <w:r w:rsidRPr="00A4272B">
          <w:rPr>
            <w:rStyle w:val="Hyperlink"/>
            <w:noProof/>
            <w:lang w:val="en-US"/>
          </w:rPr>
          <w:t>Part 2. Standard operation procedures and protocols for air monitoring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_Toc187270555 \h </w:instrText>
        </w:r>
        <w:r w:rsidRPr="00A4272B">
          <w:rPr>
            <w:noProof/>
            <w:webHidden/>
            <w:lang w:val="en-US"/>
          </w:rPr>
        </w:r>
        <w:r w:rsidRPr="00A4272B">
          <w:rPr>
            <w:noProof/>
            <w:webHidden/>
            <w:lang w:val="en-US"/>
          </w:rPr>
          <w:fldChar w:fldCharType="separate"/>
        </w:r>
        <w:r w:rsidR="00B25CD5">
          <w:rPr>
            <w:noProof/>
            <w:webHidden/>
            <w:lang w:val="en-US"/>
          </w:rPr>
          <w:t>114</w:t>
        </w:r>
        <w:r w:rsidRPr="00A4272B">
          <w:rPr>
            <w:noProof/>
            <w:webHidden/>
            <w:lang w:val="en-US"/>
          </w:rPr>
          <w:fldChar w:fldCharType="end"/>
        </w:r>
      </w:hyperlink>
    </w:p>
    <w:p w14:paraId="349AC38C" w14:textId="4F84A4A4" w:rsidR="005416BE" w:rsidRPr="00A4272B" w:rsidRDefault="005416BE">
      <w:pPr>
        <w:pStyle w:val="TOC2"/>
        <w:rPr>
          <w:rFonts w:asciiTheme="minorHAnsi" w:eastAsiaTheme="minorEastAsia" w:hAnsiTheme="minorHAnsi" w:cstheme="minorBidi"/>
          <w:noProof/>
          <w:kern w:val="2"/>
          <w:sz w:val="24"/>
          <w:szCs w:val="24"/>
          <w:lang w:val="en-US" w:eastAsia="ja-JP"/>
          <w14:ligatures w14:val="standardContextual"/>
        </w:rPr>
      </w:pPr>
      <w:hyperlink w:anchor="_Toc187270556" w:history="1">
        <w:r w:rsidRPr="00A4272B">
          <w:rPr>
            <w:rStyle w:val="Hyperlink"/>
            <w:noProof/>
            <w:lang w:val="en-US"/>
          </w:rPr>
          <w:t>Part 3. Additional considerations for air sampling</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_Toc187270556 \h </w:instrText>
        </w:r>
        <w:r w:rsidRPr="00A4272B">
          <w:rPr>
            <w:noProof/>
            <w:webHidden/>
            <w:lang w:val="en-US"/>
          </w:rPr>
        </w:r>
        <w:r w:rsidRPr="00A4272B">
          <w:rPr>
            <w:noProof/>
            <w:webHidden/>
            <w:lang w:val="en-US"/>
          </w:rPr>
          <w:fldChar w:fldCharType="separate"/>
        </w:r>
        <w:r w:rsidR="00B25CD5">
          <w:rPr>
            <w:noProof/>
            <w:webHidden/>
            <w:lang w:val="en-US"/>
          </w:rPr>
          <w:t>115</w:t>
        </w:r>
        <w:r w:rsidRPr="00A4272B">
          <w:rPr>
            <w:noProof/>
            <w:webHidden/>
            <w:lang w:val="en-US"/>
          </w:rPr>
          <w:fldChar w:fldCharType="end"/>
        </w:r>
      </w:hyperlink>
    </w:p>
    <w:p w14:paraId="304CA3FB" w14:textId="4DE04DC0"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557" w:history="1">
        <w:r w:rsidRPr="00A4272B">
          <w:rPr>
            <w:rStyle w:val="Hyperlink"/>
            <w:noProof/>
            <w:lang w:val="en-US"/>
          </w:rPr>
          <w:t>Appendix III: Summary information on the UNEP/WHO Survey on Human Milk under the Global Monitoring Plan for POPs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_Toc187270557 \h </w:instrText>
        </w:r>
        <w:r w:rsidRPr="00A4272B">
          <w:rPr>
            <w:noProof/>
            <w:webHidden/>
            <w:lang w:val="en-US"/>
          </w:rPr>
        </w:r>
        <w:r w:rsidRPr="00A4272B">
          <w:rPr>
            <w:noProof/>
            <w:webHidden/>
            <w:lang w:val="en-US"/>
          </w:rPr>
          <w:fldChar w:fldCharType="separate"/>
        </w:r>
        <w:r w:rsidR="00B25CD5">
          <w:rPr>
            <w:noProof/>
            <w:webHidden/>
            <w:lang w:val="en-US"/>
          </w:rPr>
          <w:t>116</w:t>
        </w:r>
        <w:r w:rsidRPr="00A4272B">
          <w:rPr>
            <w:noProof/>
            <w:webHidden/>
            <w:lang w:val="en-US"/>
          </w:rPr>
          <w:fldChar w:fldCharType="end"/>
        </w:r>
      </w:hyperlink>
    </w:p>
    <w:p w14:paraId="073BB106" w14:textId="79D2CEF4" w:rsidR="005416BE" w:rsidRPr="00A4272B" w:rsidRDefault="005416BE">
      <w:pPr>
        <w:pStyle w:val="TOC1"/>
        <w:rPr>
          <w:rFonts w:asciiTheme="minorHAnsi" w:eastAsiaTheme="minorEastAsia" w:hAnsiTheme="minorHAnsi" w:cstheme="minorBidi"/>
          <w:bCs w:val="0"/>
          <w:noProof/>
          <w:kern w:val="2"/>
          <w:sz w:val="24"/>
          <w:szCs w:val="24"/>
          <w:lang w:val="en-US" w:eastAsia="ja-JP"/>
          <w14:ligatures w14:val="standardContextual"/>
        </w:rPr>
      </w:pPr>
      <w:hyperlink w:anchor="_Toc187270558" w:history="1">
        <w:r w:rsidRPr="00A4272B">
          <w:rPr>
            <w:rStyle w:val="Hyperlink"/>
            <w:noProof/>
            <w:lang w:val="en-US"/>
          </w:rPr>
          <w:t>Appendix IV: Sampling, storage, transportation, and analytical details for maternal blood (source: Centre de toxicologie du Québec / INSPQ)</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_Toc187270558 \h </w:instrText>
        </w:r>
        <w:r w:rsidRPr="00A4272B">
          <w:rPr>
            <w:noProof/>
            <w:webHidden/>
            <w:lang w:val="en-US"/>
          </w:rPr>
        </w:r>
        <w:r w:rsidRPr="00A4272B">
          <w:rPr>
            <w:noProof/>
            <w:webHidden/>
            <w:lang w:val="en-US"/>
          </w:rPr>
          <w:fldChar w:fldCharType="separate"/>
        </w:r>
        <w:r w:rsidR="00B25CD5">
          <w:rPr>
            <w:noProof/>
            <w:webHidden/>
            <w:lang w:val="en-US"/>
          </w:rPr>
          <w:t>118</w:t>
        </w:r>
        <w:r w:rsidRPr="00A4272B">
          <w:rPr>
            <w:noProof/>
            <w:webHidden/>
            <w:lang w:val="en-US"/>
          </w:rPr>
          <w:fldChar w:fldCharType="end"/>
        </w:r>
      </w:hyperlink>
    </w:p>
    <w:p w14:paraId="1802E8AE" w14:textId="7220AEEF" w:rsidR="005416BE" w:rsidRPr="00A4272B" w:rsidRDefault="005416BE">
      <w:pPr>
        <w:pStyle w:val="TOC1"/>
        <w:rPr>
          <w:rStyle w:val="Hyperlink"/>
          <w:noProof/>
          <w:lang w:val="en-US"/>
        </w:rPr>
      </w:pPr>
      <w:hyperlink w:anchor="_Toc187270559" w:history="1">
        <w:r w:rsidRPr="00A4272B">
          <w:rPr>
            <w:rStyle w:val="Hyperlink"/>
            <w:noProof/>
            <w:lang w:val="en-US"/>
          </w:rPr>
          <w:t>Appendix V: Water solubility, octanol-water, and organic carbon partitioning coefficients of POPs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_Toc187270559 \h </w:instrText>
        </w:r>
        <w:r w:rsidRPr="00A4272B">
          <w:rPr>
            <w:noProof/>
            <w:webHidden/>
            <w:lang w:val="en-US"/>
          </w:rPr>
        </w:r>
        <w:r w:rsidRPr="00A4272B">
          <w:rPr>
            <w:noProof/>
            <w:webHidden/>
            <w:lang w:val="en-US"/>
          </w:rPr>
          <w:fldChar w:fldCharType="separate"/>
        </w:r>
        <w:r w:rsidR="00B25CD5">
          <w:rPr>
            <w:noProof/>
            <w:webHidden/>
            <w:lang w:val="en-US"/>
          </w:rPr>
          <w:t>119</w:t>
        </w:r>
        <w:r w:rsidRPr="00A4272B">
          <w:rPr>
            <w:noProof/>
            <w:webHidden/>
            <w:lang w:val="en-US"/>
          </w:rPr>
          <w:fldChar w:fldCharType="end"/>
        </w:r>
      </w:hyperlink>
    </w:p>
    <w:p w14:paraId="06B9CD99" w14:textId="4BC8815C" w:rsidR="001A144B" w:rsidRPr="00A4272B" w:rsidRDefault="001A144B" w:rsidP="001A144B">
      <w:pPr>
        <w:ind w:left="619" w:firstLine="619"/>
        <w:rPr>
          <w:rFonts w:eastAsiaTheme="minorEastAsia"/>
          <w:noProof/>
          <w:lang w:val="en-US"/>
        </w:rPr>
      </w:pPr>
      <w:r w:rsidRPr="00A4272B">
        <w:rPr>
          <w:rFonts w:eastAsiaTheme="minorEastAsia"/>
          <w:noProof/>
          <w:lang w:val="en-US"/>
        </w:rPr>
        <w:t>Appendix VI: L</w:t>
      </w:r>
      <w:r w:rsidRPr="00A4272B">
        <w:rPr>
          <w:noProof/>
          <w:u w:val="single" w:color="FFFFFF"/>
          <w:lang w:val="en-US"/>
        </w:rPr>
        <w:t>ist of codes related to the data structure (Excel file)</w:t>
      </w:r>
    </w:p>
    <w:p w14:paraId="42A52936" w14:textId="6009C2AE" w:rsidR="005416BE" w:rsidRPr="00A4272B" w:rsidRDefault="005416BE">
      <w:pPr>
        <w:pStyle w:val="TOC1"/>
        <w:rPr>
          <w:rStyle w:val="Hyperlink"/>
          <w:noProof/>
          <w:lang w:val="en-US"/>
        </w:rPr>
      </w:pPr>
      <w:hyperlink w:anchor="_Toc187270560" w:history="1">
        <w:r w:rsidRPr="00A4272B">
          <w:rPr>
            <w:rStyle w:val="Hyperlink"/>
            <w:noProof/>
            <w:lang w:val="en-US"/>
          </w:rPr>
          <w:t>References</w:t>
        </w:r>
        <w:r w:rsidRPr="00A4272B">
          <w:rPr>
            <w:noProof/>
            <w:webHidden/>
            <w:lang w:val="en-US"/>
          </w:rPr>
          <w:tab/>
        </w:r>
        <w:r w:rsidRPr="00A4272B">
          <w:rPr>
            <w:noProof/>
            <w:webHidden/>
            <w:lang w:val="en-US"/>
          </w:rPr>
          <w:fldChar w:fldCharType="begin"/>
        </w:r>
        <w:r w:rsidRPr="00A4272B">
          <w:rPr>
            <w:noProof/>
            <w:webHidden/>
            <w:lang w:val="en-US"/>
          </w:rPr>
          <w:instrText xml:space="preserve"> PAGEREF _Toc187270560 \h </w:instrText>
        </w:r>
        <w:r w:rsidRPr="00A4272B">
          <w:rPr>
            <w:noProof/>
            <w:webHidden/>
            <w:lang w:val="en-US"/>
          </w:rPr>
        </w:r>
        <w:r w:rsidRPr="00A4272B">
          <w:rPr>
            <w:noProof/>
            <w:webHidden/>
            <w:lang w:val="en-US"/>
          </w:rPr>
          <w:fldChar w:fldCharType="separate"/>
        </w:r>
        <w:r w:rsidR="00B25CD5">
          <w:rPr>
            <w:noProof/>
            <w:webHidden/>
            <w:lang w:val="en-US"/>
          </w:rPr>
          <w:t>120</w:t>
        </w:r>
        <w:r w:rsidRPr="00A4272B">
          <w:rPr>
            <w:noProof/>
            <w:webHidden/>
            <w:lang w:val="en-US"/>
          </w:rPr>
          <w:fldChar w:fldCharType="end"/>
        </w:r>
      </w:hyperlink>
    </w:p>
    <w:p w14:paraId="130597DC" w14:textId="77777777" w:rsidR="001A144B" w:rsidRPr="00A4272B" w:rsidRDefault="001A144B" w:rsidP="001A144B">
      <w:pPr>
        <w:rPr>
          <w:rFonts w:eastAsiaTheme="minorEastAsia"/>
          <w:noProof/>
          <w:lang w:val="en-US"/>
        </w:rPr>
      </w:pPr>
    </w:p>
    <w:p w14:paraId="7A1F124B" w14:textId="77777777" w:rsidR="001A144B" w:rsidRPr="00A4272B" w:rsidRDefault="001A144B" w:rsidP="001A144B">
      <w:pPr>
        <w:rPr>
          <w:rFonts w:eastAsiaTheme="minorEastAsia"/>
          <w:noProof/>
          <w:lang w:val="en-US"/>
        </w:rPr>
      </w:pPr>
    </w:p>
    <w:p w14:paraId="4C4D5CAA" w14:textId="77777777" w:rsidR="001A144B" w:rsidRPr="00A4272B" w:rsidRDefault="001A144B" w:rsidP="001A144B">
      <w:pPr>
        <w:rPr>
          <w:rFonts w:eastAsiaTheme="minorEastAsia"/>
          <w:noProof/>
          <w:lang w:val="en-US"/>
        </w:rPr>
      </w:pPr>
    </w:p>
    <w:p w14:paraId="3ABBEF94" w14:textId="552AD9D4" w:rsidR="00F3536C" w:rsidRPr="00A4272B" w:rsidRDefault="00F3536C" w:rsidP="00FE1D1A">
      <w:pPr>
        <w:pStyle w:val="TOC1"/>
        <w:ind w:left="0" w:firstLine="0"/>
        <w:rPr>
          <w:color w:val="000000"/>
          <w:lang w:val="en-US"/>
        </w:rPr>
      </w:pPr>
      <w:r w:rsidRPr="00A4272B">
        <w:rPr>
          <w:noProof/>
          <w:lang w:val="en-US"/>
        </w:rPr>
        <w:fldChar w:fldCharType="end"/>
      </w:r>
    </w:p>
    <w:p w14:paraId="70E50B40" w14:textId="77777777" w:rsidR="005416BE" w:rsidRPr="00A4272B" w:rsidRDefault="005416BE" w:rsidP="002A04E0">
      <w:pPr>
        <w:pStyle w:val="GMPHeading1"/>
        <w:rPr>
          <w:rFonts w:hint="eastAsia"/>
        </w:rPr>
      </w:pPr>
      <w:bookmarkStart w:id="0" w:name="_Toc280694941"/>
      <w:bookmarkStart w:id="1" w:name="_Toc514239636"/>
      <w:bookmarkStart w:id="2" w:name="_Toc514240540"/>
      <w:bookmarkStart w:id="3" w:name="_Toc514243091"/>
      <w:bookmarkStart w:id="4" w:name="_Toc514751987"/>
      <w:bookmarkStart w:id="5" w:name="_Toc532134"/>
      <w:bookmarkStart w:id="6" w:name="_Toc532347"/>
      <w:bookmarkStart w:id="7" w:name="_Toc1467848"/>
      <w:bookmarkStart w:id="8" w:name="_Toc1468021"/>
      <w:bookmarkStart w:id="9" w:name="_Toc1483905"/>
      <w:r w:rsidRPr="00A4272B">
        <w:br w:type="page"/>
      </w:r>
      <w:bookmarkStart w:id="10" w:name="_Toc187270462"/>
      <w:r w:rsidRPr="00A4272B">
        <w:lastRenderedPageBreak/>
        <w:t>Acknowledgement</w:t>
      </w:r>
      <w:bookmarkEnd w:id="10"/>
    </w:p>
    <w:p w14:paraId="1DED8EAA" w14:textId="31087367" w:rsidR="005416BE" w:rsidRPr="00A4272B" w:rsidRDefault="005416BE" w:rsidP="005416BE">
      <w:pPr>
        <w:rPr>
          <w:lang w:val="en-US" w:eastAsia="ja-JP"/>
        </w:rPr>
      </w:pPr>
      <w:r w:rsidRPr="00A4272B">
        <w:rPr>
          <w:lang w:val="en-US" w:eastAsia="ja-JP"/>
        </w:rPr>
        <w:t xml:space="preserve">This guidance has been updated by the Global Coordination Group for the Global Monitoring Plan under the Stockholm Convention on Persistent Organic Pollutants (POPs). </w:t>
      </w:r>
    </w:p>
    <w:p w14:paraId="3D86BF56" w14:textId="03EB3FEA" w:rsidR="005416BE" w:rsidRPr="00A4272B" w:rsidRDefault="005416BE" w:rsidP="005416BE">
      <w:pPr>
        <w:rPr>
          <w:lang w:val="en-US" w:eastAsia="ja-JP"/>
        </w:rPr>
      </w:pPr>
      <w:r w:rsidRPr="00A4272B">
        <w:rPr>
          <w:lang w:val="en-US" w:eastAsia="ja-JP"/>
        </w:rPr>
        <w:t xml:space="preserve">It has been developed with contributions from the following experts, including current and former members of the Regional Organization Groups for the Global Monitoring Plan, members of the Ad Hoc Technical Working Group established at the second meeting of the Conference of the Parties to the Stockholm Convention, and other experts in the field of POPs monitoring: </w:t>
      </w:r>
      <w:r w:rsidRPr="00A4272B">
        <w:rPr>
          <w:lang w:val="en-US"/>
        </w:rPr>
        <w:t xml:space="preserve">Karina Miglioranza (Argentina), Anahit Aleksandryan (Armenia), Sara Broomhall (Australia), </w:t>
      </w:r>
      <w:r w:rsidRPr="00A4272B">
        <w:rPr>
          <w:lang w:val="en-US" w:eastAsia="ja-JP"/>
        </w:rPr>
        <w:t xml:space="preserve">Peter Weiss (Austria), Therese Yarde (Barbados), Mansourou Moudachirou (Benin), </w:t>
      </w:r>
      <w:r w:rsidRPr="00A4272B">
        <w:rPr>
          <w:lang w:val="en-US"/>
        </w:rPr>
        <w:t xml:space="preserve">Sandra De Souza Hacon (Brazil), Tsvetanka Dimcheva (Bulgaria), Martin Benoit Ngassoum (Cameroon), Tom Harner (Canada), Hayley Hung (Canada), </w:t>
      </w:r>
      <w:r w:rsidRPr="00A4272B">
        <w:rPr>
          <w:lang w:val="en-US" w:eastAsia="ja-JP"/>
        </w:rPr>
        <w:t xml:space="preserve">Pierrette Blanchard (Canada), </w:t>
      </w:r>
      <w:r w:rsidRPr="00A4272B">
        <w:rPr>
          <w:lang w:val="en-US"/>
        </w:rPr>
        <w:t xml:space="preserve">Ricardo Barra (Chile), Minghui Zheng (China), Rigoberto Blanco Sáenz (Costa Rica), Kateřina Šebková (Czech Republic), Carola Resabala Zambrano (Ecuador), Peter Korytar (European Union), Johann Poinapen (Fiji), Gerhard Lammel (Germany), Trecia David Garnath (Guyana), Ved Prakash Mishra (India), Nishchal C (India), Dinesh Runiwal (India), </w:t>
      </w:r>
      <w:r w:rsidRPr="00A4272B">
        <w:rPr>
          <w:lang w:val="en-US" w:eastAsia="ja-JP"/>
        </w:rPr>
        <w:t xml:space="preserve">Indrani Chandrasekharan (India), </w:t>
      </w:r>
      <w:r w:rsidRPr="00A4272B">
        <w:rPr>
          <w:lang w:val="en-US"/>
        </w:rPr>
        <w:t xml:space="preserve">Abdulrahman Bahrami (Iran), </w:t>
      </w:r>
      <w:r w:rsidRPr="00A4272B">
        <w:rPr>
          <w:noProof/>
          <w:lang w:val="en-US"/>
        </w:rPr>
        <w:t xml:space="preserve">Yoshikatsu Takazawa (Japan), Yasuyuki Shibata (Japan), </w:t>
      </w:r>
      <w:r w:rsidRPr="00A4272B">
        <w:rPr>
          <w:lang w:val="en-US"/>
        </w:rPr>
        <w:t xml:space="preserve">Vincent Odongo Madadi (Kenya), Taelo Letsela (Lesotho), Halimatou Kone Esp Traore (Mali), </w:t>
      </w:r>
      <w:r w:rsidRPr="00A4272B">
        <w:rPr>
          <w:lang w:val="en-US" w:eastAsia="ja-JP"/>
        </w:rPr>
        <w:t xml:space="preserve">Demba Sidibe (Mali), Nee Sun Choong Kwet Yive (Mauritius), </w:t>
      </w:r>
      <w:r w:rsidRPr="00A4272B">
        <w:rPr>
          <w:lang w:val="en-US"/>
        </w:rPr>
        <w:t xml:space="preserve">Arturo Gavilan Garcia (Mexico), Tania Ramírez (Mexico), Otmani Anas (Morocco), Marina Stefova (North Macedonia), Trajce Stafilov (North Macedonia), Knut Breivik (Norway), Katrine Borga (Norway), </w:t>
      </w:r>
      <w:r w:rsidRPr="00A4272B">
        <w:rPr>
          <w:lang w:val="en-US" w:eastAsia="ja-JP"/>
        </w:rPr>
        <w:t xml:space="preserve">Tor Johannessen (Norway), </w:t>
      </w:r>
      <w:r w:rsidRPr="00A4272B">
        <w:rPr>
          <w:lang w:val="en-US"/>
        </w:rPr>
        <w:t xml:space="preserve">Jean de Dieu Nzila (Republic of Congo), Anna Cumanova (Republic of Moldova), Amirova Zarema (Russian Federation), </w:t>
      </w:r>
      <w:r w:rsidRPr="00A4272B">
        <w:rPr>
          <w:noProof/>
          <w:lang w:val="en-US"/>
        </w:rPr>
        <w:t>Ivan</w:t>
      </w:r>
      <w:r w:rsidRPr="00A4272B">
        <w:rPr>
          <w:lang w:val="en-US"/>
        </w:rPr>
        <w:t xml:space="preserve"> </w:t>
      </w:r>
      <w:r w:rsidRPr="00A4272B">
        <w:rPr>
          <w:noProof/>
          <w:lang w:val="en-US"/>
        </w:rPr>
        <w:t>Djurickovic</w:t>
      </w:r>
      <w:r w:rsidRPr="00A4272B">
        <w:rPr>
          <w:lang w:val="en-US"/>
        </w:rPr>
        <w:t xml:space="preserve"> (Serbia), Bondi Nyuma Gevao (Sierra Leone), Ramon Guardans i Cambó. (Spain), </w:t>
      </w:r>
      <w:r w:rsidRPr="00A4272B">
        <w:rPr>
          <w:noProof/>
          <w:lang w:val="en-US"/>
        </w:rPr>
        <w:t xml:space="preserve">Hasanthie Sandarekha Dissānayake (Sri Lanka), </w:t>
      </w:r>
      <w:r w:rsidRPr="00A4272B">
        <w:rPr>
          <w:lang w:val="en-US"/>
        </w:rPr>
        <w:t>Linda Linderholm</w:t>
      </w:r>
      <w:r w:rsidRPr="00A4272B">
        <w:rPr>
          <w:noProof/>
          <w:lang w:val="en-US"/>
        </w:rPr>
        <w:t xml:space="preserve"> (Sweden), Chalongkwan</w:t>
      </w:r>
      <w:r w:rsidRPr="00A4272B">
        <w:rPr>
          <w:lang w:val="en-US"/>
        </w:rPr>
        <w:t xml:space="preserve"> </w:t>
      </w:r>
      <w:r w:rsidRPr="00A4272B">
        <w:rPr>
          <w:noProof/>
          <w:lang w:val="en-US"/>
        </w:rPr>
        <w:t>Tangbanluekal</w:t>
      </w:r>
      <w:r w:rsidRPr="00A4272B">
        <w:rPr>
          <w:lang w:val="en-US"/>
        </w:rPr>
        <w:t xml:space="preserve"> (Thailand), Alejandra Claudia Torre González (Uruguay), Anass Ali Saeed AL-Nedhary (Yemen), Derek Muir</w:t>
      </w:r>
      <w:r w:rsidR="003F7A3E" w:rsidRPr="00A4272B">
        <w:rPr>
          <w:lang w:val="en-US"/>
        </w:rPr>
        <w:t xml:space="preserve"> (Canada)</w:t>
      </w:r>
      <w:r w:rsidRPr="00A4272B">
        <w:rPr>
          <w:lang w:val="en-US"/>
        </w:rPr>
        <w:t xml:space="preserve">, Alexey Gusev (Meteorological Synthesizing Centre-East), Jana Klanova (RECETOX), Jana Boruvkova (RECETOX), Richard Hulek (RECETOX), Klara Komprdova (RECETOX), Lisa Emily Melymuk (RECETOX), Branislav Vrana (RECETOX), Jiří Kalina (RECETOX), </w:t>
      </w:r>
      <w:r w:rsidRPr="00A4272B">
        <w:rPr>
          <w:lang w:val="en-US" w:eastAsia="ja-JP"/>
        </w:rPr>
        <w:t>Kei Ohno Woodall (Stockholm Convention Secretariat), Len Barrie</w:t>
      </w:r>
      <w:r w:rsidRPr="00A4272B">
        <w:rPr>
          <w:lang w:val="en-US"/>
        </w:rPr>
        <w:t xml:space="preserve"> (Stockholm University), Matthew Macleod (Stockholm University), </w:t>
      </w:r>
      <w:r w:rsidRPr="00A4272B">
        <w:rPr>
          <w:lang w:val="en-US" w:eastAsia="ja-JP"/>
        </w:rPr>
        <w:t>Frank Wania (University of Tronto), José Sericano (Texas A&amp;M University), Haosong Jiao (UNEP), Victor Estellano (UNEP), David Stone (UNEP), Luc Ingenbleek (WHO), Yuki Minato (WHO), Kim Petersen (WHO).</w:t>
      </w:r>
    </w:p>
    <w:p w14:paraId="75672D31" w14:textId="77777777" w:rsidR="005416BE" w:rsidRPr="00A4272B" w:rsidRDefault="005416BE" w:rsidP="005416BE">
      <w:pPr>
        <w:adjustRightInd w:val="0"/>
        <w:rPr>
          <w:b/>
          <w:bCs/>
          <w:szCs w:val="24"/>
          <w:lang w:val="en-US" w:eastAsia="ja-JP"/>
        </w:rPr>
      </w:pPr>
    </w:p>
    <w:p w14:paraId="123DA0AC" w14:textId="77777777" w:rsidR="005416BE" w:rsidRPr="00A4272B" w:rsidRDefault="005416BE" w:rsidP="005416BE">
      <w:pPr>
        <w:adjustRightInd w:val="0"/>
        <w:rPr>
          <w:b/>
          <w:bCs/>
          <w:szCs w:val="24"/>
          <w:lang w:val="en-US" w:eastAsia="ja-JP"/>
        </w:rPr>
      </w:pPr>
      <w:r w:rsidRPr="00A4272B">
        <w:rPr>
          <w:b/>
          <w:bCs/>
          <w:szCs w:val="24"/>
          <w:lang w:val="en-US" w:eastAsia="ja-JP"/>
        </w:rPr>
        <w:t>Disclaimer</w:t>
      </w:r>
    </w:p>
    <w:p w14:paraId="5B4FBD5F" w14:textId="786A3421" w:rsidR="005416BE" w:rsidRPr="00A4272B" w:rsidRDefault="005416BE" w:rsidP="005416BE">
      <w:pPr>
        <w:snapToGrid/>
        <w:spacing w:after="0"/>
        <w:rPr>
          <w:rFonts w:ascii="Times New&#10; Roman" w:hAnsi="Times New&#10; Roman" w:hint="eastAsia"/>
          <w:lang w:val="en-US" w:eastAsia="ja-JP"/>
        </w:rPr>
      </w:pPr>
      <w:r w:rsidRPr="00A4272B">
        <w:rPr>
          <w:rFonts w:ascii="Times New&#10; Roman" w:hAnsi="Times New&#10; Roman"/>
          <w:lang w:val="en-US" w:eastAsia="ja-JP"/>
        </w:rPr>
        <w:t>The designations and presentations in this document represent possible options, based on expert judgment, to support comparable POPs monitoring data for evaluating the effectiveness of the Stockholm Convention. UNEP and contributing organizations are not liable for any misuse of the information contained within.</w:t>
      </w:r>
    </w:p>
    <w:p w14:paraId="1D5ED538" w14:textId="77777777" w:rsidR="005416BE" w:rsidRPr="00A4272B" w:rsidRDefault="005416BE">
      <w:pPr>
        <w:snapToGrid/>
        <w:spacing w:after="0"/>
        <w:rPr>
          <w:rFonts w:ascii="Times New&#10; Roman" w:hAnsi="Times New&#10; Roman" w:hint="eastAsia"/>
          <w:lang w:val="en-US" w:eastAsia="ja-JP"/>
        </w:rPr>
      </w:pPr>
      <w:r w:rsidRPr="00A4272B">
        <w:rPr>
          <w:rFonts w:ascii="Times New&#10; Roman" w:hAnsi="Times New&#10; Roman"/>
          <w:lang w:val="en-US" w:eastAsia="ja-JP"/>
        </w:rPr>
        <w:br w:type="page"/>
      </w:r>
    </w:p>
    <w:p w14:paraId="4DB879E7" w14:textId="77777777" w:rsidR="005416BE" w:rsidRPr="00A4272B" w:rsidRDefault="005416BE" w:rsidP="002A04E0">
      <w:pPr>
        <w:pStyle w:val="GMPHeading1"/>
        <w:rPr>
          <w:rFonts w:hint="eastAsia"/>
        </w:rPr>
      </w:pPr>
      <w:bookmarkStart w:id="11" w:name="_Toc187270463"/>
      <w:bookmarkEnd w:id="0"/>
      <w:bookmarkEnd w:id="1"/>
      <w:bookmarkEnd w:id="2"/>
      <w:bookmarkEnd w:id="3"/>
      <w:bookmarkEnd w:id="4"/>
      <w:bookmarkEnd w:id="5"/>
      <w:bookmarkEnd w:id="6"/>
      <w:bookmarkEnd w:id="7"/>
      <w:bookmarkEnd w:id="8"/>
      <w:bookmarkEnd w:id="9"/>
      <w:r w:rsidRPr="00A4272B">
        <w:lastRenderedPageBreak/>
        <w:t>List of abbreviations</w:t>
      </w:r>
      <w:bookmarkEnd w:id="11"/>
    </w:p>
    <w:tbl>
      <w:tblPr>
        <w:tblW w:w="9114" w:type="dxa"/>
        <w:tblInd w:w="174" w:type="dxa"/>
        <w:tblLook w:val="01E0" w:firstRow="1" w:lastRow="1" w:firstColumn="1" w:lastColumn="1" w:noHBand="0" w:noVBand="0"/>
      </w:tblPr>
      <w:tblGrid>
        <w:gridCol w:w="2076"/>
        <w:gridCol w:w="7038"/>
      </w:tblGrid>
      <w:tr w:rsidR="005416BE" w:rsidRPr="00A4272B" w14:paraId="70339633" w14:textId="77777777" w:rsidTr="00263A26">
        <w:tc>
          <w:tcPr>
            <w:tcW w:w="2076" w:type="dxa"/>
          </w:tcPr>
          <w:p w14:paraId="39297B25" w14:textId="77777777" w:rsidR="005416BE" w:rsidRPr="00A4272B" w:rsidRDefault="005416BE" w:rsidP="00263A26">
            <w:pPr>
              <w:rPr>
                <w:b/>
                <w:color w:val="000000"/>
                <w:lang w:val="en-US"/>
              </w:rPr>
            </w:pPr>
            <w:r w:rsidRPr="00A4272B">
              <w:rPr>
                <w:b/>
                <w:noProof/>
                <w:lang w:val="en-US"/>
              </w:rPr>
              <w:t>AMAP</w:t>
            </w:r>
          </w:p>
        </w:tc>
        <w:tc>
          <w:tcPr>
            <w:tcW w:w="7038" w:type="dxa"/>
          </w:tcPr>
          <w:p w14:paraId="07660752" w14:textId="77777777" w:rsidR="005416BE" w:rsidRPr="00A4272B" w:rsidRDefault="005416BE" w:rsidP="00263A26">
            <w:pPr>
              <w:rPr>
                <w:color w:val="000000"/>
                <w:lang w:val="en-US"/>
              </w:rPr>
            </w:pPr>
            <w:r w:rsidRPr="00A4272B">
              <w:rPr>
                <w:noProof/>
                <w:lang w:val="en-US"/>
              </w:rPr>
              <w:t>Arctic Monitoring and Assessment Programme</w:t>
            </w:r>
          </w:p>
        </w:tc>
      </w:tr>
      <w:tr w:rsidR="005416BE" w:rsidRPr="00A4272B" w14:paraId="2F224AA5" w14:textId="77777777" w:rsidTr="00263A26">
        <w:tc>
          <w:tcPr>
            <w:tcW w:w="2076" w:type="dxa"/>
          </w:tcPr>
          <w:p w14:paraId="06161253" w14:textId="77777777" w:rsidR="005416BE" w:rsidRPr="00A4272B" w:rsidRDefault="005416BE" w:rsidP="00263A26">
            <w:pPr>
              <w:rPr>
                <w:b/>
                <w:color w:val="000000"/>
                <w:lang w:val="en-US"/>
              </w:rPr>
            </w:pPr>
            <w:r w:rsidRPr="00A4272B">
              <w:rPr>
                <w:b/>
                <w:color w:val="000000"/>
                <w:lang w:val="en-US"/>
              </w:rPr>
              <w:t>ANCOVA</w:t>
            </w:r>
          </w:p>
        </w:tc>
        <w:tc>
          <w:tcPr>
            <w:tcW w:w="7038" w:type="dxa"/>
          </w:tcPr>
          <w:p w14:paraId="17C9ADEE" w14:textId="77777777" w:rsidR="005416BE" w:rsidRPr="00A4272B" w:rsidRDefault="005416BE" w:rsidP="00263A26">
            <w:pPr>
              <w:rPr>
                <w:color w:val="000000"/>
                <w:lang w:val="en-US"/>
              </w:rPr>
            </w:pPr>
            <w:r w:rsidRPr="00A4272B">
              <w:rPr>
                <w:color w:val="000000"/>
                <w:lang w:val="en-US"/>
              </w:rPr>
              <w:t>Analysis of covariance</w:t>
            </w:r>
          </w:p>
        </w:tc>
      </w:tr>
      <w:tr w:rsidR="005416BE" w:rsidRPr="00A4272B" w14:paraId="67FA339D" w14:textId="77777777" w:rsidTr="00263A26">
        <w:tc>
          <w:tcPr>
            <w:tcW w:w="2076" w:type="dxa"/>
          </w:tcPr>
          <w:p w14:paraId="519664D9" w14:textId="77777777" w:rsidR="005416BE" w:rsidRPr="00A4272B" w:rsidRDefault="005416BE" w:rsidP="00263A26">
            <w:pPr>
              <w:rPr>
                <w:b/>
                <w:color w:val="000000"/>
                <w:lang w:val="en-US"/>
              </w:rPr>
            </w:pPr>
            <w:r w:rsidRPr="00A4272B">
              <w:rPr>
                <w:b/>
                <w:noProof/>
                <w:lang w:val="en-US"/>
              </w:rPr>
              <w:t>ANOVA</w:t>
            </w:r>
          </w:p>
        </w:tc>
        <w:tc>
          <w:tcPr>
            <w:tcW w:w="7038" w:type="dxa"/>
          </w:tcPr>
          <w:p w14:paraId="11A7A88F" w14:textId="77777777" w:rsidR="005416BE" w:rsidRPr="00A4272B" w:rsidRDefault="005416BE" w:rsidP="00263A26">
            <w:pPr>
              <w:rPr>
                <w:color w:val="000000"/>
                <w:lang w:val="en-US"/>
              </w:rPr>
            </w:pPr>
            <w:r w:rsidRPr="00A4272B">
              <w:rPr>
                <w:noProof/>
                <w:lang w:val="en-US"/>
              </w:rPr>
              <w:t>Analysis of variance</w:t>
            </w:r>
          </w:p>
        </w:tc>
      </w:tr>
      <w:tr w:rsidR="005416BE" w:rsidRPr="00A4272B" w14:paraId="4FCECE4E" w14:textId="77777777" w:rsidTr="00263A26">
        <w:tc>
          <w:tcPr>
            <w:tcW w:w="2076" w:type="dxa"/>
          </w:tcPr>
          <w:p w14:paraId="049AFAAF" w14:textId="77777777" w:rsidR="005416BE" w:rsidRPr="00A4272B" w:rsidRDefault="005416BE" w:rsidP="00263A26">
            <w:pPr>
              <w:rPr>
                <w:b/>
                <w:color w:val="000000"/>
                <w:lang w:val="en-US"/>
              </w:rPr>
            </w:pPr>
            <w:r w:rsidRPr="00A4272B">
              <w:rPr>
                <w:b/>
                <w:noProof/>
                <w:lang w:val="en-US"/>
              </w:rPr>
              <w:t>BCF</w:t>
            </w:r>
          </w:p>
        </w:tc>
        <w:tc>
          <w:tcPr>
            <w:tcW w:w="7038" w:type="dxa"/>
          </w:tcPr>
          <w:p w14:paraId="488FCD96" w14:textId="77777777" w:rsidR="005416BE" w:rsidRPr="00A4272B" w:rsidRDefault="005416BE" w:rsidP="00263A26">
            <w:pPr>
              <w:rPr>
                <w:color w:val="000000"/>
                <w:lang w:val="en-US"/>
              </w:rPr>
            </w:pPr>
            <w:r w:rsidRPr="00A4272B">
              <w:rPr>
                <w:noProof/>
                <w:lang w:val="en-US"/>
              </w:rPr>
              <w:t>Bioconcentration factor</w:t>
            </w:r>
          </w:p>
        </w:tc>
      </w:tr>
      <w:tr w:rsidR="005416BE" w:rsidRPr="00A4272B" w14:paraId="5990B8E5" w14:textId="77777777" w:rsidTr="00263A26">
        <w:tc>
          <w:tcPr>
            <w:tcW w:w="2076" w:type="dxa"/>
          </w:tcPr>
          <w:p w14:paraId="4BCD65DE" w14:textId="77777777" w:rsidR="005416BE" w:rsidRPr="00A4272B" w:rsidRDefault="005416BE" w:rsidP="00263A26">
            <w:pPr>
              <w:rPr>
                <w:b/>
                <w:lang w:val="en-US"/>
              </w:rPr>
            </w:pPr>
            <w:r w:rsidRPr="00A4272B">
              <w:rPr>
                <w:b/>
                <w:color w:val="000000"/>
                <w:lang w:val="en-US"/>
              </w:rPr>
              <w:t>CEEPOPsCTR</w:t>
            </w:r>
          </w:p>
        </w:tc>
        <w:tc>
          <w:tcPr>
            <w:tcW w:w="7038" w:type="dxa"/>
          </w:tcPr>
          <w:p w14:paraId="21C9E631" w14:textId="77777777" w:rsidR="005416BE" w:rsidRPr="00A4272B" w:rsidRDefault="005416BE" w:rsidP="00263A26">
            <w:pPr>
              <w:rPr>
                <w:noProof/>
                <w:lang w:val="en-US"/>
              </w:rPr>
            </w:pPr>
            <w:r w:rsidRPr="00A4272B">
              <w:rPr>
                <w:noProof/>
                <w:lang w:val="en-US"/>
              </w:rPr>
              <w:t>Central and Eastern European Centre for Persistent Organic Pollutants</w:t>
            </w:r>
          </w:p>
        </w:tc>
      </w:tr>
      <w:tr w:rsidR="005416BE" w:rsidRPr="00A4272B" w14:paraId="2710E78E" w14:textId="77777777" w:rsidTr="00263A26">
        <w:tc>
          <w:tcPr>
            <w:tcW w:w="2076" w:type="dxa"/>
          </w:tcPr>
          <w:p w14:paraId="201213E4" w14:textId="77777777" w:rsidR="005416BE" w:rsidRPr="00A4272B" w:rsidRDefault="005416BE" w:rsidP="00263A26">
            <w:pPr>
              <w:rPr>
                <w:b/>
                <w:lang w:val="en-US"/>
              </w:rPr>
            </w:pPr>
            <w:r w:rsidRPr="00A4272B">
              <w:rPr>
                <w:b/>
                <w:lang w:val="en-US"/>
              </w:rPr>
              <w:t>CEP</w:t>
            </w:r>
          </w:p>
        </w:tc>
        <w:tc>
          <w:tcPr>
            <w:tcW w:w="7038" w:type="dxa"/>
          </w:tcPr>
          <w:p w14:paraId="7091DE7A" w14:textId="77777777" w:rsidR="005416BE" w:rsidRPr="00A4272B" w:rsidRDefault="005416BE" w:rsidP="00263A26">
            <w:pPr>
              <w:rPr>
                <w:lang w:val="en-US"/>
              </w:rPr>
            </w:pPr>
            <w:r w:rsidRPr="00A4272B">
              <w:rPr>
                <w:lang w:val="en-US"/>
              </w:rPr>
              <w:t xml:space="preserve">Caspian Environment Programme </w:t>
            </w:r>
          </w:p>
        </w:tc>
      </w:tr>
      <w:tr w:rsidR="005416BE" w:rsidRPr="00A4272B" w14:paraId="5E204524" w14:textId="77777777" w:rsidTr="00263A26">
        <w:tc>
          <w:tcPr>
            <w:tcW w:w="2076" w:type="dxa"/>
          </w:tcPr>
          <w:p w14:paraId="4E900887" w14:textId="77777777" w:rsidR="005416BE" w:rsidRPr="00A4272B" w:rsidRDefault="005416BE" w:rsidP="00263A26">
            <w:pPr>
              <w:rPr>
                <w:b/>
                <w:color w:val="000000"/>
                <w:lang w:val="en-US"/>
              </w:rPr>
            </w:pPr>
            <w:r w:rsidRPr="00A4272B">
              <w:rPr>
                <w:b/>
                <w:lang w:val="en-US"/>
              </w:rPr>
              <w:t>CITES</w:t>
            </w:r>
          </w:p>
        </w:tc>
        <w:tc>
          <w:tcPr>
            <w:tcW w:w="7038" w:type="dxa"/>
          </w:tcPr>
          <w:p w14:paraId="06A40A00" w14:textId="77777777" w:rsidR="005416BE" w:rsidRPr="00A4272B" w:rsidRDefault="005416BE" w:rsidP="00263A26">
            <w:pPr>
              <w:rPr>
                <w:color w:val="000000"/>
                <w:lang w:val="en-US"/>
              </w:rPr>
            </w:pPr>
            <w:r w:rsidRPr="00A4272B">
              <w:rPr>
                <w:lang w:val="en-US"/>
              </w:rPr>
              <w:t>Conference on International Trade in Endangered Species</w:t>
            </w:r>
          </w:p>
        </w:tc>
      </w:tr>
      <w:tr w:rsidR="005416BE" w:rsidRPr="00A4272B" w14:paraId="4C27EAC8" w14:textId="77777777" w:rsidTr="00263A26">
        <w:tc>
          <w:tcPr>
            <w:tcW w:w="2076" w:type="dxa"/>
          </w:tcPr>
          <w:p w14:paraId="17095730" w14:textId="77777777" w:rsidR="005416BE" w:rsidRPr="00A4272B" w:rsidRDefault="005416BE" w:rsidP="00263A26">
            <w:pPr>
              <w:rPr>
                <w:b/>
                <w:color w:val="000000"/>
                <w:lang w:val="en-US"/>
              </w:rPr>
            </w:pPr>
            <w:r w:rsidRPr="00A4272B">
              <w:rPr>
                <w:b/>
                <w:noProof/>
                <w:lang w:val="en-US"/>
              </w:rPr>
              <w:t>COP</w:t>
            </w:r>
          </w:p>
        </w:tc>
        <w:tc>
          <w:tcPr>
            <w:tcW w:w="7038" w:type="dxa"/>
          </w:tcPr>
          <w:p w14:paraId="5C628F7F" w14:textId="77777777" w:rsidR="005416BE" w:rsidRPr="00A4272B" w:rsidRDefault="005416BE" w:rsidP="00263A26">
            <w:pPr>
              <w:rPr>
                <w:color w:val="000000"/>
                <w:lang w:val="en-US"/>
              </w:rPr>
            </w:pPr>
            <w:r w:rsidRPr="00A4272B">
              <w:rPr>
                <w:noProof/>
                <w:lang w:val="en-US"/>
              </w:rPr>
              <w:t>Conference of the Parties (to a Convention)</w:t>
            </w:r>
          </w:p>
        </w:tc>
      </w:tr>
      <w:tr w:rsidR="005416BE" w:rsidRPr="00A4272B" w14:paraId="7324DF7C" w14:textId="77777777" w:rsidTr="00263A26">
        <w:tc>
          <w:tcPr>
            <w:tcW w:w="2076" w:type="dxa"/>
          </w:tcPr>
          <w:p w14:paraId="3266C6DC" w14:textId="77777777" w:rsidR="005416BE" w:rsidRPr="00A4272B" w:rsidRDefault="005416BE" w:rsidP="00263A26">
            <w:pPr>
              <w:rPr>
                <w:b/>
                <w:color w:val="000000"/>
                <w:lang w:val="en-US"/>
              </w:rPr>
            </w:pPr>
            <w:r w:rsidRPr="00A4272B">
              <w:rPr>
                <w:b/>
                <w:noProof/>
                <w:lang w:val="en-US"/>
              </w:rPr>
              <w:t>CRM</w:t>
            </w:r>
          </w:p>
        </w:tc>
        <w:tc>
          <w:tcPr>
            <w:tcW w:w="7038" w:type="dxa"/>
          </w:tcPr>
          <w:p w14:paraId="2BE7B559" w14:textId="77777777" w:rsidR="005416BE" w:rsidRPr="00A4272B" w:rsidRDefault="005416BE" w:rsidP="00263A26">
            <w:pPr>
              <w:rPr>
                <w:color w:val="000000"/>
                <w:lang w:val="en-US"/>
              </w:rPr>
            </w:pPr>
            <w:r w:rsidRPr="00A4272B">
              <w:rPr>
                <w:noProof/>
                <w:lang w:val="en-US"/>
              </w:rPr>
              <w:t>Certified reference material</w:t>
            </w:r>
          </w:p>
        </w:tc>
      </w:tr>
      <w:tr w:rsidR="005416BE" w:rsidRPr="00A4272B" w14:paraId="3F402159" w14:textId="77777777" w:rsidTr="00263A26">
        <w:tc>
          <w:tcPr>
            <w:tcW w:w="2076" w:type="dxa"/>
          </w:tcPr>
          <w:p w14:paraId="689E952D" w14:textId="77777777" w:rsidR="005416BE" w:rsidRPr="00A4272B" w:rsidRDefault="005416BE" w:rsidP="00263A26">
            <w:pPr>
              <w:rPr>
                <w:b/>
                <w:color w:val="000000"/>
                <w:lang w:val="en-US"/>
              </w:rPr>
            </w:pPr>
            <w:r w:rsidRPr="00A4272B">
              <w:rPr>
                <w:b/>
                <w:color w:val="000000"/>
                <w:lang w:val="en-US"/>
              </w:rPr>
              <w:t>CTD</w:t>
            </w:r>
          </w:p>
        </w:tc>
        <w:tc>
          <w:tcPr>
            <w:tcW w:w="7038" w:type="dxa"/>
          </w:tcPr>
          <w:p w14:paraId="26CDC660" w14:textId="77777777" w:rsidR="005416BE" w:rsidRPr="00A4272B" w:rsidRDefault="005416BE" w:rsidP="00263A26">
            <w:pPr>
              <w:rPr>
                <w:color w:val="000000"/>
                <w:lang w:val="en-US"/>
              </w:rPr>
            </w:pPr>
            <w:r w:rsidRPr="00A4272B">
              <w:rPr>
                <w:color w:val="000000"/>
                <w:lang w:val="en-US"/>
              </w:rPr>
              <w:t>The characteristic travel distance– defined as the “half-distance” (analogous to a half-life) for a substance present in a mobile phase</w:t>
            </w:r>
          </w:p>
        </w:tc>
      </w:tr>
      <w:tr w:rsidR="005416BE" w:rsidRPr="00A4272B" w14:paraId="605EDFD4" w14:textId="77777777" w:rsidTr="00263A26">
        <w:trPr>
          <w:trHeight w:val="175"/>
        </w:trPr>
        <w:tc>
          <w:tcPr>
            <w:tcW w:w="2076" w:type="dxa"/>
          </w:tcPr>
          <w:p w14:paraId="1A4C3052" w14:textId="77777777" w:rsidR="005416BE" w:rsidRPr="00A4272B" w:rsidRDefault="005416BE" w:rsidP="00263A26">
            <w:pPr>
              <w:rPr>
                <w:b/>
                <w:color w:val="000000"/>
                <w:lang w:val="en-US"/>
              </w:rPr>
            </w:pPr>
            <w:r w:rsidRPr="00A4272B">
              <w:rPr>
                <w:b/>
                <w:color w:val="000000"/>
                <w:lang w:val="en-US"/>
              </w:rPr>
              <w:t>CV</w:t>
            </w:r>
          </w:p>
        </w:tc>
        <w:tc>
          <w:tcPr>
            <w:tcW w:w="7038" w:type="dxa"/>
          </w:tcPr>
          <w:p w14:paraId="77E67D39" w14:textId="77777777" w:rsidR="005416BE" w:rsidRPr="00A4272B" w:rsidRDefault="005416BE" w:rsidP="00263A26">
            <w:pPr>
              <w:rPr>
                <w:color w:val="000000"/>
                <w:lang w:val="en-US"/>
              </w:rPr>
            </w:pPr>
            <w:r w:rsidRPr="00A4272B">
              <w:rPr>
                <w:color w:val="000000"/>
                <w:lang w:val="en-US"/>
              </w:rPr>
              <w:t xml:space="preserve">Coefficient of variation </w:t>
            </w:r>
          </w:p>
        </w:tc>
      </w:tr>
      <w:tr w:rsidR="005416BE" w:rsidRPr="00A4272B" w14:paraId="56037AB3" w14:textId="77777777" w:rsidTr="00263A26">
        <w:tc>
          <w:tcPr>
            <w:tcW w:w="2076" w:type="dxa"/>
          </w:tcPr>
          <w:p w14:paraId="32BDA60D" w14:textId="77777777" w:rsidR="005416BE" w:rsidRPr="00A4272B" w:rsidRDefault="005416BE" w:rsidP="00263A26">
            <w:pPr>
              <w:rPr>
                <w:b/>
                <w:color w:val="000000"/>
                <w:lang w:val="en-US"/>
              </w:rPr>
            </w:pPr>
            <w:r w:rsidRPr="00A4272B">
              <w:rPr>
                <w:b/>
                <w:noProof/>
                <w:lang w:val="en-US"/>
              </w:rPr>
              <w:t>DDD</w:t>
            </w:r>
          </w:p>
        </w:tc>
        <w:tc>
          <w:tcPr>
            <w:tcW w:w="7038" w:type="dxa"/>
          </w:tcPr>
          <w:p w14:paraId="309818FD" w14:textId="77777777" w:rsidR="005416BE" w:rsidRPr="00A4272B" w:rsidRDefault="005416BE" w:rsidP="00263A26">
            <w:pPr>
              <w:rPr>
                <w:color w:val="000000"/>
                <w:lang w:val="en-US"/>
              </w:rPr>
            </w:pPr>
            <w:r w:rsidRPr="00A4272B">
              <w:rPr>
                <w:noProof/>
                <w:lang w:val="en-US"/>
              </w:rPr>
              <w:t>Metabolite of DDT</w:t>
            </w:r>
          </w:p>
        </w:tc>
      </w:tr>
      <w:tr w:rsidR="005416BE" w:rsidRPr="00A4272B" w14:paraId="0E004384" w14:textId="77777777" w:rsidTr="00263A26">
        <w:tc>
          <w:tcPr>
            <w:tcW w:w="2076" w:type="dxa"/>
          </w:tcPr>
          <w:p w14:paraId="5E87083B" w14:textId="77777777" w:rsidR="005416BE" w:rsidRPr="00A4272B" w:rsidRDefault="005416BE" w:rsidP="00263A26">
            <w:pPr>
              <w:rPr>
                <w:b/>
                <w:color w:val="000000"/>
                <w:lang w:val="en-US"/>
              </w:rPr>
            </w:pPr>
            <w:r w:rsidRPr="00A4272B">
              <w:rPr>
                <w:b/>
                <w:noProof/>
                <w:lang w:val="en-US"/>
              </w:rPr>
              <w:t>DDE</w:t>
            </w:r>
          </w:p>
        </w:tc>
        <w:tc>
          <w:tcPr>
            <w:tcW w:w="7038" w:type="dxa"/>
          </w:tcPr>
          <w:p w14:paraId="7D53AC27" w14:textId="77777777" w:rsidR="005416BE" w:rsidRPr="00A4272B" w:rsidRDefault="005416BE" w:rsidP="00263A26">
            <w:pPr>
              <w:rPr>
                <w:color w:val="000000"/>
                <w:lang w:val="en-US"/>
              </w:rPr>
            </w:pPr>
            <w:r w:rsidRPr="00A4272B">
              <w:rPr>
                <w:noProof/>
                <w:lang w:val="en-US"/>
              </w:rPr>
              <w:t>Metabolite of DDT</w:t>
            </w:r>
          </w:p>
        </w:tc>
      </w:tr>
      <w:tr w:rsidR="005416BE" w:rsidRPr="00A4272B" w14:paraId="52E06F9D" w14:textId="77777777" w:rsidTr="00263A26">
        <w:tc>
          <w:tcPr>
            <w:tcW w:w="2076" w:type="dxa"/>
          </w:tcPr>
          <w:p w14:paraId="3B2ACF6F" w14:textId="77777777" w:rsidR="005416BE" w:rsidRPr="00A4272B" w:rsidRDefault="005416BE" w:rsidP="00263A26">
            <w:pPr>
              <w:rPr>
                <w:b/>
                <w:color w:val="000000"/>
                <w:lang w:val="en-US"/>
              </w:rPr>
            </w:pPr>
            <w:r w:rsidRPr="00A4272B">
              <w:rPr>
                <w:b/>
                <w:color w:val="000000"/>
                <w:lang w:val="en-US"/>
              </w:rPr>
              <w:t>ECD</w:t>
            </w:r>
          </w:p>
        </w:tc>
        <w:tc>
          <w:tcPr>
            <w:tcW w:w="7038" w:type="dxa"/>
          </w:tcPr>
          <w:p w14:paraId="74649CCE" w14:textId="77777777" w:rsidR="005416BE" w:rsidRPr="00A4272B" w:rsidRDefault="005416BE" w:rsidP="00263A26">
            <w:pPr>
              <w:rPr>
                <w:color w:val="000000"/>
                <w:lang w:val="en-US"/>
              </w:rPr>
            </w:pPr>
            <w:r w:rsidRPr="00A4272B">
              <w:rPr>
                <w:color w:val="000000"/>
                <w:lang w:val="en-US"/>
              </w:rPr>
              <w:t>Electron capture detector</w:t>
            </w:r>
          </w:p>
        </w:tc>
      </w:tr>
      <w:tr w:rsidR="005416BE" w:rsidRPr="00A4272B" w14:paraId="2999827A" w14:textId="77777777" w:rsidTr="00263A26">
        <w:tc>
          <w:tcPr>
            <w:tcW w:w="2076" w:type="dxa"/>
          </w:tcPr>
          <w:p w14:paraId="0726BFB7" w14:textId="77777777" w:rsidR="005416BE" w:rsidRPr="00A4272B" w:rsidRDefault="005416BE" w:rsidP="00263A26">
            <w:pPr>
              <w:rPr>
                <w:b/>
                <w:color w:val="000000"/>
                <w:lang w:val="en-US"/>
              </w:rPr>
            </w:pPr>
            <w:r w:rsidRPr="00A4272B">
              <w:rPr>
                <w:b/>
                <w:noProof/>
                <w:lang w:val="en-US"/>
              </w:rPr>
              <w:t>ECEH</w:t>
            </w:r>
          </w:p>
        </w:tc>
        <w:tc>
          <w:tcPr>
            <w:tcW w:w="7038" w:type="dxa"/>
          </w:tcPr>
          <w:p w14:paraId="7495959C" w14:textId="77777777" w:rsidR="005416BE" w:rsidRPr="00A4272B" w:rsidRDefault="005416BE" w:rsidP="00263A26">
            <w:pPr>
              <w:rPr>
                <w:color w:val="000000"/>
                <w:lang w:val="en-US"/>
              </w:rPr>
            </w:pPr>
            <w:r w:rsidRPr="00A4272B">
              <w:rPr>
                <w:noProof/>
                <w:lang w:val="en-US"/>
              </w:rPr>
              <w:t>European Centre for Environment and Health</w:t>
            </w:r>
          </w:p>
        </w:tc>
      </w:tr>
      <w:tr w:rsidR="005416BE" w:rsidRPr="00A4272B" w14:paraId="27ECB07E" w14:textId="77777777" w:rsidTr="00263A26">
        <w:tc>
          <w:tcPr>
            <w:tcW w:w="2076" w:type="dxa"/>
          </w:tcPr>
          <w:p w14:paraId="012F3F17" w14:textId="77777777" w:rsidR="005416BE" w:rsidRPr="00A4272B" w:rsidRDefault="005416BE" w:rsidP="00263A26">
            <w:pPr>
              <w:rPr>
                <w:b/>
                <w:color w:val="000000"/>
                <w:lang w:val="en-US"/>
              </w:rPr>
            </w:pPr>
            <w:r w:rsidRPr="00A4272B">
              <w:rPr>
                <w:b/>
                <w:noProof/>
                <w:lang w:val="en-US"/>
              </w:rPr>
              <w:t>EMEP</w:t>
            </w:r>
          </w:p>
        </w:tc>
        <w:tc>
          <w:tcPr>
            <w:tcW w:w="7038" w:type="dxa"/>
          </w:tcPr>
          <w:p w14:paraId="0C9414C0" w14:textId="77777777" w:rsidR="005416BE" w:rsidRPr="00A4272B" w:rsidRDefault="005416BE" w:rsidP="00263A26">
            <w:pPr>
              <w:rPr>
                <w:color w:val="000000"/>
                <w:lang w:val="en-US"/>
              </w:rPr>
            </w:pPr>
            <w:r w:rsidRPr="00A4272B">
              <w:rPr>
                <w:rStyle w:val="Emphasis"/>
                <w:i w:val="0"/>
                <w:iCs w:val="0"/>
                <w:noProof/>
                <w:lang w:val="en-US"/>
              </w:rPr>
              <w:t>Co-operative Programme for Monitoring and Evaluation of the Long-Range Transmission of Air Pollutants in Europe</w:t>
            </w:r>
          </w:p>
        </w:tc>
      </w:tr>
      <w:tr w:rsidR="005416BE" w:rsidRPr="00A4272B" w14:paraId="2EFB7985" w14:textId="77777777" w:rsidTr="00263A26">
        <w:tc>
          <w:tcPr>
            <w:tcW w:w="2076" w:type="dxa"/>
          </w:tcPr>
          <w:p w14:paraId="3E3B8D3B" w14:textId="77777777" w:rsidR="005416BE" w:rsidRPr="00A4272B" w:rsidRDefault="005416BE" w:rsidP="00263A26">
            <w:pPr>
              <w:rPr>
                <w:b/>
                <w:color w:val="000000"/>
                <w:lang w:val="en-US"/>
              </w:rPr>
            </w:pPr>
            <w:r w:rsidRPr="00A4272B">
              <w:rPr>
                <w:b/>
                <w:noProof/>
                <w:lang w:val="en-US"/>
              </w:rPr>
              <w:t>EPA</w:t>
            </w:r>
          </w:p>
        </w:tc>
        <w:tc>
          <w:tcPr>
            <w:tcW w:w="7038" w:type="dxa"/>
          </w:tcPr>
          <w:p w14:paraId="0DA5DC27" w14:textId="77777777" w:rsidR="005416BE" w:rsidRPr="00A4272B" w:rsidRDefault="005416BE" w:rsidP="00263A26">
            <w:pPr>
              <w:rPr>
                <w:color w:val="000000"/>
                <w:lang w:val="en-US"/>
              </w:rPr>
            </w:pPr>
            <w:r w:rsidRPr="00A4272B">
              <w:rPr>
                <w:noProof/>
                <w:lang w:val="en-US"/>
              </w:rPr>
              <w:t>Environmental Protection Agency</w:t>
            </w:r>
          </w:p>
        </w:tc>
      </w:tr>
      <w:tr w:rsidR="005416BE" w:rsidRPr="00A4272B" w14:paraId="62024EE4" w14:textId="77777777" w:rsidTr="00263A26">
        <w:tc>
          <w:tcPr>
            <w:tcW w:w="2076" w:type="dxa"/>
          </w:tcPr>
          <w:p w14:paraId="0071A362" w14:textId="77777777" w:rsidR="005416BE" w:rsidRPr="00A4272B" w:rsidRDefault="005416BE" w:rsidP="00263A26">
            <w:pPr>
              <w:rPr>
                <w:b/>
                <w:color w:val="000000"/>
                <w:lang w:val="en-US"/>
              </w:rPr>
            </w:pPr>
            <w:r w:rsidRPr="00A4272B">
              <w:rPr>
                <w:b/>
                <w:noProof/>
                <w:lang w:val="en-US"/>
              </w:rPr>
              <w:t>FAO</w:t>
            </w:r>
          </w:p>
        </w:tc>
        <w:tc>
          <w:tcPr>
            <w:tcW w:w="7038" w:type="dxa"/>
          </w:tcPr>
          <w:p w14:paraId="2295A5B1" w14:textId="77777777" w:rsidR="005416BE" w:rsidRPr="00A4272B" w:rsidRDefault="005416BE" w:rsidP="00263A26">
            <w:pPr>
              <w:rPr>
                <w:color w:val="000000"/>
                <w:lang w:val="en-US"/>
              </w:rPr>
            </w:pPr>
            <w:r w:rsidRPr="00A4272B">
              <w:rPr>
                <w:noProof/>
                <w:lang w:val="en-US"/>
              </w:rPr>
              <w:t>Food and Agriculture Organisation of the United Nations</w:t>
            </w:r>
          </w:p>
        </w:tc>
      </w:tr>
      <w:tr w:rsidR="005416BE" w:rsidRPr="00A4272B" w14:paraId="5C8E9980" w14:textId="77777777" w:rsidTr="00263A26">
        <w:tc>
          <w:tcPr>
            <w:tcW w:w="2076" w:type="dxa"/>
          </w:tcPr>
          <w:p w14:paraId="0D997322" w14:textId="77777777" w:rsidR="005416BE" w:rsidRPr="00A4272B" w:rsidRDefault="005416BE" w:rsidP="00263A26">
            <w:pPr>
              <w:rPr>
                <w:b/>
                <w:lang w:val="en-US"/>
              </w:rPr>
            </w:pPr>
            <w:r w:rsidRPr="00A4272B">
              <w:rPr>
                <w:b/>
                <w:lang w:val="en-US"/>
              </w:rPr>
              <w:t xml:space="preserve">GAPS </w:t>
            </w:r>
          </w:p>
        </w:tc>
        <w:tc>
          <w:tcPr>
            <w:tcW w:w="7038" w:type="dxa"/>
          </w:tcPr>
          <w:p w14:paraId="52E2A988" w14:textId="77777777" w:rsidR="005416BE" w:rsidRPr="00A4272B" w:rsidRDefault="005416BE" w:rsidP="00263A26">
            <w:pPr>
              <w:rPr>
                <w:lang w:val="en-US"/>
              </w:rPr>
            </w:pPr>
            <w:r w:rsidRPr="00A4272B">
              <w:rPr>
                <w:lang w:val="en-US"/>
              </w:rPr>
              <w:t xml:space="preserve">Global Atmospheric Passive Sampling Survey </w:t>
            </w:r>
          </w:p>
        </w:tc>
      </w:tr>
      <w:tr w:rsidR="005416BE" w:rsidRPr="00A4272B" w14:paraId="71406294" w14:textId="77777777" w:rsidTr="00263A26">
        <w:tc>
          <w:tcPr>
            <w:tcW w:w="2076" w:type="dxa"/>
          </w:tcPr>
          <w:p w14:paraId="65A3AE32" w14:textId="77777777" w:rsidR="005416BE" w:rsidRPr="00A4272B" w:rsidRDefault="005416BE" w:rsidP="00263A26">
            <w:pPr>
              <w:rPr>
                <w:b/>
                <w:lang w:val="en-US"/>
              </w:rPr>
            </w:pPr>
            <w:r w:rsidRPr="00A4272B">
              <w:rPr>
                <w:b/>
                <w:lang w:val="en-US"/>
              </w:rPr>
              <w:t>GAW</w:t>
            </w:r>
          </w:p>
        </w:tc>
        <w:tc>
          <w:tcPr>
            <w:tcW w:w="7038" w:type="dxa"/>
          </w:tcPr>
          <w:p w14:paraId="535EA72E" w14:textId="77777777" w:rsidR="005416BE" w:rsidRPr="00A4272B" w:rsidRDefault="005416BE" w:rsidP="00263A26">
            <w:pPr>
              <w:rPr>
                <w:lang w:val="en-US"/>
              </w:rPr>
            </w:pPr>
            <w:r w:rsidRPr="00A4272B">
              <w:rPr>
                <w:color w:val="000000"/>
                <w:lang w:val="en-US"/>
              </w:rPr>
              <w:t>Global Atmosphere Watch</w:t>
            </w:r>
          </w:p>
        </w:tc>
      </w:tr>
      <w:tr w:rsidR="005416BE" w:rsidRPr="00A4272B" w14:paraId="4766305E" w14:textId="77777777" w:rsidTr="00263A26">
        <w:tc>
          <w:tcPr>
            <w:tcW w:w="2076" w:type="dxa"/>
          </w:tcPr>
          <w:p w14:paraId="4E12C3EC" w14:textId="77777777" w:rsidR="005416BE" w:rsidRPr="00A4272B" w:rsidRDefault="005416BE" w:rsidP="00263A26">
            <w:pPr>
              <w:rPr>
                <w:b/>
                <w:lang w:val="en-US"/>
              </w:rPr>
            </w:pPr>
            <w:r w:rsidRPr="00A4272B">
              <w:rPr>
                <w:b/>
                <w:color w:val="000000"/>
                <w:lang w:val="en-US"/>
              </w:rPr>
              <w:t xml:space="preserve">GC </w:t>
            </w:r>
          </w:p>
        </w:tc>
        <w:tc>
          <w:tcPr>
            <w:tcW w:w="7038" w:type="dxa"/>
          </w:tcPr>
          <w:p w14:paraId="40F30DD3" w14:textId="77777777" w:rsidR="005416BE" w:rsidRPr="00A4272B" w:rsidRDefault="005416BE" w:rsidP="00263A26">
            <w:pPr>
              <w:rPr>
                <w:lang w:val="en-US"/>
              </w:rPr>
            </w:pPr>
            <w:r w:rsidRPr="00A4272B">
              <w:rPr>
                <w:color w:val="000000"/>
                <w:lang w:val="en-US"/>
              </w:rPr>
              <w:t>Gas chromatograph(y)</w:t>
            </w:r>
          </w:p>
        </w:tc>
      </w:tr>
      <w:tr w:rsidR="005416BE" w:rsidRPr="00A4272B" w14:paraId="1337F006" w14:textId="77777777" w:rsidTr="00263A26">
        <w:tc>
          <w:tcPr>
            <w:tcW w:w="2076" w:type="dxa"/>
          </w:tcPr>
          <w:p w14:paraId="365A6263" w14:textId="77777777" w:rsidR="005416BE" w:rsidRPr="00A4272B" w:rsidRDefault="005416BE" w:rsidP="00263A26">
            <w:pPr>
              <w:rPr>
                <w:b/>
                <w:color w:val="000000"/>
                <w:lang w:val="en-US"/>
              </w:rPr>
            </w:pPr>
            <w:r w:rsidRPr="00A4272B">
              <w:rPr>
                <w:b/>
                <w:noProof/>
                <w:lang w:val="en-US"/>
              </w:rPr>
              <w:t>GEF</w:t>
            </w:r>
          </w:p>
        </w:tc>
        <w:tc>
          <w:tcPr>
            <w:tcW w:w="7038" w:type="dxa"/>
          </w:tcPr>
          <w:p w14:paraId="447D3A72" w14:textId="77777777" w:rsidR="005416BE" w:rsidRPr="00A4272B" w:rsidRDefault="005416BE" w:rsidP="00263A26">
            <w:pPr>
              <w:rPr>
                <w:color w:val="000000"/>
                <w:lang w:val="en-US"/>
              </w:rPr>
            </w:pPr>
            <w:r w:rsidRPr="00A4272B">
              <w:rPr>
                <w:noProof/>
                <w:lang w:val="en-US"/>
              </w:rPr>
              <w:t>Global Environment Facility</w:t>
            </w:r>
          </w:p>
        </w:tc>
      </w:tr>
      <w:tr w:rsidR="005416BE" w:rsidRPr="00A4272B" w14:paraId="1542FB3C" w14:textId="77777777" w:rsidTr="00263A26">
        <w:tc>
          <w:tcPr>
            <w:tcW w:w="2076" w:type="dxa"/>
          </w:tcPr>
          <w:p w14:paraId="63FFCA07" w14:textId="77777777" w:rsidR="005416BE" w:rsidRPr="00A4272B" w:rsidRDefault="005416BE" w:rsidP="00263A26">
            <w:pPr>
              <w:rPr>
                <w:b/>
                <w:color w:val="000000"/>
                <w:lang w:val="en-US"/>
              </w:rPr>
            </w:pPr>
            <w:r w:rsidRPr="00A4272B">
              <w:rPr>
                <w:b/>
                <w:noProof/>
                <w:lang w:val="en-US"/>
              </w:rPr>
              <w:t>GEMS</w:t>
            </w:r>
          </w:p>
        </w:tc>
        <w:tc>
          <w:tcPr>
            <w:tcW w:w="7038" w:type="dxa"/>
          </w:tcPr>
          <w:p w14:paraId="66F6630E" w14:textId="77777777" w:rsidR="005416BE" w:rsidRPr="00A4272B" w:rsidRDefault="005416BE" w:rsidP="00263A26">
            <w:pPr>
              <w:rPr>
                <w:color w:val="000000"/>
                <w:lang w:val="en-US"/>
              </w:rPr>
            </w:pPr>
            <w:r w:rsidRPr="00A4272B">
              <w:rPr>
                <w:noProof/>
                <w:lang w:val="en-US"/>
              </w:rPr>
              <w:t>Global Environment Monitoring System</w:t>
            </w:r>
          </w:p>
        </w:tc>
      </w:tr>
      <w:tr w:rsidR="005416BE" w:rsidRPr="00A4272B" w14:paraId="6B705411" w14:textId="77777777" w:rsidTr="00263A26">
        <w:tc>
          <w:tcPr>
            <w:tcW w:w="2076" w:type="dxa"/>
          </w:tcPr>
          <w:p w14:paraId="45ACFCE5" w14:textId="77777777" w:rsidR="005416BE" w:rsidRPr="00A4272B" w:rsidRDefault="005416BE" w:rsidP="00263A26">
            <w:pPr>
              <w:rPr>
                <w:b/>
                <w:color w:val="000000"/>
                <w:lang w:val="en-US"/>
              </w:rPr>
            </w:pPr>
            <w:r w:rsidRPr="00A4272B">
              <w:rPr>
                <w:b/>
                <w:noProof/>
                <w:lang w:val="en-US"/>
              </w:rPr>
              <w:t>GMP</w:t>
            </w:r>
          </w:p>
        </w:tc>
        <w:tc>
          <w:tcPr>
            <w:tcW w:w="7038" w:type="dxa"/>
          </w:tcPr>
          <w:p w14:paraId="186EBDB4" w14:textId="77777777" w:rsidR="005416BE" w:rsidRPr="00A4272B" w:rsidRDefault="005416BE" w:rsidP="00263A26">
            <w:pPr>
              <w:rPr>
                <w:color w:val="000000"/>
                <w:lang w:val="en-US"/>
              </w:rPr>
            </w:pPr>
            <w:r w:rsidRPr="00A4272B">
              <w:rPr>
                <w:noProof/>
                <w:lang w:val="en-US"/>
              </w:rPr>
              <w:t>Global Monitoring Plan</w:t>
            </w:r>
          </w:p>
        </w:tc>
      </w:tr>
      <w:tr w:rsidR="005416BE" w:rsidRPr="00A4272B" w14:paraId="114C93D0" w14:textId="77777777" w:rsidTr="00263A26">
        <w:tc>
          <w:tcPr>
            <w:tcW w:w="2076" w:type="dxa"/>
          </w:tcPr>
          <w:p w14:paraId="4F55FA6C" w14:textId="77777777" w:rsidR="005416BE" w:rsidRPr="00A4272B" w:rsidRDefault="005416BE" w:rsidP="00263A26">
            <w:pPr>
              <w:rPr>
                <w:b/>
                <w:lang w:val="en-US"/>
              </w:rPr>
            </w:pPr>
            <w:r w:rsidRPr="00A4272B">
              <w:rPr>
                <w:b/>
                <w:color w:val="000000"/>
                <w:lang w:val="en-US"/>
              </w:rPr>
              <w:t>GPC</w:t>
            </w:r>
          </w:p>
        </w:tc>
        <w:tc>
          <w:tcPr>
            <w:tcW w:w="7038" w:type="dxa"/>
          </w:tcPr>
          <w:p w14:paraId="3074F0F4" w14:textId="77777777" w:rsidR="005416BE" w:rsidRPr="00A4272B" w:rsidRDefault="005416BE" w:rsidP="00263A26">
            <w:pPr>
              <w:rPr>
                <w:lang w:val="en-US"/>
              </w:rPr>
            </w:pPr>
            <w:r w:rsidRPr="00A4272B">
              <w:rPr>
                <w:color w:val="000000"/>
                <w:lang w:val="en-US"/>
              </w:rPr>
              <w:t xml:space="preserve">Gel permeation chromatography </w:t>
            </w:r>
          </w:p>
        </w:tc>
      </w:tr>
      <w:tr w:rsidR="005416BE" w:rsidRPr="00A4272B" w14:paraId="773575F4" w14:textId="77777777" w:rsidTr="00263A26">
        <w:tc>
          <w:tcPr>
            <w:tcW w:w="2076" w:type="dxa"/>
          </w:tcPr>
          <w:p w14:paraId="41CF5DDE" w14:textId="77777777" w:rsidR="005416BE" w:rsidRPr="00A4272B" w:rsidRDefault="005416BE" w:rsidP="00263A26">
            <w:pPr>
              <w:rPr>
                <w:b/>
                <w:color w:val="000000"/>
                <w:lang w:val="en-US"/>
              </w:rPr>
            </w:pPr>
            <w:r w:rsidRPr="00A4272B">
              <w:rPr>
                <w:b/>
                <w:color w:val="000000"/>
                <w:lang w:val="en-US"/>
              </w:rPr>
              <w:t>GPS</w:t>
            </w:r>
          </w:p>
        </w:tc>
        <w:tc>
          <w:tcPr>
            <w:tcW w:w="7038" w:type="dxa"/>
          </w:tcPr>
          <w:p w14:paraId="4B50D62E" w14:textId="77777777" w:rsidR="005416BE" w:rsidRPr="00A4272B" w:rsidRDefault="005416BE" w:rsidP="00263A26">
            <w:pPr>
              <w:rPr>
                <w:color w:val="000000"/>
                <w:lang w:val="en-US"/>
              </w:rPr>
            </w:pPr>
            <w:r w:rsidRPr="00A4272B">
              <w:rPr>
                <w:color w:val="000000"/>
                <w:lang w:val="en-US"/>
              </w:rPr>
              <w:t>Global positioning system</w:t>
            </w:r>
          </w:p>
        </w:tc>
      </w:tr>
      <w:tr w:rsidR="005416BE" w:rsidRPr="00A4272B" w14:paraId="15880041" w14:textId="77777777" w:rsidTr="00263A26">
        <w:tc>
          <w:tcPr>
            <w:tcW w:w="2076" w:type="dxa"/>
          </w:tcPr>
          <w:p w14:paraId="58FB0A46" w14:textId="77777777" w:rsidR="005416BE" w:rsidRPr="00A4272B" w:rsidRDefault="005416BE" w:rsidP="00263A26">
            <w:pPr>
              <w:rPr>
                <w:b/>
                <w:color w:val="000000"/>
                <w:lang w:val="en-US"/>
              </w:rPr>
            </w:pPr>
            <w:r w:rsidRPr="00A4272B">
              <w:rPr>
                <w:b/>
                <w:noProof/>
                <w:lang w:val="en-US"/>
              </w:rPr>
              <w:t>HELCOM</w:t>
            </w:r>
          </w:p>
        </w:tc>
        <w:tc>
          <w:tcPr>
            <w:tcW w:w="7038" w:type="dxa"/>
          </w:tcPr>
          <w:p w14:paraId="31C60A5B" w14:textId="77777777" w:rsidR="005416BE" w:rsidRPr="00A4272B" w:rsidRDefault="005416BE" w:rsidP="00263A26">
            <w:pPr>
              <w:rPr>
                <w:color w:val="000000"/>
                <w:lang w:val="en-US"/>
              </w:rPr>
            </w:pPr>
            <w:r w:rsidRPr="00A4272B">
              <w:rPr>
                <w:noProof/>
                <w:lang w:val="en-US"/>
              </w:rPr>
              <w:t xml:space="preserve">Helsinki Commission/The Baltic Marine Environment Protection Commission </w:t>
            </w:r>
          </w:p>
        </w:tc>
      </w:tr>
      <w:tr w:rsidR="005416BE" w:rsidRPr="00A4272B" w14:paraId="149F632A" w14:textId="77777777" w:rsidTr="00263A26">
        <w:tc>
          <w:tcPr>
            <w:tcW w:w="2076" w:type="dxa"/>
          </w:tcPr>
          <w:p w14:paraId="1D7E8420" w14:textId="77777777" w:rsidR="005416BE" w:rsidRPr="00A4272B" w:rsidRDefault="005416BE" w:rsidP="00263A26">
            <w:pPr>
              <w:rPr>
                <w:b/>
                <w:lang w:val="en-US"/>
              </w:rPr>
            </w:pPr>
            <w:r w:rsidRPr="00A4272B">
              <w:rPr>
                <w:b/>
                <w:color w:val="000000"/>
                <w:lang w:val="en-US"/>
              </w:rPr>
              <w:t>HPLC</w:t>
            </w:r>
          </w:p>
        </w:tc>
        <w:tc>
          <w:tcPr>
            <w:tcW w:w="7038" w:type="dxa"/>
          </w:tcPr>
          <w:p w14:paraId="199F702E" w14:textId="77777777" w:rsidR="005416BE" w:rsidRPr="00A4272B" w:rsidRDefault="005416BE" w:rsidP="00263A26">
            <w:pPr>
              <w:rPr>
                <w:lang w:val="en-US"/>
              </w:rPr>
            </w:pPr>
            <w:r w:rsidRPr="00A4272B">
              <w:rPr>
                <w:color w:val="000000"/>
                <w:lang w:val="en-US"/>
              </w:rPr>
              <w:t xml:space="preserve">High performance liquid chromatography </w:t>
            </w:r>
          </w:p>
        </w:tc>
      </w:tr>
      <w:tr w:rsidR="005416BE" w:rsidRPr="00A4272B" w14:paraId="108FED89" w14:textId="77777777" w:rsidTr="00263A26">
        <w:tc>
          <w:tcPr>
            <w:tcW w:w="2076" w:type="dxa"/>
          </w:tcPr>
          <w:p w14:paraId="41ABFC8D" w14:textId="77777777" w:rsidR="005416BE" w:rsidRPr="00A4272B" w:rsidRDefault="005416BE" w:rsidP="00263A26">
            <w:pPr>
              <w:rPr>
                <w:b/>
                <w:color w:val="000000"/>
                <w:lang w:val="en-US"/>
              </w:rPr>
            </w:pPr>
            <w:r w:rsidRPr="00A4272B">
              <w:rPr>
                <w:b/>
                <w:color w:val="000000"/>
                <w:lang w:val="en-US"/>
              </w:rPr>
              <w:t>HRGC</w:t>
            </w:r>
          </w:p>
        </w:tc>
        <w:tc>
          <w:tcPr>
            <w:tcW w:w="7038" w:type="dxa"/>
          </w:tcPr>
          <w:p w14:paraId="7E049332" w14:textId="77777777" w:rsidR="005416BE" w:rsidRPr="00A4272B" w:rsidRDefault="005416BE" w:rsidP="00263A26">
            <w:pPr>
              <w:rPr>
                <w:color w:val="000000"/>
                <w:lang w:val="en-US"/>
              </w:rPr>
            </w:pPr>
            <w:r w:rsidRPr="00A4272B">
              <w:rPr>
                <w:color w:val="000000"/>
                <w:lang w:val="en-US"/>
              </w:rPr>
              <w:t>High resolution gas chromatography (capillary column)</w:t>
            </w:r>
          </w:p>
        </w:tc>
      </w:tr>
      <w:tr w:rsidR="005416BE" w:rsidRPr="00A4272B" w14:paraId="70264CAF" w14:textId="77777777" w:rsidTr="00263A26">
        <w:tc>
          <w:tcPr>
            <w:tcW w:w="2076" w:type="dxa"/>
          </w:tcPr>
          <w:p w14:paraId="7C986AB8" w14:textId="77777777" w:rsidR="005416BE" w:rsidRPr="00A4272B" w:rsidRDefault="005416BE" w:rsidP="00263A26">
            <w:pPr>
              <w:rPr>
                <w:b/>
                <w:color w:val="000000"/>
                <w:lang w:val="en-US"/>
              </w:rPr>
            </w:pPr>
            <w:r w:rsidRPr="00A4272B">
              <w:rPr>
                <w:b/>
                <w:color w:val="000000"/>
                <w:lang w:val="en-US"/>
              </w:rPr>
              <w:t>HRMS</w:t>
            </w:r>
          </w:p>
        </w:tc>
        <w:tc>
          <w:tcPr>
            <w:tcW w:w="7038" w:type="dxa"/>
          </w:tcPr>
          <w:p w14:paraId="7E431FC2" w14:textId="77777777" w:rsidR="005416BE" w:rsidRPr="00A4272B" w:rsidRDefault="005416BE" w:rsidP="00263A26">
            <w:pPr>
              <w:rPr>
                <w:color w:val="000000"/>
                <w:lang w:val="en-US"/>
              </w:rPr>
            </w:pPr>
            <w:r w:rsidRPr="00A4272B">
              <w:rPr>
                <w:color w:val="000000"/>
                <w:lang w:val="en-US"/>
              </w:rPr>
              <w:t>High resolution mass spectrometer</w:t>
            </w:r>
          </w:p>
        </w:tc>
      </w:tr>
      <w:tr w:rsidR="005416BE" w:rsidRPr="00A4272B" w14:paraId="22CA896E" w14:textId="77777777" w:rsidTr="00263A26">
        <w:tc>
          <w:tcPr>
            <w:tcW w:w="2076" w:type="dxa"/>
          </w:tcPr>
          <w:p w14:paraId="0858D57B" w14:textId="77777777" w:rsidR="005416BE" w:rsidRPr="00A4272B" w:rsidRDefault="005416BE" w:rsidP="00263A26">
            <w:pPr>
              <w:rPr>
                <w:b/>
                <w:lang w:val="en-US"/>
              </w:rPr>
            </w:pPr>
            <w:r w:rsidRPr="00A4272B">
              <w:rPr>
                <w:b/>
                <w:lang w:val="en-US"/>
              </w:rPr>
              <w:t>I L</w:t>
            </w:r>
          </w:p>
        </w:tc>
        <w:tc>
          <w:tcPr>
            <w:tcW w:w="7038" w:type="dxa"/>
          </w:tcPr>
          <w:p w14:paraId="5302858E" w14:textId="77777777" w:rsidR="005416BE" w:rsidRPr="00A4272B" w:rsidRDefault="005416BE" w:rsidP="00263A26">
            <w:pPr>
              <w:rPr>
                <w:lang w:val="en-US"/>
              </w:rPr>
            </w:pPr>
            <w:r w:rsidRPr="00A4272B">
              <w:rPr>
                <w:lang w:val="en-US"/>
              </w:rPr>
              <w:t>Instrumentation level</w:t>
            </w:r>
          </w:p>
        </w:tc>
      </w:tr>
      <w:tr w:rsidR="005416BE" w:rsidRPr="00A4272B" w14:paraId="0DE1CDFB" w14:textId="77777777" w:rsidTr="00263A26">
        <w:tc>
          <w:tcPr>
            <w:tcW w:w="2076" w:type="dxa"/>
          </w:tcPr>
          <w:p w14:paraId="4F070991" w14:textId="77777777" w:rsidR="005416BE" w:rsidRPr="00A4272B" w:rsidRDefault="005416BE" w:rsidP="00263A26">
            <w:pPr>
              <w:rPr>
                <w:b/>
                <w:lang w:val="en-US"/>
              </w:rPr>
            </w:pPr>
            <w:r w:rsidRPr="00A4272B">
              <w:rPr>
                <w:b/>
                <w:lang w:val="en-US"/>
              </w:rPr>
              <w:t>IADN</w:t>
            </w:r>
          </w:p>
        </w:tc>
        <w:tc>
          <w:tcPr>
            <w:tcW w:w="7038" w:type="dxa"/>
          </w:tcPr>
          <w:p w14:paraId="5C06D9E3" w14:textId="77777777" w:rsidR="005416BE" w:rsidRPr="00A4272B" w:rsidRDefault="005416BE" w:rsidP="00263A26">
            <w:pPr>
              <w:rPr>
                <w:lang w:val="en-US"/>
              </w:rPr>
            </w:pPr>
            <w:r w:rsidRPr="00A4272B">
              <w:rPr>
                <w:lang w:val="en-US"/>
              </w:rPr>
              <w:t>Integrated Atmospheric Deposition Network</w:t>
            </w:r>
          </w:p>
        </w:tc>
      </w:tr>
      <w:tr w:rsidR="005416BE" w:rsidRPr="00A4272B" w14:paraId="7714344E" w14:textId="77777777" w:rsidTr="00263A26">
        <w:tc>
          <w:tcPr>
            <w:tcW w:w="2076" w:type="dxa"/>
          </w:tcPr>
          <w:p w14:paraId="2AA7DAF8" w14:textId="77777777" w:rsidR="005416BE" w:rsidRPr="00A4272B" w:rsidRDefault="005416BE" w:rsidP="00263A26">
            <w:pPr>
              <w:rPr>
                <w:b/>
                <w:color w:val="000000"/>
                <w:lang w:val="en-US"/>
              </w:rPr>
            </w:pPr>
            <w:r w:rsidRPr="00A4272B">
              <w:rPr>
                <w:b/>
                <w:noProof/>
                <w:lang w:val="en-US"/>
              </w:rPr>
              <w:t>ICES</w:t>
            </w:r>
          </w:p>
        </w:tc>
        <w:tc>
          <w:tcPr>
            <w:tcW w:w="7038" w:type="dxa"/>
          </w:tcPr>
          <w:p w14:paraId="04882C32" w14:textId="77777777" w:rsidR="005416BE" w:rsidRPr="00A4272B" w:rsidRDefault="005416BE" w:rsidP="00263A26">
            <w:pPr>
              <w:rPr>
                <w:color w:val="000000"/>
                <w:lang w:val="en-US"/>
              </w:rPr>
            </w:pPr>
            <w:r w:rsidRPr="00A4272B">
              <w:rPr>
                <w:noProof/>
                <w:lang w:val="en-US"/>
              </w:rPr>
              <w:t>International Council for the Exploration of the Sea</w:t>
            </w:r>
          </w:p>
        </w:tc>
      </w:tr>
      <w:tr w:rsidR="005416BE" w:rsidRPr="00A4272B" w14:paraId="60F101B8" w14:textId="77777777" w:rsidTr="00263A26">
        <w:tc>
          <w:tcPr>
            <w:tcW w:w="2076" w:type="dxa"/>
          </w:tcPr>
          <w:p w14:paraId="5D2792BD" w14:textId="77777777" w:rsidR="005416BE" w:rsidRPr="00A4272B" w:rsidRDefault="005416BE" w:rsidP="00263A26">
            <w:pPr>
              <w:rPr>
                <w:b/>
                <w:color w:val="000000"/>
                <w:lang w:val="en-US"/>
              </w:rPr>
            </w:pPr>
            <w:r w:rsidRPr="00A4272B">
              <w:rPr>
                <w:b/>
                <w:noProof/>
                <w:lang w:val="en-US"/>
              </w:rPr>
              <w:t>IMO</w:t>
            </w:r>
          </w:p>
        </w:tc>
        <w:tc>
          <w:tcPr>
            <w:tcW w:w="7038" w:type="dxa"/>
          </w:tcPr>
          <w:p w14:paraId="523546FC" w14:textId="77777777" w:rsidR="005416BE" w:rsidRPr="00A4272B" w:rsidRDefault="005416BE" w:rsidP="00263A26">
            <w:pPr>
              <w:rPr>
                <w:color w:val="000000"/>
                <w:lang w:val="en-US"/>
              </w:rPr>
            </w:pPr>
            <w:r w:rsidRPr="00A4272B">
              <w:rPr>
                <w:noProof/>
                <w:lang w:val="en-US"/>
              </w:rPr>
              <w:t>International Maritime Organisation</w:t>
            </w:r>
          </w:p>
        </w:tc>
      </w:tr>
      <w:tr w:rsidR="005416BE" w:rsidRPr="00A4272B" w14:paraId="68EC6260" w14:textId="77777777" w:rsidTr="00263A26">
        <w:tc>
          <w:tcPr>
            <w:tcW w:w="2076" w:type="dxa"/>
          </w:tcPr>
          <w:p w14:paraId="18DBD753" w14:textId="77777777" w:rsidR="005416BE" w:rsidRPr="00A4272B" w:rsidRDefault="005416BE" w:rsidP="00263A26">
            <w:pPr>
              <w:rPr>
                <w:b/>
                <w:color w:val="000000"/>
                <w:lang w:val="en-US"/>
              </w:rPr>
            </w:pPr>
            <w:r w:rsidRPr="00A4272B">
              <w:rPr>
                <w:b/>
                <w:lang w:val="en-US"/>
              </w:rPr>
              <w:t>INSPQ</w:t>
            </w:r>
          </w:p>
        </w:tc>
        <w:tc>
          <w:tcPr>
            <w:tcW w:w="7038" w:type="dxa"/>
          </w:tcPr>
          <w:p w14:paraId="44E038B5" w14:textId="77777777" w:rsidR="005416BE" w:rsidRPr="00A4272B" w:rsidRDefault="005416BE" w:rsidP="00263A26">
            <w:pPr>
              <w:rPr>
                <w:color w:val="000000"/>
                <w:lang w:val="en-US"/>
              </w:rPr>
            </w:pPr>
            <w:r w:rsidRPr="00A4272B">
              <w:rPr>
                <w:lang w:val="en-US"/>
              </w:rPr>
              <w:t xml:space="preserve">Centre de Toxicologie du Québec </w:t>
            </w:r>
          </w:p>
        </w:tc>
      </w:tr>
      <w:tr w:rsidR="005416BE" w:rsidRPr="00A4272B" w14:paraId="4597C0FD" w14:textId="77777777" w:rsidTr="00263A26">
        <w:tc>
          <w:tcPr>
            <w:tcW w:w="2076" w:type="dxa"/>
          </w:tcPr>
          <w:p w14:paraId="4F86E8EC" w14:textId="77777777" w:rsidR="005416BE" w:rsidRPr="00A4272B" w:rsidRDefault="005416BE" w:rsidP="00263A26">
            <w:pPr>
              <w:rPr>
                <w:b/>
                <w:lang w:val="en-US"/>
              </w:rPr>
            </w:pPr>
            <w:r w:rsidRPr="00A4272B">
              <w:rPr>
                <w:b/>
                <w:lang w:val="en-US"/>
              </w:rPr>
              <w:t>IP/RP</w:t>
            </w:r>
          </w:p>
        </w:tc>
        <w:tc>
          <w:tcPr>
            <w:tcW w:w="7038" w:type="dxa"/>
          </w:tcPr>
          <w:p w14:paraId="05A27CBB" w14:textId="77777777" w:rsidR="005416BE" w:rsidRPr="00A4272B" w:rsidRDefault="005416BE" w:rsidP="00263A26">
            <w:pPr>
              <w:rPr>
                <w:lang w:val="en-US"/>
              </w:rPr>
            </w:pPr>
            <w:r w:rsidRPr="00A4272B">
              <w:rPr>
                <w:lang w:val="en-US"/>
              </w:rPr>
              <w:t>International/regional programmes</w:t>
            </w:r>
          </w:p>
        </w:tc>
      </w:tr>
      <w:tr w:rsidR="005416BE" w:rsidRPr="00A4272B" w14:paraId="2352A2B1" w14:textId="77777777" w:rsidTr="00263A26">
        <w:tc>
          <w:tcPr>
            <w:tcW w:w="2076" w:type="dxa"/>
          </w:tcPr>
          <w:p w14:paraId="69D38672" w14:textId="77777777" w:rsidR="005416BE" w:rsidRPr="00A4272B" w:rsidRDefault="005416BE" w:rsidP="00263A26">
            <w:pPr>
              <w:rPr>
                <w:b/>
                <w:color w:val="000000"/>
                <w:lang w:val="en-US"/>
              </w:rPr>
            </w:pPr>
            <w:r w:rsidRPr="00A4272B">
              <w:rPr>
                <w:b/>
                <w:noProof/>
                <w:lang w:val="en-US"/>
              </w:rPr>
              <w:t>IPCS</w:t>
            </w:r>
          </w:p>
        </w:tc>
        <w:tc>
          <w:tcPr>
            <w:tcW w:w="7038" w:type="dxa"/>
          </w:tcPr>
          <w:p w14:paraId="72D9A9C3" w14:textId="77777777" w:rsidR="005416BE" w:rsidRPr="00A4272B" w:rsidRDefault="005416BE" w:rsidP="00263A26">
            <w:pPr>
              <w:rPr>
                <w:color w:val="000000"/>
                <w:lang w:val="en-US"/>
              </w:rPr>
            </w:pPr>
            <w:r w:rsidRPr="00A4272B">
              <w:rPr>
                <w:noProof/>
                <w:lang w:val="en-US"/>
              </w:rPr>
              <w:t>International Programme on Chemical Safety</w:t>
            </w:r>
          </w:p>
        </w:tc>
      </w:tr>
      <w:tr w:rsidR="005416BE" w:rsidRPr="00A4272B" w14:paraId="1415C048" w14:textId="77777777" w:rsidTr="00263A26">
        <w:tc>
          <w:tcPr>
            <w:tcW w:w="2076" w:type="dxa"/>
          </w:tcPr>
          <w:p w14:paraId="343815BA" w14:textId="77777777" w:rsidR="005416BE" w:rsidRPr="00A4272B" w:rsidRDefault="005416BE" w:rsidP="00263A26">
            <w:pPr>
              <w:rPr>
                <w:b/>
                <w:lang w:val="en-US"/>
              </w:rPr>
            </w:pPr>
            <w:r w:rsidRPr="00A4272B">
              <w:rPr>
                <w:b/>
                <w:lang w:val="en-US"/>
              </w:rPr>
              <w:t>JECFA</w:t>
            </w:r>
          </w:p>
        </w:tc>
        <w:tc>
          <w:tcPr>
            <w:tcW w:w="7038" w:type="dxa"/>
          </w:tcPr>
          <w:p w14:paraId="66A6479A" w14:textId="77777777" w:rsidR="005416BE" w:rsidRPr="00A4272B" w:rsidRDefault="005416BE" w:rsidP="00263A26">
            <w:pPr>
              <w:rPr>
                <w:lang w:val="en-US"/>
              </w:rPr>
            </w:pPr>
            <w:r w:rsidRPr="00A4272B">
              <w:rPr>
                <w:color w:val="000000"/>
                <w:lang w:val="en-US"/>
              </w:rPr>
              <w:t>Joint FAO/WHO Expert Committee on Food Additives</w:t>
            </w:r>
          </w:p>
        </w:tc>
      </w:tr>
      <w:tr w:rsidR="005416BE" w:rsidRPr="00A4272B" w14:paraId="367133CE" w14:textId="77777777" w:rsidTr="00263A26">
        <w:tc>
          <w:tcPr>
            <w:tcW w:w="2076" w:type="dxa"/>
          </w:tcPr>
          <w:p w14:paraId="217E3BC3" w14:textId="77777777" w:rsidR="005416BE" w:rsidRPr="00A4272B" w:rsidRDefault="005416BE" w:rsidP="00263A26">
            <w:pPr>
              <w:rPr>
                <w:b/>
                <w:color w:val="000000"/>
                <w:lang w:val="en-US"/>
              </w:rPr>
            </w:pPr>
            <w:r w:rsidRPr="00A4272B">
              <w:rPr>
                <w:b/>
                <w:color w:val="000000"/>
                <w:lang w:val="en-US"/>
              </w:rPr>
              <w:lastRenderedPageBreak/>
              <w:t>LOD</w:t>
            </w:r>
          </w:p>
        </w:tc>
        <w:tc>
          <w:tcPr>
            <w:tcW w:w="7038" w:type="dxa"/>
          </w:tcPr>
          <w:p w14:paraId="02C764C3" w14:textId="77777777" w:rsidR="005416BE" w:rsidRPr="00A4272B" w:rsidRDefault="005416BE" w:rsidP="00263A26">
            <w:pPr>
              <w:rPr>
                <w:color w:val="000000"/>
                <w:lang w:val="en-US"/>
              </w:rPr>
            </w:pPr>
            <w:r w:rsidRPr="00A4272B">
              <w:rPr>
                <w:color w:val="000000"/>
                <w:lang w:val="en-US"/>
              </w:rPr>
              <w:t>Limit of detection</w:t>
            </w:r>
          </w:p>
        </w:tc>
      </w:tr>
      <w:tr w:rsidR="005416BE" w:rsidRPr="00A4272B" w14:paraId="0C0FEB9F" w14:textId="77777777" w:rsidTr="00263A26">
        <w:tc>
          <w:tcPr>
            <w:tcW w:w="2076" w:type="dxa"/>
          </w:tcPr>
          <w:p w14:paraId="2FDD2AB3" w14:textId="77777777" w:rsidR="005416BE" w:rsidRPr="00A4272B" w:rsidRDefault="005416BE" w:rsidP="00263A26">
            <w:pPr>
              <w:rPr>
                <w:b/>
                <w:lang w:val="en-US"/>
              </w:rPr>
            </w:pPr>
            <w:r w:rsidRPr="00A4272B">
              <w:rPr>
                <w:b/>
                <w:lang w:val="en-US"/>
              </w:rPr>
              <w:t>LOQ</w:t>
            </w:r>
          </w:p>
        </w:tc>
        <w:tc>
          <w:tcPr>
            <w:tcW w:w="7038" w:type="dxa"/>
          </w:tcPr>
          <w:p w14:paraId="52BBDCBC" w14:textId="77777777" w:rsidR="005416BE" w:rsidRPr="00A4272B" w:rsidRDefault="005416BE" w:rsidP="00263A26">
            <w:pPr>
              <w:rPr>
                <w:lang w:val="en-US"/>
              </w:rPr>
            </w:pPr>
            <w:r w:rsidRPr="00A4272B">
              <w:rPr>
                <w:color w:val="000000"/>
                <w:lang w:val="en-US"/>
              </w:rPr>
              <w:t>Limit of quantification</w:t>
            </w:r>
          </w:p>
        </w:tc>
      </w:tr>
      <w:tr w:rsidR="005416BE" w:rsidRPr="00A4272B" w14:paraId="1F920CA5" w14:textId="77777777" w:rsidTr="00263A26">
        <w:tc>
          <w:tcPr>
            <w:tcW w:w="2076" w:type="dxa"/>
          </w:tcPr>
          <w:p w14:paraId="59CEE5A3" w14:textId="77777777" w:rsidR="005416BE" w:rsidRPr="00A4272B" w:rsidRDefault="005416BE" w:rsidP="00263A26">
            <w:pPr>
              <w:rPr>
                <w:b/>
                <w:color w:val="000000"/>
                <w:lang w:val="en-US"/>
              </w:rPr>
            </w:pPr>
            <w:r w:rsidRPr="00A4272B">
              <w:rPr>
                <w:b/>
                <w:noProof/>
                <w:lang w:val="en-US"/>
              </w:rPr>
              <w:t>LRM</w:t>
            </w:r>
          </w:p>
        </w:tc>
        <w:tc>
          <w:tcPr>
            <w:tcW w:w="7038" w:type="dxa"/>
          </w:tcPr>
          <w:p w14:paraId="714C84DD" w14:textId="77777777" w:rsidR="005416BE" w:rsidRPr="00A4272B" w:rsidRDefault="005416BE" w:rsidP="00263A26">
            <w:pPr>
              <w:rPr>
                <w:color w:val="000000"/>
                <w:lang w:val="en-US"/>
              </w:rPr>
            </w:pPr>
            <w:r w:rsidRPr="00A4272B">
              <w:rPr>
                <w:noProof/>
                <w:lang w:val="en-US"/>
              </w:rPr>
              <w:t>Laboratory reference material</w:t>
            </w:r>
          </w:p>
        </w:tc>
      </w:tr>
      <w:tr w:rsidR="005416BE" w:rsidRPr="00A4272B" w14:paraId="18863A1F" w14:textId="77777777" w:rsidTr="00263A26">
        <w:tc>
          <w:tcPr>
            <w:tcW w:w="2076" w:type="dxa"/>
          </w:tcPr>
          <w:p w14:paraId="40FBE13F" w14:textId="77777777" w:rsidR="005416BE" w:rsidRPr="00A4272B" w:rsidRDefault="005416BE" w:rsidP="00263A26">
            <w:pPr>
              <w:rPr>
                <w:b/>
                <w:color w:val="000000"/>
                <w:lang w:val="en-US"/>
              </w:rPr>
            </w:pPr>
            <w:r w:rsidRPr="00A4272B">
              <w:rPr>
                <w:b/>
                <w:color w:val="000000"/>
                <w:lang w:val="en-US"/>
              </w:rPr>
              <w:t>LRMS</w:t>
            </w:r>
          </w:p>
        </w:tc>
        <w:tc>
          <w:tcPr>
            <w:tcW w:w="7038" w:type="dxa"/>
          </w:tcPr>
          <w:p w14:paraId="19FCF66C" w14:textId="77777777" w:rsidR="005416BE" w:rsidRPr="00A4272B" w:rsidRDefault="005416BE" w:rsidP="00263A26">
            <w:pPr>
              <w:rPr>
                <w:color w:val="000000"/>
                <w:lang w:val="en-US"/>
              </w:rPr>
            </w:pPr>
            <w:r w:rsidRPr="00A4272B">
              <w:rPr>
                <w:color w:val="000000"/>
                <w:lang w:val="en-US"/>
              </w:rPr>
              <w:t>Low resolution mass spectrometer</w:t>
            </w:r>
          </w:p>
        </w:tc>
      </w:tr>
      <w:tr w:rsidR="005416BE" w:rsidRPr="00A4272B" w14:paraId="6F211D62" w14:textId="77777777" w:rsidTr="00263A26">
        <w:tc>
          <w:tcPr>
            <w:tcW w:w="2076" w:type="dxa"/>
          </w:tcPr>
          <w:p w14:paraId="7070632B" w14:textId="77777777" w:rsidR="005416BE" w:rsidRPr="00A4272B" w:rsidRDefault="005416BE" w:rsidP="00263A26">
            <w:pPr>
              <w:rPr>
                <w:b/>
                <w:color w:val="000000"/>
                <w:lang w:val="en-US"/>
              </w:rPr>
            </w:pPr>
            <w:r w:rsidRPr="00A4272B">
              <w:rPr>
                <w:b/>
                <w:noProof/>
                <w:lang w:val="en-US"/>
              </w:rPr>
              <w:t>LRTAP</w:t>
            </w:r>
          </w:p>
        </w:tc>
        <w:tc>
          <w:tcPr>
            <w:tcW w:w="7038" w:type="dxa"/>
          </w:tcPr>
          <w:p w14:paraId="22995365" w14:textId="77777777" w:rsidR="005416BE" w:rsidRPr="00A4272B" w:rsidRDefault="005416BE" w:rsidP="00263A26">
            <w:pPr>
              <w:rPr>
                <w:color w:val="000000"/>
                <w:lang w:val="en-US"/>
              </w:rPr>
            </w:pPr>
            <w:r w:rsidRPr="00A4272B">
              <w:rPr>
                <w:noProof/>
                <w:lang w:val="en-US"/>
              </w:rPr>
              <w:t>Long Range Transboundary Air Pollution Convention (under the auspices of UNECE)</w:t>
            </w:r>
          </w:p>
        </w:tc>
      </w:tr>
      <w:tr w:rsidR="005416BE" w:rsidRPr="00A4272B" w14:paraId="003B7CA2" w14:textId="77777777" w:rsidTr="00263A26">
        <w:tc>
          <w:tcPr>
            <w:tcW w:w="2076" w:type="dxa"/>
          </w:tcPr>
          <w:p w14:paraId="647134AE" w14:textId="77777777" w:rsidR="005416BE" w:rsidRPr="00A4272B" w:rsidRDefault="005416BE" w:rsidP="00263A26">
            <w:pPr>
              <w:rPr>
                <w:b/>
                <w:color w:val="000000"/>
                <w:lang w:val="en-US"/>
              </w:rPr>
            </w:pPr>
            <w:r w:rsidRPr="00A4272B">
              <w:rPr>
                <w:rFonts w:ascii="TimesNewRoman" w:hAnsi="TimesNewRoman" w:cs="TimesNewRoman"/>
                <w:b/>
                <w:color w:val="000000"/>
                <w:lang w:val="en-US"/>
              </w:rPr>
              <w:t>LRTP</w:t>
            </w:r>
          </w:p>
        </w:tc>
        <w:tc>
          <w:tcPr>
            <w:tcW w:w="7038" w:type="dxa"/>
          </w:tcPr>
          <w:p w14:paraId="65FEEF9E" w14:textId="77777777" w:rsidR="005416BE" w:rsidRPr="00A4272B" w:rsidRDefault="005416BE" w:rsidP="00263A26">
            <w:pPr>
              <w:rPr>
                <w:color w:val="000000"/>
                <w:lang w:val="en-US"/>
              </w:rPr>
            </w:pPr>
            <w:r w:rsidRPr="00A4272B">
              <w:rPr>
                <w:color w:val="000000"/>
                <w:lang w:val="en-US"/>
              </w:rPr>
              <w:t xml:space="preserve">Long-range transport potential </w:t>
            </w:r>
          </w:p>
        </w:tc>
      </w:tr>
      <w:tr w:rsidR="005416BE" w:rsidRPr="00A4272B" w14:paraId="5BF0823B" w14:textId="77777777" w:rsidTr="00263A26">
        <w:tc>
          <w:tcPr>
            <w:tcW w:w="2076" w:type="dxa"/>
          </w:tcPr>
          <w:p w14:paraId="05290C7A" w14:textId="77777777" w:rsidR="005416BE" w:rsidRPr="00A4272B" w:rsidRDefault="005416BE" w:rsidP="00263A26">
            <w:pPr>
              <w:rPr>
                <w:b/>
                <w:color w:val="000000"/>
                <w:lang w:val="en-US"/>
              </w:rPr>
            </w:pPr>
            <w:r w:rsidRPr="00A4272B">
              <w:rPr>
                <w:b/>
                <w:noProof/>
                <w:lang w:val="en-US"/>
              </w:rPr>
              <w:t>MDL</w:t>
            </w:r>
          </w:p>
        </w:tc>
        <w:tc>
          <w:tcPr>
            <w:tcW w:w="7038" w:type="dxa"/>
          </w:tcPr>
          <w:p w14:paraId="12D04B96" w14:textId="77777777" w:rsidR="005416BE" w:rsidRPr="00A4272B" w:rsidRDefault="005416BE" w:rsidP="00263A26">
            <w:pPr>
              <w:rPr>
                <w:color w:val="000000"/>
                <w:lang w:val="en-US"/>
              </w:rPr>
            </w:pPr>
            <w:r w:rsidRPr="00A4272B">
              <w:rPr>
                <w:noProof/>
                <w:lang w:val="en-US"/>
              </w:rPr>
              <w:t>Method detection limit</w:t>
            </w:r>
          </w:p>
        </w:tc>
      </w:tr>
      <w:tr w:rsidR="005416BE" w:rsidRPr="00A4272B" w14:paraId="5090D04F" w14:textId="77777777" w:rsidTr="00263A26">
        <w:tc>
          <w:tcPr>
            <w:tcW w:w="2076" w:type="dxa"/>
          </w:tcPr>
          <w:p w14:paraId="34C1090F" w14:textId="77777777" w:rsidR="005416BE" w:rsidRPr="00A4272B" w:rsidRDefault="005416BE" w:rsidP="00263A26">
            <w:pPr>
              <w:rPr>
                <w:b/>
                <w:noProof/>
                <w:lang w:val="en-US"/>
              </w:rPr>
            </w:pPr>
            <w:r w:rsidRPr="00A4272B">
              <w:rPr>
                <w:b/>
                <w:noProof/>
                <w:lang w:val="en-US"/>
              </w:rPr>
              <w:t>mL</w:t>
            </w:r>
          </w:p>
        </w:tc>
        <w:tc>
          <w:tcPr>
            <w:tcW w:w="7038" w:type="dxa"/>
          </w:tcPr>
          <w:p w14:paraId="6C854ABB" w14:textId="77777777" w:rsidR="005416BE" w:rsidRPr="00A4272B" w:rsidRDefault="005416BE" w:rsidP="00263A26">
            <w:pPr>
              <w:rPr>
                <w:noProof/>
                <w:lang w:val="en-US"/>
              </w:rPr>
            </w:pPr>
            <w:r w:rsidRPr="00A4272B">
              <w:rPr>
                <w:noProof/>
                <w:lang w:val="en-US"/>
              </w:rPr>
              <w:t>Milliliter</w:t>
            </w:r>
          </w:p>
        </w:tc>
      </w:tr>
      <w:tr w:rsidR="005416BE" w:rsidRPr="00A4272B" w14:paraId="6CB0E5B1" w14:textId="77777777" w:rsidTr="00263A26">
        <w:tc>
          <w:tcPr>
            <w:tcW w:w="2076" w:type="dxa"/>
          </w:tcPr>
          <w:p w14:paraId="5E944196" w14:textId="77777777" w:rsidR="005416BE" w:rsidRPr="00A4272B" w:rsidRDefault="005416BE" w:rsidP="00263A26">
            <w:pPr>
              <w:rPr>
                <w:b/>
                <w:lang w:val="en-US"/>
              </w:rPr>
            </w:pPr>
            <w:r w:rsidRPr="00A4272B">
              <w:rPr>
                <w:b/>
                <w:lang w:val="en-US"/>
              </w:rPr>
              <w:t>MONARPOP</w:t>
            </w:r>
          </w:p>
        </w:tc>
        <w:tc>
          <w:tcPr>
            <w:tcW w:w="7038" w:type="dxa"/>
          </w:tcPr>
          <w:p w14:paraId="78A4FDFE" w14:textId="77777777" w:rsidR="005416BE" w:rsidRPr="00A4272B" w:rsidRDefault="005416BE" w:rsidP="00263A26">
            <w:pPr>
              <w:pStyle w:val="NormalWeb"/>
              <w:spacing w:before="0" w:beforeAutospacing="0" w:after="120" w:afterAutospacing="0"/>
              <w:rPr>
                <w:szCs w:val="20"/>
              </w:rPr>
            </w:pPr>
            <w:r w:rsidRPr="00A4272B">
              <w:rPr>
                <w:szCs w:val="20"/>
              </w:rPr>
              <w:t>Monitoring Network in the Alpine Region for Persistent Organic pollutants</w:t>
            </w:r>
          </w:p>
        </w:tc>
      </w:tr>
      <w:tr w:rsidR="005416BE" w:rsidRPr="00A4272B" w14:paraId="17ADFF37" w14:textId="77777777" w:rsidTr="00263A26">
        <w:tc>
          <w:tcPr>
            <w:tcW w:w="2076" w:type="dxa"/>
          </w:tcPr>
          <w:p w14:paraId="5968B135" w14:textId="77777777" w:rsidR="005416BE" w:rsidRPr="00A4272B" w:rsidRDefault="005416BE" w:rsidP="00263A26">
            <w:pPr>
              <w:rPr>
                <w:b/>
                <w:color w:val="000000"/>
                <w:lang w:val="en-US"/>
              </w:rPr>
            </w:pPr>
            <w:r w:rsidRPr="00A4272B">
              <w:rPr>
                <w:b/>
                <w:color w:val="000000"/>
                <w:lang w:val="en-US"/>
              </w:rPr>
              <w:t>MS</w:t>
            </w:r>
          </w:p>
        </w:tc>
        <w:tc>
          <w:tcPr>
            <w:tcW w:w="7038" w:type="dxa"/>
          </w:tcPr>
          <w:p w14:paraId="20632C7A" w14:textId="77777777" w:rsidR="005416BE" w:rsidRPr="00A4272B" w:rsidRDefault="005416BE" w:rsidP="00263A26">
            <w:pPr>
              <w:rPr>
                <w:color w:val="000000"/>
                <w:lang w:val="en-US"/>
              </w:rPr>
            </w:pPr>
            <w:r w:rsidRPr="00A4272B">
              <w:rPr>
                <w:color w:val="000000"/>
                <w:lang w:val="en-US"/>
              </w:rPr>
              <w:t xml:space="preserve">Mass selective detector </w:t>
            </w:r>
          </w:p>
        </w:tc>
      </w:tr>
      <w:tr w:rsidR="005416BE" w:rsidRPr="00A4272B" w14:paraId="49D176A8" w14:textId="77777777" w:rsidTr="00263A26">
        <w:tc>
          <w:tcPr>
            <w:tcW w:w="2076" w:type="dxa"/>
          </w:tcPr>
          <w:p w14:paraId="0924B1FB" w14:textId="77777777" w:rsidR="005416BE" w:rsidRPr="00A4272B" w:rsidRDefault="005416BE" w:rsidP="00263A26">
            <w:pPr>
              <w:rPr>
                <w:b/>
                <w:color w:val="000000"/>
                <w:lang w:val="en-US"/>
              </w:rPr>
            </w:pPr>
            <w:r w:rsidRPr="00A4272B">
              <w:rPr>
                <w:b/>
                <w:noProof/>
                <w:lang w:val="en-US"/>
              </w:rPr>
              <w:t>NGOs</w:t>
            </w:r>
          </w:p>
        </w:tc>
        <w:tc>
          <w:tcPr>
            <w:tcW w:w="7038" w:type="dxa"/>
          </w:tcPr>
          <w:p w14:paraId="5FCCAB38" w14:textId="77777777" w:rsidR="005416BE" w:rsidRPr="00A4272B" w:rsidRDefault="005416BE" w:rsidP="00263A26">
            <w:pPr>
              <w:rPr>
                <w:color w:val="000000"/>
                <w:lang w:val="en-US"/>
              </w:rPr>
            </w:pPr>
            <w:r w:rsidRPr="00A4272B">
              <w:rPr>
                <w:noProof/>
                <w:lang w:val="en-US"/>
              </w:rPr>
              <w:t>Non-governmental organisations</w:t>
            </w:r>
          </w:p>
        </w:tc>
      </w:tr>
      <w:tr w:rsidR="005416BE" w:rsidRPr="00A4272B" w14:paraId="3B284A76" w14:textId="77777777" w:rsidTr="00263A26">
        <w:tc>
          <w:tcPr>
            <w:tcW w:w="2076" w:type="dxa"/>
          </w:tcPr>
          <w:p w14:paraId="03C1F9C7" w14:textId="77777777" w:rsidR="005416BE" w:rsidRPr="00A4272B" w:rsidRDefault="005416BE" w:rsidP="00263A26">
            <w:pPr>
              <w:rPr>
                <w:b/>
                <w:color w:val="000000"/>
                <w:lang w:val="en-US"/>
              </w:rPr>
            </w:pPr>
            <w:r w:rsidRPr="00A4272B">
              <w:rPr>
                <w:b/>
                <w:noProof/>
                <w:lang w:val="en-US"/>
              </w:rPr>
              <w:t>OC</w:t>
            </w:r>
          </w:p>
        </w:tc>
        <w:tc>
          <w:tcPr>
            <w:tcW w:w="7038" w:type="dxa"/>
          </w:tcPr>
          <w:p w14:paraId="43980C9A" w14:textId="77777777" w:rsidR="005416BE" w:rsidRPr="00A4272B" w:rsidRDefault="005416BE" w:rsidP="00263A26">
            <w:pPr>
              <w:rPr>
                <w:color w:val="000000"/>
                <w:lang w:val="en-US"/>
              </w:rPr>
            </w:pPr>
            <w:r w:rsidRPr="00A4272B">
              <w:rPr>
                <w:noProof/>
                <w:lang w:val="en-US"/>
              </w:rPr>
              <w:t>Organochlorine</w:t>
            </w:r>
          </w:p>
        </w:tc>
      </w:tr>
      <w:tr w:rsidR="005416BE" w:rsidRPr="00A4272B" w14:paraId="51F5865A" w14:textId="77777777" w:rsidTr="00263A26">
        <w:tc>
          <w:tcPr>
            <w:tcW w:w="2076" w:type="dxa"/>
          </w:tcPr>
          <w:p w14:paraId="13BD5488" w14:textId="77777777" w:rsidR="005416BE" w:rsidRPr="00A4272B" w:rsidRDefault="005416BE" w:rsidP="00263A26">
            <w:pPr>
              <w:rPr>
                <w:b/>
                <w:color w:val="000000"/>
                <w:lang w:val="en-US"/>
              </w:rPr>
            </w:pPr>
            <w:r w:rsidRPr="00A4272B">
              <w:rPr>
                <w:b/>
                <w:noProof/>
                <w:lang w:val="en-US"/>
              </w:rPr>
              <w:t>OCP</w:t>
            </w:r>
          </w:p>
        </w:tc>
        <w:tc>
          <w:tcPr>
            <w:tcW w:w="7038" w:type="dxa"/>
          </w:tcPr>
          <w:p w14:paraId="616099B4" w14:textId="77777777" w:rsidR="005416BE" w:rsidRPr="00A4272B" w:rsidRDefault="005416BE" w:rsidP="00263A26">
            <w:pPr>
              <w:rPr>
                <w:color w:val="000000"/>
                <w:lang w:val="en-US"/>
              </w:rPr>
            </w:pPr>
            <w:r w:rsidRPr="00A4272B">
              <w:rPr>
                <w:noProof/>
                <w:lang w:val="en-US"/>
              </w:rPr>
              <w:t>Organochlorine pesticide</w:t>
            </w:r>
          </w:p>
        </w:tc>
      </w:tr>
      <w:tr w:rsidR="005416BE" w:rsidRPr="00A4272B" w14:paraId="03DD4E45" w14:textId="77777777" w:rsidTr="00263A26">
        <w:tc>
          <w:tcPr>
            <w:tcW w:w="2076" w:type="dxa"/>
          </w:tcPr>
          <w:p w14:paraId="532FFD1E" w14:textId="77777777" w:rsidR="005416BE" w:rsidRPr="00A4272B" w:rsidRDefault="005416BE" w:rsidP="00263A26">
            <w:pPr>
              <w:rPr>
                <w:b/>
                <w:color w:val="000000"/>
                <w:lang w:val="en-US"/>
              </w:rPr>
            </w:pPr>
            <w:r w:rsidRPr="00A4272B">
              <w:rPr>
                <w:b/>
                <w:noProof/>
                <w:lang w:val="en-US"/>
              </w:rPr>
              <w:t>OECD</w:t>
            </w:r>
          </w:p>
        </w:tc>
        <w:tc>
          <w:tcPr>
            <w:tcW w:w="7038" w:type="dxa"/>
          </w:tcPr>
          <w:p w14:paraId="730E3A3E" w14:textId="77777777" w:rsidR="005416BE" w:rsidRPr="00A4272B" w:rsidRDefault="005416BE" w:rsidP="00263A26">
            <w:pPr>
              <w:rPr>
                <w:color w:val="000000"/>
                <w:lang w:val="en-US"/>
              </w:rPr>
            </w:pPr>
            <w:r w:rsidRPr="00A4272B">
              <w:rPr>
                <w:noProof/>
                <w:lang w:val="en-US"/>
              </w:rPr>
              <w:t>Organisation for Economic Co-operation and Development</w:t>
            </w:r>
          </w:p>
        </w:tc>
      </w:tr>
      <w:tr w:rsidR="005416BE" w:rsidRPr="00A4272B" w14:paraId="5F43B7E1" w14:textId="77777777" w:rsidTr="00263A26">
        <w:tc>
          <w:tcPr>
            <w:tcW w:w="2076" w:type="dxa"/>
          </w:tcPr>
          <w:p w14:paraId="5C10565A" w14:textId="77777777" w:rsidR="005416BE" w:rsidRPr="00A4272B" w:rsidRDefault="005416BE" w:rsidP="00263A26">
            <w:pPr>
              <w:rPr>
                <w:b/>
                <w:color w:val="000000"/>
                <w:lang w:val="en-US"/>
              </w:rPr>
            </w:pPr>
            <w:r w:rsidRPr="00A4272B">
              <w:rPr>
                <w:b/>
                <w:noProof/>
                <w:lang w:val="en-US"/>
              </w:rPr>
              <w:t>OSPAR</w:t>
            </w:r>
          </w:p>
        </w:tc>
        <w:tc>
          <w:tcPr>
            <w:tcW w:w="7038" w:type="dxa"/>
          </w:tcPr>
          <w:p w14:paraId="79CD97C1" w14:textId="77777777" w:rsidR="005416BE" w:rsidRPr="00A4272B" w:rsidRDefault="005416BE" w:rsidP="00263A26">
            <w:pPr>
              <w:rPr>
                <w:color w:val="000000"/>
                <w:lang w:val="en-US"/>
              </w:rPr>
            </w:pPr>
            <w:r w:rsidRPr="00A4272B">
              <w:rPr>
                <w:noProof/>
                <w:lang w:val="en-US"/>
              </w:rPr>
              <w:t>Oslo Paris Commissions, Convention for the Protection of the Marine Environment of the North East Atlantic</w:t>
            </w:r>
          </w:p>
        </w:tc>
      </w:tr>
      <w:tr w:rsidR="005416BE" w:rsidRPr="00A4272B" w14:paraId="00D8484F" w14:textId="77777777" w:rsidTr="00263A26">
        <w:tc>
          <w:tcPr>
            <w:tcW w:w="2076" w:type="dxa"/>
          </w:tcPr>
          <w:p w14:paraId="43F21AD0" w14:textId="77777777" w:rsidR="005416BE" w:rsidRPr="00A4272B" w:rsidRDefault="005416BE" w:rsidP="00263A26">
            <w:pPr>
              <w:rPr>
                <w:b/>
                <w:noProof/>
                <w:lang w:val="en-US"/>
              </w:rPr>
            </w:pPr>
            <w:r w:rsidRPr="00A4272B">
              <w:rPr>
                <w:b/>
                <w:noProof/>
                <w:lang w:val="en-US"/>
              </w:rPr>
              <w:t>PBDE</w:t>
            </w:r>
          </w:p>
        </w:tc>
        <w:tc>
          <w:tcPr>
            <w:tcW w:w="7038" w:type="dxa"/>
          </w:tcPr>
          <w:p w14:paraId="39FB82DE" w14:textId="77777777" w:rsidR="005416BE" w:rsidRPr="00A4272B" w:rsidRDefault="005416BE" w:rsidP="00263A26">
            <w:pPr>
              <w:rPr>
                <w:noProof/>
                <w:lang w:val="en-US"/>
              </w:rPr>
            </w:pPr>
            <w:r w:rsidRPr="00A4272B">
              <w:rPr>
                <w:noProof/>
                <w:lang w:val="en-US"/>
              </w:rPr>
              <w:t>Polybrominated diphenyl ether</w:t>
            </w:r>
          </w:p>
        </w:tc>
      </w:tr>
      <w:tr w:rsidR="005416BE" w:rsidRPr="00A4272B" w14:paraId="622BFDBD" w14:textId="77777777" w:rsidTr="00263A26">
        <w:tc>
          <w:tcPr>
            <w:tcW w:w="2076" w:type="dxa"/>
          </w:tcPr>
          <w:p w14:paraId="045AA105" w14:textId="77777777" w:rsidR="005416BE" w:rsidRPr="00A4272B" w:rsidRDefault="005416BE" w:rsidP="00263A26">
            <w:pPr>
              <w:rPr>
                <w:b/>
                <w:noProof/>
                <w:lang w:val="en-US"/>
              </w:rPr>
            </w:pPr>
            <w:r w:rsidRPr="00A4272B">
              <w:rPr>
                <w:b/>
                <w:noProof/>
                <w:lang w:val="en-US"/>
              </w:rPr>
              <w:t>PCA</w:t>
            </w:r>
          </w:p>
        </w:tc>
        <w:tc>
          <w:tcPr>
            <w:tcW w:w="7038" w:type="dxa"/>
          </w:tcPr>
          <w:p w14:paraId="23DFF7A3" w14:textId="77777777" w:rsidR="005416BE" w:rsidRPr="00A4272B" w:rsidRDefault="005416BE" w:rsidP="00263A26">
            <w:pPr>
              <w:rPr>
                <w:noProof/>
                <w:lang w:val="en-US"/>
              </w:rPr>
            </w:pPr>
            <w:r w:rsidRPr="00A4272B">
              <w:rPr>
                <w:noProof/>
                <w:lang w:val="en-US"/>
              </w:rPr>
              <w:t>Pentachloroanisole</w:t>
            </w:r>
          </w:p>
        </w:tc>
      </w:tr>
      <w:tr w:rsidR="005416BE" w:rsidRPr="00A4272B" w14:paraId="01A9A949" w14:textId="77777777" w:rsidTr="00263A26">
        <w:tc>
          <w:tcPr>
            <w:tcW w:w="2076" w:type="dxa"/>
          </w:tcPr>
          <w:p w14:paraId="4CB22E30" w14:textId="77777777" w:rsidR="005416BE" w:rsidRPr="00A4272B" w:rsidRDefault="005416BE" w:rsidP="00263A26">
            <w:pPr>
              <w:rPr>
                <w:b/>
                <w:color w:val="000000"/>
                <w:lang w:val="en-US"/>
              </w:rPr>
            </w:pPr>
            <w:r w:rsidRPr="00A4272B">
              <w:rPr>
                <w:b/>
                <w:noProof/>
                <w:lang w:val="en-US"/>
              </w:rPr>
              <w:t>PCBs</w:t>
            </w:r>
          </w:p>
        </w:tc>
        <w:tc>
          <w:tcPr>
            <w:tcW w:w="7038" w:type="dxa"/>
          </w:tcPr>
          <w:p w14:paraId="6AA2C698" w14:textId="77777777" w:rsidR="005416BE" w:rsidRPr="00A4272B" w:rsidRDefault="005416BE" w:rsidP="00263A26">
            <w:pPr>
              <w:rPr>
                <w:color w:val="000000"/>
                <w:lang w:val="en-US"/>
              </w:rPr>
            </w:pPr>
            <w:r w:rsidRPr="00A4272B">
              <w:rPr>
                <w:noProof/>
                <w:lang w:val="en-US"/>
              </w:rPr>
              <w:t xml:space="preserve">Polychlorinated biphenyls </w:t>
            </w:r>
          </w:p>
        </w:tc>
      </w:tr>
      <w:tr w:rsidR="005416BE" w:rsidRPr="00A4272B" w14:paraId="75F37153" w14:textId="77777777" w:rsidTr="00263A26">
        <w:tc>
          <w:tcPr>
            <w:tcW w:w="2076" w:type="dxa"/>
          </w:tcPr>
          <w:p w14:paraId="64D016DB" w14:textId="77777777" w:rsidR="005416BE" w:rsidRPr="00A4272B" w:rsidRDefault="005416BE" w:rsidP="00263A26">
            <w:pPr>
              <w:rPr>
                <w:b/>
                <w:color w:val="000000"/>
                <w:lang w:val="en-US"/>
              </w:rPr>
            </w:pPr>
            <w:r w:rsidRPr="00A4272B">
              <w:rPr>
                <w:b/>
                <w:noProof/>
                <w:lang w:val="en-US"/>
              </w:rPr>
              <w:t>PCDD</w:t>
            </w:r>
          </w:p>
        </w:tc>
        <w:tc>
          <w:tcPr>
            <w:tcW w:w="7038" w:type="dxa"/>
          </w:tcPr>
          <w:p w14:paraId="1E09B863" w14:textId="77777777" w:rsidR="005416BE" w:rsidRPr="00A4272B" w:rsidRDefault="005416BE" w:rsidP="00263A26">
            <w:pPr>
              <w:rPr>
                <w:color w:val="000000"/>
                <w:lang w:val="en-US"/>
              </w:rPr>
            </w:pPr>
            <w:r w:rsidRPr="00A4272B">
              <w:rPr>
                <w:noProof/>
                <w:lang w:val="en-US"/>
              </w:rPr>
              <w:t>Polychlorinated dibenzo-</w:t>
            </w:r>
            <w:r w:rsidRPr="00A4272B">
              <w:rPr>
                <w:i/>
                <w:noProof/>
                <w:lang w:val="en-US"/>
              </w:rPr>
              <w:t>para</w:t>
            </w:r>
            <w:r w:rsidRPr="00A4272B">
              <w:rPr>
                <w:noProof/>
                <w:lang w:val="en-US"/>
              </w:rPr>
              <w:t>-dioxins</w:t>
            </w:r>
          </w:p>
        </w:tc>
      </w:tr>
      <w:tr w:rsidR="005416BE" w:rsidRPr="00A4272B" w14:paraId="1F69958A" w14:textId="77777777" w:rsidTr="00263A26">
        <w:tc>
          <w:tcPr>
            <w:tcW w:w="2076" w:type="dxa"/>
          </w:tcPr>
          <w:p w14:paraId="174F624F" w14:textId="77777777" w:rsidR="005416BE" w:rsidRPr="00A4272B" w:rsidRDefault="005416BE" w:rsidP="00263A26">
            <w:pPr>
              <w:rPr>
                <w:b/>
                <w:color w:val="000000"/>
                <w:lang w:val="en-US"/>
              </w:rPr>
            </w:pPr>
            <w:r w:rsidRPr="00A4272B">
              <w:rPr>
                <w:b/>
                <w:noProof/>
                <w:lang w:val="en-US"/>
              </w:rPr>
              <w:t>PCDF</w:t>
            </w:r>
          </w:p>
        </w:tc>
        <w:tc>
          <w:tcPr>
            <w:tcW w:w="7038" w:type="dxa"/>
          </w:tcPr>
          <w:p w14:paraId="5B7B2C91" w14:textId="77777777" w:rsidR="005416BE" w:rsidRPr="00A4272B" w:rsidRDefault="005416BE" w:rsidP="00263A26">
            <w:pPr>
              <w:rPr>
                <w:color w:val="000000"/>
                <w:lang w:val="en-US"/>
              </w:rPr>
            </w:pPr>
            <w:r w:rsidRPr="00A4272B">
              <w:rPr>
                <w:noProof/>
                <w:lang w:val="en-US"/>
              </w:rPr>
              <w:t>Polychlorinated dibenzofurans</w:t>
            </w:r>
          </w:p>
        </w:tc>
      </w:tr>
      <w:tr w:rsidR="005416BE" w:rsidRPr="00A4272B" w14:paraId="15E92BC4" w14:textId="77777777" w:rsidTr="00263A26">
        <w:tc>
          <w:tcPr>
            <w:tcW w:w="2076" w:type="dxa"/>
          </w:tcPr>
          <w:p w14:paraId="309A80F6" w14:textId="77777777" w:rsidR="005416BE" w:rsidRPr="00A4272B" w:rsidRDefault="005416BE" w:rsidP="00263A26">
            <w:pPr>
              <w:rPr>
                <w:b/>
                <w:noProof/>
                <w:lang w:val="en-US"/>
              </w:rPr>
            </w:pPr>
            <w:r w:rsidRPr="00A4272B">
              <w:rPr>
                <w:b/>
                <w:noProof/>
                <w:lang w:val="en-US"/>
              </w:rPr>
              <w:t>PCNs</w:t>
            </w:r>
          </w:p>
        </w:tc>
        <w:tc>
          <w:tcPr>
            <w:tcW w:w="7038" w:type="dxa"/>
          </w:tcPr>
          <w:p w14:paraId="32522F31" w14:textId="77777777" w:rsidR="005416BE" w:rsidRPr="00A4272B" w:rsidRDefault="005416BE" w:rsidP="00263A26">
            <w:pPr>
              <w:rPr>
                <w:noProof/>
                <w:lang w:val="en-US"/>
              </w:rPr>
            </w:pPr>
            <w:r w:rsidRPr="00A4272B">
              <w:rPr>
                <w:noProof/>
                <w:lang w:val="en-US"/>
              </w:rPr>
              <w:t>Polychlorinated naphthalenes</w:t>
            </w:r>
          </w:p>
        </w:tc>
      </w:tr>
      <w:tr w:rsidR="005416BE" w:rsidRPr="00A4272B" w14:paraId="7D8FAF7B" w14:textId="77777777" w:rsidTr="00263A26">
        <w:tc>
          <w:tcPr>
            <w:tcW w:w="2076" w:type="dxa"/>
          </w:tcPr>
          <w:p w14:paraId="2D40C430" w14:textId="77777777" w:rsidR="005416BE" w:rsidRPr="00A4272B" w:rsidRDefault="005416BE" w:rsidP="00263A26">
            <w:pPr>
              <w:rPr>
                <w:b/>
                <w:color w:val="000000"/>
                <w:lang w:val="en-US"/>
              </w:rPr>
            </w:pPr>
            <w:r w:rsidRPr="00A4272B">
              <w:rPr>
                <w:b/>
                <w:noProof/>
                <w:lang w:val="en-US"/>
              </w:rPr>
              <w:t>POPs</w:t>
            </w:r>
          </w:p>
        </w:tc>
        <w:tc>
          <w:tcPr>
            <w:tcW w:w="7038" w:type="dxa"/>
          </w:tcPr>
          <w:p w14:paraId="28B331F1" w14:textId="77777777" w:rsidR="005416BE" w:rsidRPr="00A4272B" w:rsidRDefault="005416BE" w:rsidP="00263A26">
            <w:pPr>
              <w:rPr>
                <w:color w:val="000000"/>
                <w:lang w:val="en-US"/>
              </w:rPr>
            </w:pPr>
            <w:r w:rsidRPr="00A4272B">
              <w:rPr>
                <w:noProof/>
                <w:lang w:val="en-US"/>
              </w:rPr>
              <w:t>Persistent organic pollutants</w:t>
            </w:r>
          </w:p>
        </w:tc>
      </w:tr>
      <w:tr w:rsidR="005416BE" w:rsidRPr="00A4272B" w14:paraId="11ADA8DB" w14:textId="77777777" w:rsidTr="00263A26">
        <w:tc>
          <w:tcPr>
            <w:tcW w:w="2076" w:type="dxa"/>
          </w:tcPr>
          <w:p w14:paraId="0C4C0616" w14:textId="77777777" w:rsidR="005416BE" w:rsidRPr="00A4272B" w:rsidRDefault="005416BE" w:rsidP="00263A26">
            <w:pPr>
              <w:rPr>
                <w:b/>
                <w:lang w:val="en-US"/>
              </w:rPr>
            </w:pPr>
            <w:r w:rsidRPr="00A4272B">
              <w:rPr>
                <w:b/>
                <w:lang w:val="en-US"/>
              </w:rPr>
              <w:t>PRTRs</w:t>
            </w:r>
          </w:p>
        </w:tc>
        <w:tc>
          <w:tcPr>
            <w:tcW w:w="7038" w:type="dxa"/>
          </w:tcPr>
          <w:p w14:paraId="5B922BF8" w14:textId="77777777" w:rsidR="005416BE" w:rsidRPr="00A4272B" w:rsidRDefault="005416BE" w:rsidP="00263A26">
            <w:pPr>
              <w:pStyle w:val="NormalWeb"/>
              <w:spacing w:before="0" w:beforeAutospacing="0" w:after="120" w:afterAutospacing="0"/>
              <w:rPr>
                <w:szCs w:val="20"/>
              </w:rPr>
            </w:pPr>
            <w:r w:rsidRPr="00A4272B">
              <w:rPr>
                <w:szCs w:val="20"/>
              </w:rPr>
              <w:t>Pollutant release and transfer registers</w:t>
            </w:r>
          </w:p>
        </w:tc>
      </w:tr>
      <w:tr w:rsidR="005416BE" w:rsidRPr="00A4272B" w14:paraId="5965E249" w14:textId="77777777" w:rsidTr="00263A26">
        <w:tc>
          <w:tcPr>
            <w:tcW w:w="2076" w:type="dxa"/>
          </w:tcPr>
          <w:p w14:paraId="4E339247" w14:textId="77777777" w:rsidR="005416BE" w:rsidRPr="00A4272B" w:rsidRDefault="005416BE" w:rsidP="00263A26">
            <w:pPr>
              <w:rPr>
                <w:b/>
                <w:color w:val="000000"/>
                <w:lang w:val="en-US"/>
              </w:rPr>
            </w:pPr>
            <w:r w:rsidRPr="00A4272B">
              <w:rPr>
                <w:b/>
                <w:noProof/>
                <w:lang w:val="en-US"/>
              </w:rPr>
              <w:t>PTS</w:t>
            </w:r>
          </w:p>
        </w:tc>
        <w:tc>
          <w:tcPr>
            <w:tcW w:w="7038" w:type="dxa"/>
          </w:tcPr>
          <w:p w14:paraId="2B7F9AE4" w14:textId="77777777" w:rsidR="005416BE" w:rsidRPr="00A4272B" w:rsidRDefault="005416BE" w:rsidP="00263A26">
            <w:pPr>
              <w:rPr>
                <w:color w:val="000000"/>
                <w:lang w:val="en-US"/>
              </w:rPr>
            </w:pPr>
            <w:r w:rsidRPr="00A4272B">
              <w:rPr>
                <w:noProof/>
                <w:lang w:val="en-US"/>
              </w:rPr>
              <w:t>Persistent toxic substances</w:t>
            </w:r>
          </w:p>
        </w:tc>
      </w:tr>
      <w:tr w:rsidR="005416BE" w:rsidRPr="00A4272B" w14:paraId="0FBC6DCA" w14:textId="77777777" w:rsidTr="00263A26">
        <w:tc>
          <w:tcPr>
            <w:tcW w:w="2076" w:type="dxa"/>
          </w:tcPr>
          <w:p w14:paraId="34A6F2F8" w14:textId="77777777" w:rsidR="005416BE" w:rsidRPr="00A4272B" w:rsidRDefault="005416BE" w:rsidP="00263A26">
            <w:pPr>
              <w:rPr>
                <w:b/>
                <w:lang w:val="en-US"/>
              </w:rPr>
            </w:pPr>
            <w:r w:rsidRPr="00A4272B">
              <w:rPr>
                <w:b/>
                <w:lang w:val="en-US"/>
              </w:rPr>
              <w:t>PUF</w:t>
            </w:r>
          </w:p>
        </w:tc>
        <w:tc>
          <w:tcPr>
            <w:tcW w:w="7038" w:type="dxa"/>
          </w:tcPr>
          <w:p w14:paraId="03C3F5E1" w14:textId="77777777" w:rsidR="005416BE" w:rsidRPr="00A4272B" w:rsidRDefault="005416BE" w:rsidP="00263A26">
            <w:pPr>
              <w:rPr>
                <w:lang w:val="en-US"/>
              </w:rPr>
            </w:pPr>
            <w:r w:rsidRPr="00A4272B">
              <w:rPr>
                <w:lang w:val="en-US"/>
              </w:rPr>
              <w:t>Polyurethane foam</w:t>
            </w:r>
          </w:p>
        </w:tc>
      </w:tr>
      <w:tr w:rsidR="005416BE" w:rsidRPr="00A4272B" w14:paraId="63FDE4EE" w14:textId="77777777" w:rsidTr="00263A26">
        <w:tc>
          <w:tcPr>
            <w:tcW w:w="2076" w:type="dxa"/>
          </w:tcPr>
          <w:p w14:paraId="4ACCA8F0" w14:textId="77777777" w:rsidR="005416BE" w:rsidRPr="00A4272B" w:rsidRDefault="005416BE" w:rsidP="00263A26">
            <w:pPr>
              <w:rPr>
                <w:b/>
                <w:lang w:val="en-US"/>
              </w:rPr>
            </w:pPr>
            <w:r w:rsidRPr="00A4272B">
              <w:rPr>
                <w:b/>
                <w:lang w:val="en-US"/>
              </w:rPr>
              <w:t>QA/QC</w:t>
            </w:r>
          </w:p>
        </w:tc>
        <w:tc>
          <w:tcPr>
            <w:tcW w:w="7038" w:type="dxa"/>
          </w:tcPr>
          <w:p w14:paraId="2879CEC3" w14:textId="77777777" w:rsidR="005416BE" w:rsidRPr="00A4272B" w:rsidRDefault="005416BE" w:rsidP="00263A26">
            <w:pPr>
              <w:rPr>
                <w:lang w:val="en-US"/>
              </w:rPr>
            </w:pPr>
            <w:r w:rsidRPr="00A4272B">
              <w:rPr>
                <w:lang w:val="en-US"/>
              </w:rPr>
              <w:t xml:space="preserve">Quality assurance and quality control regimes </w:t>
            </w:r>
          </w:p>
        </w:tc>
      </w:tr>
      <w:tr w:rsidR="005416BE" w:rsidRPr="00A4272B" w14:paraId="726D0CDC" w14:textId="77777777" w:rsidTr="00263A26">
        <w:tc>
          <w:tcPr>
            <w:tcW w:w="2076" w:type="dxa"/>
          </w:tcPr>
          <w:p w14:paraId="1E44735A" w14:textId="77777777" w:rsidR="005416BE" w:rsidRPr="00A4272B" w:rsidRDefault="005416BE" w:rsidP="00263A26">
            <w:pPr>
              <w:rPr>
                <w:b/>
                <w:lang w:val="en-US"/>
              </w:rPr>
            </w:pPr>
            <w:r w:rsidRPr="00A4272B">
              <w:rPr>
                <w:b/>
                <w:color w:val="000000"/>
                <w:lang w:val="en-US"/>
              </w:rPr>
              <w:t>ROGs</w:t>
            </w:r>
          </w:p>
        </w:tc>
        <w:tc>
          <w:tcPr>
            <w:tcW w:w="7038" w:type="dxa"/>
          </w:tcPr>
          <w:p w14:paraId="430A04F5" w14:textId="77777777" w:rsidR="005416BE" w:rsidRPr="00A4272B" w:rsidRDefault="005416BE" w:rsidP="00263A26">
            <w:pPr>
              <w:rPr>
                <w:lang w:val="en-US"/>
              </w:rPr>
            </w:pPr>
            <w:r w:rsidRPr="00A4272B">
              <w:rPr>
                <w:color w:val="000000"/>
                <w:lang w:val="en-US"/>
              </w:rPr>
              <w:t>Regional organization groups for the Global Monitoring Plan</w:t>
            </w:r>
          </w:p>
        </w:tc>
      </w:tr>
      <w:tr w:rsidR="005416BE" w:rsidRPr="00A4272B" w14:paraId="3D077963" w14:textId="77777777" w:rsidTr="00263A26">
        <w:tc>
          <w:tcPr>
            <w:tcW w:w="2076" w:type="dxa"/>
          </w:tcPr>
          <w:p w14:paraId="5C93364D" w14:textId="77777777" w:rsidR="005416BE" w:rsidRPr="00A4272B" w:rsidRDefault="005416BE" w:rsidP="00263A26">
            <w:pPr>
              <w:rPr>
                <w:b/>
                <w:color w:val="000000"/>
                <w:lang w:val="en-US"/>
              </w:rPr>
            </w:pPr>
            <w:r w:rsidRPr="00A4272B">
              <w:rPr>
                <w:b/>
                <w:color w:val="000000"/>
                <w:lang w:val="en-US"/>
              </w:rPr>
              <w:t>SCCPs</w:t>
            </w:r>
          </w:p>
        </w:tc>
        <w:tc>
          <w:tcPr>
            <w:tcW w:w="7038" w:type="dxa"/>
          </w:tcPr>
          <w:p w14:paraId="169714D9" w14:textId="77777777" w:rsidR="005416BE" w:rsidRPr="00A4272B" w:rsidRDefault="005416BE" w:rsidP="00263A26">
            <w:pPr>
              <w:rPr>
                <w:color w:val="000000"/>
                <w:lang w:val="en-US"/>
              </w:rPr>
            </w:pPr>
            <w:r w:rsidRPr="00A4272B">
              <w:rPr>
                <w:color w:val="000000"/>
                <w:lang w:val="en-US"/>
              </w:rPr>
              <w:t>Short-chain chlorinated paraffins</w:t>
            </w:r>
          </w:p>
        </w:tc>
      </w:tr>
      <w:tr w:rsidR="005416BE" w:rsidRPr="00A4272B" w14:paraId="08ED293D" w14:textId="77777777" w:rsidTr="00263A26">
        <w:tc>
          <w:tcPr>
            <w:tcW w:w="2076" w:type="dxa"/>
          </w:tcPr>
          <w:p w14:paraId="62C8996A" w14:textId="77777777" w:rsidR="005416BE" w:rsidRPr="00A4272B" w:rsidRDefault="005416BE" w:rsidP="00263A26">
            <w:pPr>
              <w:rPr>
                <w:b/>
                <w:lang w:val="en-US"/>
              </w:rPr>
            </w:pPr>
            <w:r w:rsidRPr="00A4272B">
              <w:rPr>
                <w:b/>
                <w:lang w:val="en-US"/>
              </w:rPr>
              <w:t>SMOC</w:t>
            </w:r>
          </w:p>
        </w:tc>
        <w:tc>
          <w:tcPr>
            <w:tcW w:w="7038" w:type="dxa"/>
          </w:tcPr>
          <w:p w14:paraId="44B2582A" w14:textId="77777777" w:rsidR="005416BE" w:rsidRPr="00A4272B" w:rsidRDefault="005416BE" w:rsidP="00263A26">
            <w:pPr>
              <w:rPr>
                <w:lang w:val="en-US"/>
              </w:rPr>
            </w:pPr>
            <w:r w:rsidRPr="00A4272B">
              <w:rPr>
                <w:lang w:val="en-US"/>
              </w:rPr>
              <w:t>The Sound Management of Chemicals (SMOC) initiative under the North American Agreement on Environmental Cooperation (NAAEC)</w:t>
            </w:r>
          </w:p>
        </w:tc>
      </w:tr>
      <w:tr w:rsidR="005416BE" w:rsidRPr="00A4272B" w14:paraId="7F7015EF" w14:textId="77777777" w:rsidTr="00263A26">
        <w:tc>
          <w:tcPr>
            <w:tcW w:w="2076" w:type="dxa"/>
          </w:tcPr>
          <w:p w14:paraId="0D53C4CE" w14:textId="77777777" w:rsidR="005416BE" w:rsidRPr="00A4272B" w:rsidRDefault="005416BE" w:rsidP="00263A26">
            <w:pPr>
              <w:rPr>
                <w:b/>
                <w:color w:val="000000"/>
                <w:lang w:val="en-US"/>
              </w:rPr>
            </w:pPr>
            <w:r w:rsidRPr="00A4272B">
              <w:rPr>
                <w:b/>
                <w:lang w:val="en-US"/>
              </w:rPr>
              <w:t>SOP</w:t>
            </w:r>
          </w:p>
        </w:tc>
        <w:tc>
          <w:tcPr>
            <w:tcW w:w="7038" w:type="dxa"/>
          </w:tcPr>
          <w:p w14:paraId="61B1DCCA" w14:textId="77777777" w:rsidR="005416BE" w:rsidRPr="00A4272B" w:rsidRDefault="005416BE" w:rsidP="00263A26">
            <w:pPr>
              <w:rPr>
                <w:color w:val="000000"/>
                <w:lang w:val="en-US"/>
              </w:rPr>
            </w:pPr>
            <w:r w:rsidRPr="00A4272B">
              <w:rPr>
                <w:lang w:val="en-US"/>
              </w:rPr>
              <w:t>Standard operating procedure</w:t>
            </w:r>
          </w:p>
        </w:tc>
      </w:tr>
      <w:tr w:rsidR="005416BE" w:rsidRPr="00A4272B" w14:paraId="1FC0A895" w14:textId="77777777" w:rsidTr="00263A26">
        <w:tc>
          <w:tcPr>
            <w:tcW w:w="2076" w:type="dxa"/>
          </w:tcPr>
          <w:p w14:paraId="0A0668E4" w14:textId="77777777" w:rsidR="005416BE" w:rsidRPr="00A4272B" w:rsidRDefault="005416BE" w:rsidP="00263A26">
            <w:pPr>
              <w:rPr>
                <w:b/>
                <w:color w:val="000000"/>
                <w:lang w:val="en-US"/>
              </w:rPr>
            </w:pPr>
            <w:r w:rsidRPr="00A4272B">
              <w:rPr>
                <w:b/>
                <w:noProof/>
                <w:lang w:val="en-US"/>
              </w:rPr>
              <w:t>TCDD</w:t>
            </w:r>
          </w:p>
        </w:tc>
        <w:tc>
          <w:tcPr>
            <w:tcW w:w="7038" w:type="dxa"/>
          </w:tcPr>
          <w:p w14:paraId="32F29812" w14:textId="77777777" w:rsidR="005416BE" w:rsidRPr="00A4272B" w:rsidRDefault="005416BE" w:rsidP="00263A26">
            <w:pPr>
              <w:rPr>
                <w:color w:val="000000"/>
                <w:lang w:val="en-US"/>
              </w:rPr>
            </w:pPr>
            <w:r w:rsidRPr="00A4272B">
              <w:rPr>
                <w:noProof/>
                <w:lang w:val="en-US"/>
              </w:rPr>
              <w:t>Tetrachlorodibenzo-</w:t>
            </w:r>
            <w:r w:rsidRPr="00A4272B">
              <w:rPr>
                <w:i/>
                <w:iCs/>
                <w:noProof/>
                <w:lang w:val="en-US"/>
              </w:rPr>
              <w:t>para</w:t>
            </w:r>
            <w:r w:rsidRPr="00A4272B">
              <w:rPr>
                <w:noProof/>
                <w:lang w:val="en-US"/>
              </w:rPr>
              <w:t>-dioxin</w:t>
            </w:r>
          </w:p>
        </w:tc>
      </w:tr>
      <w:tr w:rsidR="005416BE" w:rsidRPr="00A4272B" w14:paraId="2EB79E45" w14:textId="77777777" w:rsidTr="00263A26">
        <w:tc>
          <w:tcPr>
            <w:tcW w:w="2076" w:type="dxa"/>
          </w:tcPr>
          <w:p w14:paraId="3D101EE4" w14:textId="77777777" w:rsidR="005416BE" w:rsidRPr="00A4272B" w:rsidRDefault="005416BE" w:rsidP="00263A26">
            <w:pPr>
              <w:rPr>
                <w:b/>
                <w:color w:val="000000"/>
                <w:lang w:val="en-US"/>
              </w:rPr>
            </w:pPr>
            <w:r w:rsidRPr="00A4272B">
              <w:rPr>
                <w:b/>
                <w:noProof/>
                <w:lang w:val="en-US"/>
              </w:rPr>
              <w:t>TEF</w:t>
            </w:r>
          </w:p>
        </w:tc>
        <w:tc>
          <w:tcPr>
            <w:tcW w:w="7038" w:type="dxa"/>
          </w:tcPr>
          <w:p w14:paraId="2E7DE499" w14:textId="77777777" w:rsidR="005416BE" w:rsidRPr="00A4272B" w:rsidRDefault="005416BE" w:rsidP="00263A26">
            <w:pPr>
              <w:rPr>
                <w:color w:val="000000"/>
                <w:lang w:val="en-US"/>
              </w:rPr>
            </w:pPr>
            <w:r w:rsidRPr="00A4272B">
              <w:rPr>
                <w:noProof/>
                <w:lang w:val="en-US"/>
              </w:rPr>
              <w:t>Toxic equivalency factor</w:t>
            </w:r>
          </w:p>
        </w:tc>
      </w:tr>
      <w:tr w:rsidR="005416BE" w:rsidRPr="00A4272B" w14:paraId="58878C6A" w14:textId="77777777" w:rsidTr="00263A26">
        <w:tc>
          <w:tcPr>
            <w:tcW w:w="2076" w:type="dxa"/>
          </w:tcPr>
          <w:p w14:paraId="553F8AFE" w14:textId="77777777" w:rsidR="005416BE" w:rsidRPr="00A4272B" w:rsidRDefault="005416BE" w:rsidP="00263A26">
            <w:pPr>
              <w:rPr>
                <w:b/>
                <w:color w:val="000000"/>
                <w:lang w:val="en-US"/>
              </w:rPr>
            </w:pPr>
            <w:r w:rsidRPr="00A4272B">
              <w:rPr>
                <w:b/>
                <w:noProof/>
                <w:lang w:val="en-US"/>
              </w:rPr>
              <w:t>TEQ</w:t>
            </w:r>
          </w:p>
        </w:tc>
        <w:tc>
          <w:tcPr>
            <w:tcW w:w="7038" w:type="dxa"/>
          </w:tcPr>
          <w:p w14:paraId="01C40885" w14:textId="77777777" w:rsidR="005416BE" w:rsidRPr="00A4272B" w:rsidRDefault="005416BE" w:rsidP="00263A26">
            <w:pPr>
              <w:rPr>
                <w:color w:val="000000"/>
                <w:lang w:val="en-US"/>
              </w:rPr>
            </w:pPr>
            <w:r w:rsidRPr="00A4272B">
              <w:rPr>
                <w:noProof/>
                <w:lang w:val="en-US"/>
              </w:rPr>
              <w:t>Toxicity equivalents</w:t>
            </w:r>
          </w:p>
        </w:tc>
      </w:tr>
      <w:tr w:rsidR="005416BE" w:rsidRPr="00A4272B" w14:paraId="01ABF3F7" w14:textId="77777777" w:rsidTr="00263A26">
        <w:tc>
          <w:tcPr>
            <w:tcW w:w="2076" w:type="dxa"/>
          </w:tcPr>
          <w:p w14:paraId="63229DE4" w14:textId="77777777" w:rsidR="005416BE" w:rsidRPr="00A4272B" w:rsidRDefault="005416BE" w:rsidP="00263A26">
            <w:pPr>
              <w:rPr>
                <w:b/>
                <w:color w:val="000000"/>
                <w:lang w:val="en-US"/>
              </w:rPr>
            </w:pPr>
            <w:r w:rsidRPr="00A4272B">
              <w:rPr>
                <w:b/>
                <w:noProof/>
                <w:lang w:val="en-US"/>
              </w:rPr>
              <w:t>UNECE</w:t>
            </w:r>
          </w:p>
        </w:tc>
        <w:tc>
          <w:tcPr>
            <w:tcW w:w="7038" w:type="dxa"/>
          </w:tcPr>
          <w:p w14:paraId="42102D70" w14:textId="77777777" w:rsidR="005416BE" w:rsidRPr="00A4272B" w:rsidRDefault="005416BE" w:rsidP="00263A26">
            <w:pPr>
              <w:rPr>
                <w:color w:val="000000"/>
                <w:lang w:val="en-US"/>
              </w:rPr>
            </w:pPr>
            <w:r w:rsidRPr="00A4272B">
              <w:rPr>
                <w:noProof/>
                <w:lang w:val="en-US"/>
              </w:rPr>
              <w:t>United Nations Economic Commission for Europe</w:t>
            </w:r>
          </w:p>
        </w:tc>
      </w:tr>
      <w:tr w:rsidR="005416BE" w:rsidRPr="00A4272B" w14:paraId="12340FC3" w14:textId="77777777" w:rsidTr="00263A26">
        <w:tc>
          <w:tcPr>
            <w:tcW w:w="2076" w:type="dxa"/>
          </w:tcPr>
          <w:p w14:paraId="3CBAE8C7" w14:textId="77777777" w:rsidR="005416BE" w:rsidRPr="00A4272B" w:rsidRDefault="005416BE" w:rsidP="00263A26">
            <w:pPr>
              <w:rPr>
                <w:b/>
                <w:color w:val="000000"/>
                <w:lang w:val="en-US"/>
              </w:rPr>
            </w:pPr>
            <w:r w:rsidRPr="00A4272B">
              <w:rPr>
                <w:b/>
                <w:noProof/>
                <w:lang w:val="en-US"/>
              </w:rPr>
              <w:t>UNEP</w:t>
            </w:r>
          </w:p>
        </w:tc>
        <w:tc>
          <w:tcPr>
            <w:tcW w:w="7038" w:type="dxa"/>
          </w:tcPr>
          <w:p w14:paraId="6980EDEA" w14:textId="77777777" w:rsidR="005416BE" w:rsidRPr="00A4272B" w:rsidRDefault="005416BE" w:rsidP="00263A26">
            <w:pPr>
              <w:rPr>
                <w:color w:val="000000"/>
                <w:lang w:val="en-US"/>
              </w:rPr>
            </w:pPr>
            <w:r w:rsidRPr="00A4272B">
              <w:rPr>
                <w:noProof/>
                <w:lang w:val="en-US"/>
              </w:rPr>
              <w:t>United Nations Environment Programme</w:t>
            </w:r>
          </w:p>
        </w:tc>
      </w:tr>
      <w:tr w:rsidR="005416BE" w:rsidRPr="00A4272B" w14:paraId="3873A714" w14:textId="77777777" w:rsidTr="00263A26">
        <w:tc>
          <w:tcPr>
            <w:tcW w:w="2076" w:type="dxa"/>
          </w:tcPr>
          <w:p w14:paraId="724D78F0" w14:textId="77777777" w:rsidR="005416BE" w:rsidRPr="00A4272B" w:rsidRDefault="005416BE" w:rsidP="00263A26">
            <w:pPr>
              <w:rPr>
                <w:b/>
                <w:color w:val="000000"/>
                <w:lang w:val="en-US"/>
              </w:rPr>
            </w:pPr>
            <w:r w:rsidRPr="00A4272B">
              <w:rPr>
                <w:b/>
                <w:noProof/>
                <w:lang w:val="en-US"/>
              </w:rPr>
              <w:t>WHO</w:t>
            </w:r>
          </w:p>
        </w:tc>
        <w:tc>
          <w:tcPr>
            <w:tcW w:w="7038" w:type="dxa"/>
          </w:tcPr>
          <w:p w14:paraId="21258BDF" w14:textId="77777777" w:rsidR="005416BE" w:rsidRPr="00A4272B" w:rsidRDefault="005416BE" w:rsidP="00263A26">
            <w:pPr>
              <w:rPr>
                <w:color w:val="000000"/>
                <w:lang w:val="en-US"/>
              </w:rPr>
            </w:pPr>
            <w:r w:rsidRPr="00A4272B">
              <w:rPr>
                <w:noProof/>
                <w:lang w:val="en-US"/>
              </w:rPr>
              <w:t>World Heath Organization</w:t>
            </w:r>
          </w:p>
        </w:tc>
      </w:tr>
      <w:tr w:rsidR="005416BE" w:rsidRPr="00A4272B" w14:paraId="13A81100" w14:textId="77777777" w:rsidTr="00263A26">
        <w:tc>
          <w:tcPr>
            <w:tcW w:w="2076" w:type="dxa"/>
          </w:tcPr>
          <w:p w14:paraId="47DD8587" w14:textId="77777777" w:rsidR="005416BE" w:rsidRPr="00A4272B" w:rsidRDefault="005416BE" w:rsidP="00263A26">
            <w:pPr>
              <w:rPr>
                <w:b/>
                <w:color w:val="000000"/>
                <w:lang w:val="en-US"/>
              </w:rPr>
            </w:pPr>
            <w:r w:rsidRPr="00A4272B">
              <w:rPr>
                <w:b/>
                <w:noProof/>
                <w:lang w:val="en-US"/>
              </w:rPr>
              <w:t>WMO</w:t>
            </w:r>
          </w:p>
        </w:tc>
        <w:tc>
          <w:tcPr>
            <w:tcW w:w="7038" w:type="dxa"/>
          </w:tcPr>
          <w:p w14:paraId="18586F07" w14:textId="77777777" w:rsidR="005416BE" w:rsidRPr="00A4272B" w:rsidRDefault="005416BE" w:rsidP="00263A26">
            <w:pPr>
              <w:rPr>
                <w:color w:val="000000"/>
                <w:lang w:val="en-US"/>
              </w:rPr>
            </w:pPr>
            <w:r w:rsidRPr="00A4272B">
              <w:rPr>
                <w:noProof/>
                <w:lang w:val="en-US"/>
              </w:rPr>
              <w:t>World Meteorological Organization</w:t>
            </w:r>
          </w:p>
        </w:tc>
      </w:tr>
      <w:tr w:rsidR="005416BE" w:rsidRPr="00A4272B" w14:paraId="17640D3A" w14:textId="77777777" w:rsidTr="00263A26">
        <w:tc>
          <w:tcPr>
            <w:tcW w:w="2076" w:type="dxa"/>
          </w:tcPr>
          <w:p w14:paraId="31A0DBFB" w14:textId="77777777" w:rsidR="005416BE" w:rsidRPr="00A4272B" w:rsidRDefault="005416BE" w:rsidP="00263A26">
            <w:pPr>
              <w:rPr>
                <w:b/>
                <w:color w:val="000000"/>
                <w:lang w:val="en-US"/>
              </w:rPr>
            </w:pPr>
            <w:r w:rsidRPr="00A4272B">
              <w:rPr>
                <w:b/>
                <w:lang w:val="en-US"/>
              </w:rPr>
              <w:t>XAD</w:t>
            </w:r>
          </w:p>
        </w:tc>
        <w:tc>
          <w:tcPr>
            <w:tcW w:w="7038" w:type="dxa"/>
          </w:tcPr>
          <w:p w14:paraId="032401C1" w14:textId="77777777" w:rsidR="005416BE" w:rsidRPr="00A4272B" w:rsidRDefault="005416BE" w:rsidP="00263A26">
            <w:pPr>
              <w:rPr>
                <w:color w:val="000000"/>
                <w:lang w:val="en-US"/>
              </w:rPr>
            </w:pPr>
            <w:r w:rsidRPr="00A4272B">
              <w:rPr>
                <w:color w:val="000000"/>
                <w:lang w:val="en-US"/>
              </w:rPr>
              <w:t>Styrene/divinylbenzene-co-polymer resin</w:t>
            </w:r>
          </w:p>
        </w:tc>
      </w:tr>
    </w:tbl>
    <w:p w14:paraId="745C21D1" w14:textId="77777777" w:rsidR="005416BE" w:rsidRPr="00A4272B" w:rsidRDefault="005416BE" w:rsidP="002A04E0">
      <w:pPr>
        <w:pStyle w:val="GMPHeading1"/>
        <w:rPr>
          <w:rFonts w:hint="eastAsia"/>
        </w:rPr>
      </w:pPr>
      <w:bookmarkStart w:id="12" w:name="_Toc280694942"/>
      <w:bookmarkStart w:id="13" w:name="_Toc514239637"/>
      <w:bookmarkStart w:id="14" w:name="_Toc514240541"/>
      <w:bookmarkStart w:id="15" w:name="_Toc514243092"/>
      <w:bookmarkStart w:id="16" w:name="_Toc514751988"/>
      <w:bookmarkStart w:id="17" w:name="_Toc532135"/>
      <w:bookmarkStart w:id="18" w:name="_Toc532348"/>
      <w:bookmarkStart w:id="19" w:name="_Toc1467849"/>
      <w:bookmarkStart w:id="20" w:name="_Toc1468022"/>
      <w:bookmarkStart w:id="21" w:name="_Toc1483906"/>
      <w:bookmarkStart w:id="22" w:name="_Toc187270464"/>
      <w:r w:rsidRPr="00A4272B">
        <w:lastRenderedPageBreak/>
        <w:t>Glossary of terms</w:t>
      </w:r>
      <w:bookmarkEnd w:id="12"/>
      <w:bookmarkEnd w:id="13"/>
      <w:bookmarkEnd w:id="14"/>
      <w:bookmarkEnd w:id="15"/>
      <w:bookmarkEnd w:id="16"/>
      <w:bookmarkEnd w:id="17"/>
      <w:bookmarkEnd w:id="18"/>
      <w:bookmarkEnd w:id="19"/>
      <w:bookmarkEnd w:id="20"/>
      <w:bookmarkEnd w:id="21"/>
      <w:bookmarkEnd w:id="22"/>
    </w:p>
    <w:tbl>
      <w:tblPr>
        <w:tblW w:w="9360" w:type="dxa"/>
        <w:tblInd w:w="108" w:type="dxa"/>
        <w:tblLook w:val="01E0" w:firstRow="1" w:lastRow="1" w:firstColumn="1" w:lastColumn="1" w:noHBand="0" w:noVBand="0"/>
      </w:tblPr>
      <w:tblGrid>
        <w:gridCol w:w="2046"/>
        <w:gridCol w:w="7314"/>
      </w:tblGrid>
      <w:tr w:rsidR="005416BE" w:rsidRPr="00A4272B" w14:paraId="77E7C710" w14:textId="77777777" w:rsidTr="00263A26">
        <w:tc>
          <w:tcPr>
            <w:tcW w:w="2046" w:type="dxa"/>
          </w:tcPr>
          <w:p w14:paraId="0D8A452B" w14:textId="77777777" w:rsidR="005416BE" w:rsidRPr="00A4272B" w:rsidRDefault="005416BE" w:rsidP="00263A26">
            <w:pPr>
              <w:rPr>
                <w:b/>
                <w:lang w:val="en-US"/>
              </w:rPr>
            </w:pPr>
            <w:r w:rsidRPr="00A4272B">
              <w:rPr>
                <w:b/>
                <w:lang w:val="en-US"/>
              </w:rPr>
              <w:t>Activity</w:t>
            </w:r>
          </w:p>
        </w:tc>
        <w:tc>
          <w:tcPr>
            <w:tcW w:w="7314" w:type="dxa"/>
          </w:tcPr>
          <w:p w14:paraId="0C8C2804" w14:textId="77777777" w:rsidR="005416BE" w:rsidRPr="00A4272B" w:rsidRDefault="005416BE" w:rsidP="00263A26">
            <w:pPr>
              <w:rPr>
                <w:lang w:val="en-US"/>
              </w:rPr>
            </w:pPr>
            <w:r w:rsidRPr="00A4272B">
              <w:rPr>
                <w:lang w:val="en-US"/>
              </w:rPr>
              <w:t>Any programme or other activity or project that generates data or information on the levels of POPs in the environment or in humans that can contribute to the effectiveness evaluation under Article 16 of the Stockholm Convention</w:t>
            </w:r>
          </w:p>
        </w:tc>
      </w:tr>
      <w:tr w:rsidR="005416BE" w:rsidRPr="00A4272B" w14:paraId="12153E9C" w14:textId="77777777" w:rsidTr="00263A26">
        <w:tc>
          <w:tcPr>
            <w:tcW w:w="2046" w:type="dxa"/>
          </w:tcPr>
          <w:p w14:paraId="11CCB810" w14:textId="77777777" w:rsidR="005416BE" w:rsidRPr="00A4272B" w:rsidRDefault="005416BE" w:rsidP="00263A26">
            <w:pPr>
              <w:rPr>
                <w:b/>
                <w:lang w:val="en-US"/>
              </w:rPr>
            </w:pPr>
            <w:r w:rsidRPr="00A4272B">
              <w:rPr>
                <w:b/>
                <w:lang w:val="en-US"/>
              </w:rPr>
              <w:t>Core matrices</w:t>
            </w:r>
          </w:p>
        </w:tc>
        <w:tc>
          <w:tcPr>
            <w:tcW w:w="7314" w:type="dxa"/>
          </w:tcPr>
          <w:p w14:paraId="75BDEC0A" w14:textId="77777777" w:rsidR="005416BE" w:rsidRPr="00A4272B" w:rsidRDefault="005416BE" w:rsidP="00263A26">
            <w:pPr>
              <w:rPr>
                <w:lang w:val="en-US"/>
              </w:rPr>
            </w:pPr>
            <w:r w:rsidRPr="00A4272B">
              <w:rPr>
                <w:lang w:val="en-US"/>
              </w:rPr>
              <w:t>These are the matrices identified by the Conference of the Parties to the Stockholm Convention at its second meeting as core for the first evaluation: A = ambient air; M = (human) mother’s milk; B = human blood. At the sixth meeting of the Confernce of the Parties, W= water was added as a core matrix for the monitoring of perfluorooctane sulfonic acid, its salts and perfluorooctane sulfonyl fluoride.</w:t>
            </w:r>
          </w:p>
        </w:tc>
      </w:tr>
      <w:tr w:rsidR="005416BE" w:rsidRPr="00A4272B" w14:paraId="1AC02E49" w14:textId="77777777" w:rsidTr="00263A26">
        <w:tc>
          <w:tcPr>
            <w:tcW w:w="2046" w:type="dxa"/>
          </w:tcPr>
          <w:p w14:paraId="540FADA1" w14:textId="77777777" w:rsidR="005416BE" w:rsidRPr="00A4272B" w:rsidRDefault="005416BE" w:rsidP="00263A26">
            <w:pPr>
              <w:rPr>
                <w:b/>
                <w:lang w:val="en-US"/>
              </w:rPr>
            </w:pPr>
            <w:r w:rsidRPr="00A4272B">
              <w:rPr>
                <w:b/>
                <w:lang w:val="en-US"/>
              </w:rPr>
              <w:t>CTD</w:t>
            </w:r>
          </w:p>
        </w:tc>
        <w:tc>
          <w:tcPr>
            <w:tcW w:w="7314" w:type="dxa"/>
          </w:tcPr>
          <w:p w14:paraId="7884D3D9" w14:textId="77777777" w:rsidR="005416BE" w:rsidRPr="00A4272B" w:rsidRDefault="005416BE" w:rsidP="00263A26">
            <w:pPr>
              <w:rPr>
                <w:lang w:val="en-US"/>
              </w:rPr>
            </w:pPr>
            <w:r w:rsidRPr="00A4272B">
              <w:rPr>
                <w:color w:val="000000"/>
                <w:lang w:val="en-US"/>
              </w:rPr>
              <w:t>The characteristic travel distance– defined as the “half-distance” for a substance present in a mobile phase</w:t>
            </w:r>
          </w:p>
        </w:tc>
      </w:tr>
      <w:tr w:rsidR="005416BE" w:rsidRPr="00A4272B" w14:paraId="06F7EFC1" w14:textId="77777777" w:rsidTr="00263A26">
        <w:tc>
          <w:tcPr>
            <w:tcW w:w="2046" w:type="dxa"/>
          </w:tcPr>
          <w:p w14:paraId="59BC6323" w14:textId="77777777" w:rsidR="005416BE" w:rsidRPr="00A4272B" w:rsidRDefault="005416BE" w:rsidP="00263A26">
            <w:pPr>
              <w:rPr>
                <w:b/>
                <w:lang w:val="en-US"/>
              </w:rPr>
            </w:pPr>
            <w:r w:rsidRPr="00A4272B">
              <w:rPr>
                <w:b/>
                <w:lang w:val="en-US"/>
              </w:rPr>
              <w:t>I L-1</w:t>
            </w:r>
          </w:p>
        </w:tc>
        <w:tc>
          <w:tcPr>
            <w:tcW w:w="7314" w:type="dxa"/>
          </w:tcPr>
          <w:p w14:paraId="2B340D88" w14:textId="77777777" w:rsidR="005416BE" w:rsidRPr="00A4272B" w:rsidRDefault="005416BE" w:rsidP="00263A26">
            <w:pPr>
              <w:rPr>
                <w:lang w:val="en-US"/>
              </w:rPr>
            </w:pPr>
            <w:r w:rsidRPr="00A4272B">
              <w:rPr>
                <w:lang w:val="en-US"/>
              </w:rPr>
              <w:t>Instrumentation level</w:t>
            </w:r>
            <w:r w:rsidRPr="00A4272B">
              <w:rPr>
                <w:rStyle w:val="FootnoteReference"/>
                <w:szCs w:val="20"/>
                <w:lang w:val="en-US"/>
              </w:rPr>
              <w:footnoteReference w:customMarkFollows="1" w:id="1"/>
              <w:t>1</w:t>
            </w:r>
            <w:r w:rsidRPr="00A4272B">
              <w:rPr>
                <w:lang w:val="en-US"/>
              </w:rPr>
              <w:t xml:space="preserve"> capable to analyze PCDDs/Fs and dioxin-like PCB at ultra-trace concentrations (high-resolution mass spectrometer in combination with a capillary column)</w:t>
            </w:r>
          </w:p>
        </w:tc>
      </w:tr>
      <w:tr w:rsidR="005416BE" w:rsidRPr="00A4272B" w14:paraId="2DE06CBE" w14:textId="77777777" w:rsidTr="00263A26">
        <w:tc>
          <w:tcPr>
            <w:tcW w:w="2046" w:type="dxa"/>
          </w:tcPr>
          <w:p w14:paraId="70B56E51" w14:textId="77777777" w:rsidR="005416BE" w:rsidRPr="00A4272B" w:rsidRDefault="005416BE" w:rsidP="00263A26">
            <w:pPr>
              <w:rPr>
                <w:b/>
                <w:lang w:val="en-US"/>
              </w:rPr>
            </w:pPr>
            <w:r w:rsidRPr="00A4272B">
              <w:rPr>
                <w:b/>
                <w:lang w:val="en-US"/>
              </w:rPr>
              <w:t>I L-2</w:t>
            </w:r>
          </w:p>
        </w:tc>
        <w:tc>
          <w:tcPr>
            <w:tcW w:w="7314" w:type="dxa"/>
          </w:tcPr>
          <w:p w14:paraId="7B5603E5" w14:textId="77777777" w:rsidR="005416BE" w:rsidRPr="00A4272B" w:rsidRDefault="005416BE" w:rsidP="00263A26">
            <w:pPr>
              <w:rPr>
                <w:lang w:val="en-US"/>
              </w:rPr>
            </w:pPr>
            <w:r w:rsidRPr="00A4272B">
              <w:rPr>
                <w:lang w:val="en-US"/>
              </w:rPr>
              <w:t>Instrumentation level capable to analyze all POPs (capillary column and a mass-selective detector)</w:t>
            </w:r>
          </w:p>
        </w:tc>
      </w:tr>
      <w:tr w:rsidR="005416BE" w:rsidRPr="00A4272B" w14:paraId="01EDC33A" w14:textId="77777777" w:rsidTr="00263A26">
        <w:tc>
          <w:tcPr>
            <w:tcW w:w="2046" w:type="dxa"/>
          </w:tcPr>
          <w:p w14:paraId="15B874F1" w14:textId="77777777" w:rsidR="005416BE" w:rsidRPr="00A4272B" w:rsidRDefault="005416BE" w:rsidP="00263A26">
            <w:pPr>
              <w:rPr>
                <w:b/>
                <w:lang w:val="en-US"/>
              </w:rPr>
            </w:pPr>
            <w:r w:rsidRPr="00A4272B">
              <w:rPr>
                <w:b/>
                <w:lang w:val="en-US"/>
              </w:rPr>
              <w:t>I L-3</w:t>
            </w:r>
          </w:p>
        </w:tc>
        <w:tc>
          <w:tcPr>
            <w:tcW w:w="7314" w:type="dxa"/>
          </w:tcPr>
          <w:p w14:paraId="606AF2B4" w14:textId="77777777" w:rsidR="005416BE" w:rsidRPr="00A4272B" w:rsidRDefault="005416BE" w:rsidP="00263A26">
            <w:pPr>
              <w:rPr>
                <w:lang w:val="en-US"/>
              </w:rPr>
            </w:pPr>
            <w:r w:rsidRPr="00A4272B">
              <w:rPr>
                <w:lang w:val="en-US"/>
              </w:rPr>
              <w:t>Instrumentation level capable to analyze all POPs without PCDDs/Fs and dioxin like PCB (capillary column and an electron capture detector)</w:t>
            </w:r>
          </w:p>
        </w:tc>
      </w:tr>
      <w:tr w:rsidR="005416BE" w:rsidRPr="00A4272B" w14:paraId="5F222CFA" w14:textId="77777777" w:rsidTr="00263A26">
        <w:tc>
          <w:tcPr>
            <w:tcW w:w="2046" w:type="dxa"/>
          </w:tcPr>
          <w:p w14:paraId="196747C3" w14:textId="77777777" w:rsidR="005416BE" w:rsidRPr="00A4272B" w:rsidRDefault="005416BE" w:rsidP="00263A26">
            <w:pPr>
              <w:rPr>
                <w:b/>
                <w:lang w:val="en-US"/>
              </w:rPr>
            </w:pPr>
            <w:r w:rsidRPr="00A4272B">
              <w:rPr>
                <w:b/>
                <w:lang w:val="en-US"/>
              </w:rPr>
              <w:t>I L-4</w:t>
            </w:r>
          </w:p>
        </w:tc>
        <w:tc>
          <w:tcPr>
            <w:tcW w:w="7314" w:type="dxa"/>
          </w:tcPr>
          <w:p w14:paraId="2A38C675" w14:textId="77777777" w:rsidR="005416BE" w:rsidRPr="00A4272B" w:rsidRDefault="005416BE" w:rsidP="00263A26">
            <w:pPr>
              <w:rPr>
                <w:lang w:val="en-US"/>
              </w:rPr>
            </w:pPr>
            <w:r w:rsidRPr="00A4272B">
              <w:rPr>
                <w:lang w:val="en-US"/>
              </w:rPr>
              <w:t>Instrumentation level not capable to do congener-specific PCB analysis (no capillary column, no electron capture detector or mass selective detector)</w:t>
            </w:r>
          </w:p>
        </w:tc>
      </w:tr>
      <w:tr w:rsidR="005416BE" w:rsidRPr="00A4272B" w14:paraId="4471AD9D" w14:textId="77777777" w:rsidTr="00263A26">
        <w:tc>
          <w:tcPr>
            <w:tcW w:w="2046" w:type="dxa"/>
          </w:tcPr>
          <w:p w14:paraId="3D244EAF" w14:textId="77777777" w:rsidR="005416BE" w:rsidRPr="00A4272B" w:rsidRDefault="005416BE" w:rsidP="00263A26">
            <w:pPr>
              <w:rPr>
                <w:b/>
                <w:lang w:val="en-US"/>
              </w:rPr>
            </w:pPr>
            <w:r w:rsidRPr="00A4272B">
              <w:rPr>
                <w:b/>
                <w:lang w:val="en-US"/>
              </w:rPr>
              <w:t>Intercomparisons</w:t>
            </w:r>
          </w:p>
        </w:tc>
        <w:tc>
          <w:tcPr>
            <w:tcW w:w="7314" w:type="dxa"/>
          </w:tcPr>
          <w:p w14:paraId="34EB5D93" w14:textId="77777777" w:rsidR="005416BE" w:rsidRPr="00A4272B" w:rsidRDefault="005416BE" w:rsidP="00263A26">
            <w:pPr>
              <w:rPr>
                <w:lang w:val="en-US"/>
              </w:rPr>
            </w:pPr>
            <w:r w:rsidRPr="00A4272B">
              <w:rPr>
                <w:lang w:val="en-US"/>
              </w:rPr>
              <w:t>Participation in national and international intercalibration activities such as ring-tests, laboratory performance testing schemes, etc.</w:t>
            </w:r>
          </w:p>
        </w:tc>
      </w:tr>
      <w:tr w:rsidR="005416BE" w:rsidRPr="00A4272B" w14:paraId="46EA17EF" w14:textId="77777777" w:rsidTr="00263A26">
        <w:tc>
          <w:tcPr>
            <w:tcW w:w="2046" w:type="dxa"/>
          </w:tcPr>
          <w:p w14:paraId="581E3860" w14:textId="77777777" w:rsidR="005416BE" w:rsidRPr="00A4272B" w:rsidRDefault="005416BE" w:rsidP="00263A26">
            <w:pPr>
              <w:rPr>
                <w:b/>
                <w:lang w:val="en-US"/>
              </w:rPr>
            </w:pPr>
            <w:r w:rsidRPr="00A4272B">
              <w:rPr>
                <w:b/>
                <w:lang w:val="en-US"/>
              </w:rPr>
              <w:t>LOD</w:t>
            </w:r>
          </w:p>
        </w:tc>
        <w:tc>
          <w:tcPr>
            <w:tcW w:w="7314" w:type="dxa"/>
          </w:tcPr>
          <w:p w14:paraId="1A659AA3" w14:textId="77777777" w:rsidR="005416BE" w:rsidRPr="00A4272B" w:rsidRDefault="005416BE" w:rsidP="00263A26">
            <w:pPr>
              <w:rPr>
                <w:lang w:val="en-US"/>
              </w:rPr>
            </w:pPr>
            <w:r w:rsidRPr="00A4272B">
              <w:rPr>
                <w:color w:val="000000"/>
                <w:lang w:val="en-US"/>
              </w:rPr>
              <w:t>Limit of detection. Definition: The lowest concentration at which a compound can be detected; it is defined as that corresponding to a signal three times the noise</w:t>
            </w:r>
          </w:p>
        </w:tc>
      </w:tr>
      <w:tr w:rsidR="005416BE" w:rsidRPr="00A4272B" w14:paraId="321ACF41" w14:textId="77777777" w:rsidTr="00263A26">
        <w:tc>
          <w:tcPr>
            <w:tcW w:w="2046" w:type="dxa"/>
          </w:tcPr>
          <w:p w14:paraId="1DA518EC" w14:textId="77777777" w:rsidR="005416BE" w:rsidRPr="00A4272B" w:rsidRDefault="005416BE" w:rsidP="00263A26">
            <w:pPr>
              <w:rPr>
                <w:b/>
                <w:lang w:val="en-US"/>
              </w:rPr>
            </w:pPr>
            <w:r w:rsidRPr="00A4272B">
              <w:rPr>
                <w:b/>
                <w:lang w:val="en-US"/>
              </w:rPr>
              <w:t>&lt;LOD</w:t>
            </w:r>
          </w:p>
        </w:tc>
        <w:tc>
          <w:tcPr>
            <w:tcW w:w="7314" w:type="dxa"/>
          </w:tcPr>
          <w:p w14:paraId="61B9DB31" w14:textId="77777777" w:rsidR="005416BE" w:rsidRPr="00A4272B" w:rsidRDefault="005416BE" w:rsidP="00263A26">
            <w:pPr>
              <w:rPr>
                <w:lang w:val="en-US"/>
              </w:rPr>
            </w:pPr>
            <w:r w:rsidRPr="00A4272B">
              <w:rPr>
                <w:lang w:val="en-US"/>
              </w:rPr>
              <w:t>Result below the of limit detection</w:t>
            </w:r>
          </w:p>
        </w:tc>
      </w:tr>
      <w:tr w:rsidR="005416BE" w:rsidRPr="00A4272B" w14:paraId="31803658" w14:textId="77777777" w:rsidTr="00263A26">
        <w:tc>
          <w:tcPr>
            <w:tcW w:w="2046" w:type="dxa"/>
          </w:tcPr>
          <w:p w14:paraId="498DAC08" w14:textId="77777777" w:rsidR="005416BE" w:rsidRPr="00A4272B" w:rsidRDefault="005416BE" w:rsidP="00263A26">
            <w:pPr>
              <w:rPr>
                <w:b/>
                <w:lang w:val="en-US"/>
              </w:rPr>
            </w:pPr>
            <w:r w:rsidRPr="00A4272B">
              <w:rPr>
                <w:b/>
                <w:lang w:val="en-US"/>
              </w:rPr>
              <w:t>LOQ</w:t>
            </w:r>
          </w:p>
        </w:tc>
        <w:tc>
          <w:tcPr>
            <w:tcW w:w="7314" w:type="dxa"/>
          </w:tcPr>
          <w:p w14:paraId="5B0D8A51" w14:textId="77777777" w:rsidR="005416BE" w:rsidRPr="00A4272B" w:rsidRDefault="005416BE" w:rsidP="00263A26">
            <w:pPr>
              <w:rPr>
                <w:lang w:val="en-US"/>
              </w:rPr>
            </w:pPr>
            <w:r w:rsidRPr="00A4272B">
              <w:rPr>
                <w:color w:val="000000"/>
                <w:lang w:val="en-US"/>
              </w:rPr>
              <w:t>Limit of quantification. Definition: The lowest concentration that can quantitatively be determined is three times higher than LOD.</w:t>
            </w:r>
          </w:p>
        </w:tc>
      </w:tr>
      <w:tr w:rsidR="005416BE" w:rsidRPr="00A4272B" w14:paraId="52F77661" w14:textId="77777777" w:rsidTr="00263A26">
        <w:tc>
          <w:tcPr>
            <w:tcW w:w="2046" w:type="dxa"/>
          </w:tcPr>
          <w:p w14:paraId="1EB19D8C" w14:textId="77777777" w:rsidR="005416BE" w:rsidRPr="00A4272B" w:rsidRDefault="005416BE" w:rsidP="00263A26">
            <w:pPr>
              <w:rPr>
                <w:b/>
                <w:lang w:val="en-US"/>
              </w:rPr>
            </w:pPr>
            <w:r w:rsidRPr="00A4272B">
              <w:rPr>
                <w:b/>
                <w:color w:val="000000"/>
                <w:lang w:val="en-US"/>
              </w:rPr>
              <w:t>&lt;LOQ</w:t>
            </w:r>
          </w:p>
        </w:tc>
        <w:tc>
          <w:tcPr>
            <w:tcW w:w="7314" w:type="dxa"/>
          </w:tcPr>
          <w:p w14:paraId="1EF5B397" w14:textId="77777777" w:rsidR="005416BE" w:rsidRPr="00A4272B" w:rsidRDefault="005416BE" w:rsidP="00263A26">
            <w:pPr>
              <w:rPr>
                <w:lang w:val="en-US"/>
              </w:rPr>
            </w:pPr>
            <w:r w:rsidRPr="00A4272B">
              <w:rPr>
                <w:color w:val="000000"/>
                <w:lang w:val="en-US"/>
              </w:rPr>
              <w:t>Result below limit of quantification. Compounds found at levels between LOD and LOQ can be reported as present, or possibly as being present at an estimated concentration, but in the latter case the result has to be clearly marked as being below LOQ</w:t>
            </w:r>
          </w:p>
        </w:tc>
      </w:tr>
      <w:tr w:rsidR="005416BE" w:rsidRPr="00A4272B" w14:paraId="1E08859C" w14:textId="77777777" w:rsidTr="00263A26">
        <w:tc>
          <w:tcPr>
            <w:tcW w:w="2046" w:type="dxa"/>
          </w:tcPr>
          <w:p w14:paraId="7A854EDC" w14:textId="77777777" w:rsidR="005416BE" w:rsidRPr="00A4272B" w:rsidRDefault="005416BE" w:rsidP="00263A26">
            <w:pPr>
              <w:rPr>
                <w:b/>
                <w:lang w:val="en-US"/>
              </w:rPr>
            </w:pPr>
            <w:r w:rsidRPr="00A4272B">
              <w:rPr>
                <w:b/>
                <w:lang w:val="en-US"/>
              </w:rPr>
              <w:t>MDL</w:t>
            </w:r>
          </w:p>
        </w:tc>
        <w:tc>
          <w:tcPr>
            <w:tcW w:w="7314" w:type="dxa"/>
          </w:tcPr>
          <w:p w14:paraId="672F5624" w14:textId="77777777" w:rsidR="005416BE" w:rsidRPr="00A4272B" w:rsidRDefault="005416BE" w:rsidP="00263A26">
            <w:pPr>
              <w:rPr>
                <w:lang w:val="en-US"/>
              </w:rPr>
            </w:pPr>
            <w:r w:rsidRPr="00A4272B">
              <w:rPr>
                <w:color w:val="000000"/>
                <w:lang w:val="en-US"/>
              </w:rPr>
              <w:t xml:space="preserve">Method detection limit. The MDL considers the whole method including sampling, sample treatment and instrumental analysis. It is determined by the background amounts on field blanks. </w:t>
            </w:r>
          </w:p>
        </w:tc>
      </w:tr>
      <w:tr w:rsidR="005416BE" w:rsidRPr="00A4272B" w14:paraId="06349BB7" w14:textId="77777777" w:rsidTr="00263A26">
        <w:tc>
          <w:tcPr>
            <w:tcW w:w="2046" w:type="dxa"/>
          </w:tcPr>
          <w:p w14:paraId="47FA860A" w14:textId="77777777" w:rsidR="005416BE" w:rsidRPr="00A4272B" w:rsidRDefault="005416BE" w:rsidP="00263A26">
            <w:pPr>
              <w:rPr>
                <w:b/>
                <w:lang w:val="en-US"/>
              </w:rPr>
            </w:pPr>
            <w:r w:rsidRPr="00A4272B">
              <w:rPr>
                <w:b/>
                <w:lang w:val="en-US"/>
              </w:rPr>
              <w:t>GMP phase 1</w:t>
            </w:r>
          </w:p>
        </w:tc>
        <w:tc>
          <w:tcPr>
            <w:tcW w:w="7314" w:type="dxa"/>
          </w:tcPr>
          <w:p w14:paraId="70F51BB3" w14:textId="77777777" w:rsidR="005416BE" w:rsidRPr="00A4272B" w:rsidRDefault="005416BE" w:rsidP="00263A26">
            <w:pPr>
              <w:rPr>
                <w:lang w:val="en-US"/>
              </w:rPr>
            </w:pPr>
            <w:r w:rsidRPr="00A4272B">
              <w:rPr>
                <w:lang w:val="en-US"/>
              </w:rPr>
              <w:t>Activities supporting the Article 16 effectiveness evaluation, conducted by the Conference of the Parties at its fourth meeting, based on information collected between 2000 and 2007 (referred to as the first evaluation).</w:t>
            </w:r>
          </w:p>
        </w:tc>
      </w:tr>
      <w:tr w:rsidR="005416BE" w:rsidRPr="00A4272B" w14:paraId="6FA43D1C" w14:textId="77777777" w:rsidTr="00263A26">
        <w:tc>
          <w:tcPr>
            <w:tcW w:w="2046" w:type="dxa"/>
          </w:tcPr>
          <w:p w14:paraId="2B466E5C" w14:textId="77777777" w:rsidR="005416BE" w:rsidRPr="00A4272B" w:rsidRDefault="005416BE" w:rsidP="00263A26">
            <w:pPr>
              <w:rPr>
                <w:b/>
                <w:lang w:val="en-US"/>
              </w:rPr>
            </w:pPr>
            <w:r w:rsidRPr="00A4272B">
              <w:rPr>
                <w:b/>
                <w:lang w:val="en-US"/>
              </w:rPr>
              <w:t>GMP phase 2</w:t>
            </w:r>
          </w:p>
        </w:tc>
        <w:tc>
          <w:tcPr>
            <w:tcW w:w="7314" w:type="dxa"/>
          </w:tcPr>
          <w:p w14:paraId="48047FB6" w14:textId="77777777" w:rsidR="005416BE" w:rsidRPr="00A4272B" w:rsidRDefault="005416BE" w:rsidP="00263A26">
            <w:pPr>
              <w:rPr>
                <w:lang w:val="en-US"/>
              </w:rPr>
            </w:pPr>
            <w:r w:rsidRPr="00A4272B">
              <w:rPr>
                <w:lang w:val="en-US"/>
              </w:rPr>
              <w:t>Global monitoring plan activities from May 2009 to May 2023.</w:t>
            </w:r>
          </w:p>
        </w:tc>
      </w:tr>
      <w:tr w:rsidR="005416BE" w:rsidRPr="00A4272B" w14:paraId="03608293" w14:textId="77777777" w:rsidTr="00263A26">
        <w:tc>
          <w:tcPr>
            <w:tcW w:w="2046" w:type="dxa"/>
          </w:tcPr>
          <w:p w14:paraId="0AC94CC4" w14:textId="77777777" w:rsidR="005416BE" w:rsidRPr="00A4272B" w:rsidRDefault="005416BE" w:rsidP="00263A26">
            <w:pPr>
              <w:rPr>
                <w:rFonts w:ascii="TimesNewRoman" w:hAnsi="TimesNewRoman" w:cs="TimesNewRoman"/>
                <w:b/>
                <w:lang w:val="en-US"/>
              </w:rPr>
            </w:pPr>
            <w:r w:rsidRPr="00A4272B">
              <w:rPr>
                <w:rFonts w:ascii="TimesNewRoman" w:hAnsi="TimesNewRoman" w:cs="TimesNewRoman"/>
                <w:b/>
                <w:lang w:val="en-US"/>
              </w:rPr>
              <w:t>GMP phase 3</w:t>
            </w:r>
          </w:p>
        </w:tc>
        <w:tc>
          <w:tcPr>
            <w:tcW w:w="7314" w:type="dxa"/>
          </w:tcPr>
          <w:p w14:paraId="6792BCC3" w14:textId="77777777" w:rsidR="005416BE" w:rsidRPr="00A4272B" w:rsidRDefault="005416BE" w:rsidP="00263A26">
            <w:pPr>
              <w:rPr>
                <w:lang w:val="en-US"/>
              </w:rPr>
            </w:pPr>
            <w:r w:rsidRPr="00A4272B">
              <w:rPr>
                <w:lang w:val="en-US"/>
              </w:rPr>
              <w:t>Global monitoring plan activities from May 2017 to May 2023.</w:t>
            </w:r>
          </w:p>
        </w:tc>
      </w:tr>
      <w:tr w:rsidR="005416BE" w:rsidRPr="00A4272B" w14:paraId="0E3B1621" w14:textId="77777777" w:rsidTr="00263A26">
        <w:tc>
          <w:tcPr>
            <w:tcW w:w="2046" w:type="dxa"/>
          </w:tcPr>
          <w:p w14:paraId="287DECF0" w14:textId="77777777" w:rsidR="005416BE" w:rsidRPr="00A4272B" w:rsidRDefault="005416BE" w:rsidP="00263A26">
            <w:pPr>
              <w:rPr>
                <w:rFonts w:ascii="TimesNewRoman" w:hAnsi="TimesNewRoman" w:cs="TimesNewRoman"/>
                <w:b/>
                <w:lang w:val="en-US"/>
              </w:rPr>
            </w:pPr>
            <w:r w:rsidRPr="00A4272B">
              <w:rPr>
                <w:rFonts w:ascii="TimesNewRoman" w:hAnsi="TimesNewRoman" w:cs="TimesNewRoman"/>
                <w:b/>
                <w:lang w:val="en-US"/>
              </w:rPr>
              <w:t>GMP phase 4</w:t>
            </w:r>
          </w:p>
        </w:tc>
        <w:tc>
          <w:tcPr>
            <w:tcW w:w="7314" w:type="dxa"/>
          </w:tcPr>
          <w:p w14:paraId="01F77B1F" w14:textId="77777777" w:rsidR="005416BE" w:rsidRPr="00A4272B" w:rsidRDefault="005416BE" w:rsidP="00263A26">
            <w:pPr>
              <w:rPr>
                <w:lang w:val="en-US"/>
              </w:rPr>
            </w:pPr>
            <w:r w:rsidRPr="00A4272B">
              <w:rPr>
                <w:lang w:val="en-US"/>
              </w:rPr>
              <w:t>Global monitoring plan activities from May 2023 to May 2029.</w:t>
            </w:r>
          </w:p>
        </w:tc>
      </w:tr>
      <w:tr w:rsidR="005416BE" w:rsidRPr="00A4272B" w14:paraId="74D5A984" w14:textId="77777777" w:rsidTr="00263A26">
        <w:tc>
          <w:tcPr>
            <w:tcW w:w="2046" w:type="dxa"/>
          </w:tcPr>
          <w:p w14:paraId="0BCC9682" w14:textId="77777777" w:rsidR="005416BE" w:rsidRPr="00A4272B" w:rsidRDefault="005416BE" w:rsidP="00263A26">
            <w:pPr>
              <w:rPr>
                <w:rFonts w:ascii="TimesNewRoman" w:hAnsi="TimesNewRoman" w:cs="TimesNewRoman"/>
                <w:b/>
                <w:lang w:val="en-US"/>
              </w:rPr>
            </w:pPr>
            <w:r w:rsidRPr="00A4272B">
              <w:rPr>
                <w:rFonts w:ascii="TimesNewRoman" w:hAnsi="TimesNewRoman" w:cs="TimesNewRoman"/>
                <w:b/>
                <w:lang w:val="en-US"/>
              </w:rPr>
              <w:t>Programme</w:t>
            </w:r>
          </w:p>
        </w:tc>
        <w:tc>
          <w:tcPr>
            <w:tcW w:w="7314" w:type="dxa"/>
          </w:tcPr>
          <w:p w14:paraId="42B6AB47" w14:textId="77777777" w:rsidR="005416BE" w:rsidRPr="00A4272B" w:rsidRDefault="005416BE" w:rsidP="00263A26">
            <w:pPr>
              <w:rPr>
                <w:lang w:val="en-US"/>
              </w:rPr>
            </w:pPr>
            <w:r w:rsidRPr="00A4272B">
              <w:rPr>
                <w:lang w:val="en-US"/>
              </w:rPr>
              <w:t>Some institutionalized activity to conduct measurements on a repetitive basis according to some agreed design, including the prospect for provision of necessary funding over a period of time</w:t>
            </w:r>
          </w:p>
        </w:tc>
      </w:tr>
      <w:tr w:rsidR="005416BE" w:rsidRPr="00A4272B" w14:paraId="69897D61" w14:textId="77777777" w:rsidTr="00263A26">
        <w:tc>
          <w:tcPr>
            <w:tcW w:w="2046" w:type="dxa"/>
          </w:tcPr>
          <w:p w14:paraId="43D52E48" w14:textId="77777777" w:rsidR="005416BE" w:rsidRPr="00A4272B" w:rsidRDefault="005416BE" w:rsidP="00263A26">
            <w:pPr>
              <w:rPr>
                <w:b/>
                <w:lang w:val="en-US"/>
              </w:rPr>
            </w:pPr>
            <w:r w:rsidRPr="00A4272B">
              <w:rPr>
                <w:rFonts w:ascii="TimesNewRoman" w:hAnsi="TimesNewRoman" w:cs="TimesNewRoman"/>
                <w:b/>
                <w:lang w:val="en-US"/>
              </w:rPr>
              <w:t>Selected Matrices</w:t>
            </w:r>
          </w:p>
        </w:tc>
        <w:tc>
          <w:tcPr>
            <w:tcW w:w="7314" w:type="dxa"/>
          </w:tcPr>
          <w:p w14:paraId="645D4769" w14:textId="77777777" w:rsidR="005416BE" w:rsidRPr="00A4272B" w:rsidRDefault="005416BE" w:rsidP="00263A26">
            <w:pPr>
              <w:rPr>
                <w:lang w:val="en-US"/>
              </w:rPr>
            </w:pPr>
            <w:r w:rsidRPr="00A4272B">
              <w:rPr>
                <w:lang w:val="en-US"/>
              </w:rPr>
              <w:t>B=human blood; A=ambient air; BV=bivalves; BE=birds’ eggs; P0=fish; MM=marine mammals; W=water, S=soil; SD=sediments; F=food; and V=vegetation</w:t>
            </w:r>
          </w:p>
        </w:tc>
      </w:tr>
    </w:tbl>
    <w:p w14:paraId="56E2D403" w14:textId="51D67098" w:rsidR="00F3536C" w:rsidRPr="00A4272B" w:rsidRDefault="00F3536C" w:rsidP="002A04E0">
      <w:pPr>
        <w:pStyle w:val="GMPHeading1"/>
        <w:rPr>
          <w:rFonts w:hint="eastAsia"/>
        </w:rPr>
      </w:pPr>
      <w:r w:rsidRPr="00A4272B">
        <w:br w:type="page"/>
      </w:r>
      <w:bookmarkStart w:id="23" w:name="_Toc266264073"/>
      <w:bookmarkStart w:id="24" w:name="_Toc266264505"/>
      <w:bookmarkStart w:id="25" w:name="_Toc187270465"/>
      <w:r w:rsidR="004940D1" w:rsidRPr="00A4272B">
        <w:lastRenderedPageBreak/>
        <w:t>1</w:t>
      </w:r>
      <w:r w:rsidR="00FE1D1A" w:rsidRPr="00A4272B">
        <w:t>.</w:t>
      </w:r>
      <w:r w:rsidR="00FE1D1A" w:rsidRPr="00A4272B">
        <w:tab/>
      </w:r>
      <w:r w:rsidRPr="00A4272B">
        <w:t>Background and objectives</w:t>
      </w:r>
      <w:bookmarkEnd w:id="23"/>
      <w:bookmarkEnd w:id="24"/>
      <w:bookmarkEnd w:id="25"/>
    </w:p>
    <w:p w14:paraId="436A865F" w14:textId="67FB83EC" w:rsidR="00474928" w:rsidRPr="00A4272B" w:rsidRDefault="00894AEA" w:rsidP="00474928">
      <w:pPr>
        <w:autoSpaceDE w:val="0"/>
        <w:autoSpaceDN w:val="0"/>
        <w:adjustRightInd w:val="0"/>
        <w:rPr>
          <w:color w:val="000000"/>
          <w:lang w:val="en-US"/>
        </w:rPr>
      </w:pPr>
      <w:r w:rsidRPr="00A4272B">
        <w:rPr>
          <w:color w:val="000000"/>
          <w:lang w:val="en-US"/>
        </w:rPr>
        <w:t>The Stockholm Convention on Persistent Organic Pollutants (POPs)</w:t>
      </w:r>
      <w:r w:rsidR="00287A10" w:rsidRPr="00A4272B">
        <w:rPr>
          <w:rStyle w:val="FootnoteReference"/>
          <w:lang w:val="en-US"/>
        </w:rPr>
        <w:footnoteReference w:id="2"/>
      </w:r>
      <w:r w:rsidRPr="00A4272B">
        <w:rPr>
          <w:color w:val="000000"/>
          <w:lang w:val="en-US"/>
        </w:rPr>
        <w:t xml:space="preserve"> was adopted on 22 May 2001 and entered into force on 17 May 2004, with 186 Parties as of </w:t>
      </w:r>
      <w:r w:rsidR="009C1F9B" w:rsidRPr="00A4272B">
        <w:rPr>
          <w:color w:val="000000"/>
          <w:lang w:val="en-US"/>
        </w:rPr>
        <w:t>November</w:t>
      </w:r>
      <w:r w:rsidRPr="00A4272B">
        <w:rPr>
          <w:color w:val="000000"/>
          <w:lang w:val="en-US"/>
        </w:rPr>
        <w:t xml:space="preserve"> 2024. </w:t>
      </w:r>
      <w:r w:rsidR="009C1F9B" w:rsidRPr="00A4272B">
        <w:rPr>
          <w:color w:val="000000"/>
          <w:lang w:val="en-US"/>
        </w:rPr>
        <w:t>The Convention aims to protect human health and the environment from persistent organic pollutants</w:t>
      </w:r>
      <w:r w:rsidR="00474928" w:rsidRPr="00A4272B">
        <w:rPr>
          <w:color w:val="000000"/>
          <w:lang w:val="en-US"/>
        </w:rPr>
        <w:t>.</w:t>
      </w:r>
    </w:p>
    <w:p w14:paraId="064AE7EF" w14:textId="4B3B6197" w:rsidR="00474928" w:rsidRPr="00A4272B" w:rsidRDefault="00894AEA" w:rsidP="00474928">
      <w:pPr>
        <w:autoSpaceDE w:val="0"/>
        <w:autoSpaceDN w:val="0"/>
        <w:adjustRightInd w:val="0"/>
        <w:rPr>
          <w:color w:val="000000"/>
          <w:lang w:val="en-US"/>
        </w:rPr>
      </w:pPr>
      <w:r w:rsidRPr="00A4272B">
        <w:rPr>
          <w:color w:val="000000"/>
          <w:lang w:val="en-US"/>
        </w:rPr>
        <w:t xml:space="preserve">Under Article 16, the Conference of the Parties </w:t>
      </w:r>
      <w:r w:rsidR="00E1608A" w:rsidRPr="00A4272B">
        <w:rPr>
          <w:color w:val="000000"/>
          <w:lang w:val="en-US"/>
        </w:rPr>
        <w:t xml:space="preserve">(COP) </w:t>
      </w:r>
      <w:r w:rsidRPr="00A4272B">
        <w:rPr>
          <w:color w:val="000000"/>
          <w:lang w:val="en-US"/>
        </w:rPr>
        <w:t>is required to periodically evaluate the Convention’s effectiveness</w:t>
      </w:r>
      <w:r w:rsidR="009C1F9B" w:rsidRPr="00A4272B">
        <w:rPr>
          <w:color w:val="000000"/>
          <w:lang w:val="en-US"/>
        </w:rPr>
        <w:t>,</w:t>
      </w:r>
      <w:r w:rsidRPr="00A4272B">
        <w:rPr>
          <w:color w:val="000000"/>
          <w:lang w:val="en-US"/>
        </w:rPr>
        <w:t xml:space="preserve"> </w:t>
      </w:r>
      <w:r w:rsidR="00474928" w:rsidRPr="00A4272B">
        <w:rPr>
          <w:color w:val="000000"/>
          <w:lang w:val="en-US"/>
        </w:rPr>
        <w:t>based on:</w:t>
      </w:r>
    </w:p>
    <w:p w14:paraId="731D2ABB" w14:textId="1FC1C416" w:rsidR="00F3536C" w:rsidRPr="00A4272B" w:rsidRDefault="00313051">
      <w:pPr>
        <w:numPr>
          <w:ilvl w:val="0"/>
          <w:numId w:val="18"/>
        </w:numPr>
        <w:autoSpaceDE w:val="0"/>
        <w:autoSpaceDN w:val="0"/>
        <w:adjustRightInd w:val="0"/>
        <w:rPr>
          <w:color w:val="000000"/>
          <w:lang w:val="en-US"/>
        </w:rPr>
      </w:pPr>
      <w:r w:rsidRPr="00A4272B">
        <w:rPr>
          <w:color w:val="000000"/>
          <w:lang w:val="en-US"/>
        </w:rPr>
        <w:t xml:space="preserve">Reports and other monitoring information provided </w:t>
      </w:r>
      <w:r w:rsidR="00F3536C" w:rsidRPr="00A4272B">
        <w:rPr>
          <w:color w:val="000000"/>
          <w:lang w:val="en-US"/>
        </w:rPr>
        <w:t>pursuant to paragraph 2 of Article 16;</w:t>
      </w:r>
    </w:p>
    <w:p w14:paraId="40FD43CA" w14:textId="03468146" w:rsidR="00F3536C" w:rsidRPr="00A4272B" w:rsidRDefault="009C1F9B">
      <w:pPr>
        <w:numPr>
          <w:ilvl w:val="0"/>
          <w:numId w:val="18"/>
        </w:numPr>
        <w:autoSpaceDE w:val="0"/>
        <w:autoSpaceDN w:val="0"/>
        <w:adjustRightInd w:val="0"/>
        <w:rPr>
          <w:color w:val="000000"/>
          <w:lang w:val="en-US"/>
        </w:rPr>
      </w:pPr>
      <w:r w:rsidRPr="00A4272B">
        <w:rPr>
          <w:color w:val="000000"/>
          <w:lang w:val="en-US"/>
        </w:rPr>
        <w:t>N</w:t>
      </w:r>
      <w:r w:rsidR="00F3536C" w:rsidRPr="00A4272B">
        <w:rPr>
          <w:color w:val="000000"/>
          <w:lang w:val="en-US"/>
        </w:rPr>
        <w:t>ational reports submitted pursuant to Article 15;</w:t>
      </w:r>
    </w:p>
    <w:p w14:paraId="4F1E7FF6" w14:textId="77777777" w:rsidR="00F3536C" w:rsidRPr="00B25CD5" w:rsidRDefault="00F3536C">
      <w:pPr>
        <w:numPr>
          <w:ilvl w:val="0"/>
          <w:numId w:val="18"/>
        </w:numPr>
        <w:autoSpaceDE w:val="0"/>
        <w:autoSpaceDN w:val="0"/>
        <w:adjustRightInd w:val="0"/>
        <w:rPr>
          <w:color w:val="000000"/>
          <w:lang w:val="fr-CH"/>
        </w:rPr>
      </w:pPr>
      <w:r w:rsidRPr="00B25CD5">
        <w:rPr>
          <w:color w:val="000000"/>
          <w:lang w:val="fr-CH"/>
        </w:rPr>
        <w:t xml:space="preserve">Non-compliance information under Article 17. </w:t>
      </w:r>
    </w:p>
    <w:p w14:paraId="59F2BD5B" w14:textId="0B7DD04A" w:rsidR="009C1F9B" w:rsidRPr="00A4272B" w:rsidRDefault="00894AEA" w:rsidP="005174C9">
      <w:pPr>
        <w:autoSpaceDE w:val="0"/>
        <w:autoSpaceDN w:val="0"/>
        <w:adjustRightInd w:val="0"/>
        <w:rPr>
          <w:color w:val="000000"/>
          <w:lang w:val="en-US"/>
        </w:rPr>
      </w:pPr>
      <w:r w:rsidRPr="00A4272B">
        <w:rPr>
          <w:color w:val="000000"/>
          <w:lang w:val="en-US"/>
        </w:rPr>
        <w:t xml:space="preserve">To </w:t>
      </w:r>
      <w:r w:rsidR="009C1F9B" w:rsidRPr="00A4272B">
        <w:rPr>
          <w:color w:val="000000"/>
          <w:lang w:val="en-US"/>
        </w:rPr>
        <w:t xml:space="preserve">facilitate </w:t>
      </w:r>
      <w:r w:rsidRPr="00A4272B">
        <w:rPr>
          <w:color w:val="000000"/>
          <w:lang w:val="en-US"/>
        </w:rPr>
        <w:t xml:space="preserve">these evaluations, the </w:t>
      </w:r>
      <w:r w:rsidR="00E1608A" w:rsidRPr="00A4272B">
        <w:rPr>
          <w:color w:val="000000"/>
          <w:lang w:val="en-US"/>
        </w:rPr>
        <w:t xml:space="preserve">COP </w:t>
      </w:r>
      <w:r w:rsidRPr="00A4272B">
        <w:rPr>
          <w:color w:val="000000"/>
          <w:lang w:val="en-US"/>
        </w:rPr>
        <w:t>established the “Global Monitoring Plan for POPs</w:t>
      </w:r>
      <w:r w:rsidR="009C1F9B" w:rsidRPr="00A4272B">
        <w:rPr>
          <w:color w:val="000000"/>
          <w:lang w:val="en-US"/>
        </w:rPr>
        <w:t xml:space="preserve"> (GMP)</w:t>
      </w:r>
      <w:r w:rsidRPr="00A4272B">
        <w:rPr>
          <w:color w:val="000000"/>
          <w:lang w:val="en-US"/>
        </w:rPr>
        <w:t>”,</w:t>
      </w:r>
      <w:r w:rsidRPr="00A4272B">
        <w:rPr>
          <w:rStyle w:val="FootnoteReference"/>
          <w:szCs w:val="20"/>
          <w:lang w:val="en-US"/>
        </w:rPr>
        <w:footnoteReference w:id="3"/>
      </w:r>
      <w:r w:rsidRPr="00A4272B">
        <w:rPr>
          <w:color w:val="000000"/>
          <w:lang w:val="en-US"/>
        </w:rPr>
        <w:t xml:space="preserve"> </w:t>
      </w:r>
      <w:r w:rsidR="009C1F9B" w:rsidRPr="00A4272B">
        <w:rPr>
          <w:color w:val="000000"/>
          <w:lang w:val="en-US"/>
        </w:rPr>
        <w:t xml:space="preserve">designed to generate </w:t>
      </w:r>
      <w:r w:rsidRPr="00A4272B">
        <w:rPr>
          <w:color w:val="000000"/>
          <w:lang w:val="en-US"/>
        </w:rPr>
        <w:t xml:space="preserve">comparable monitoring data on POPs listed in Annexes A, B, and C and </w:t>
      </w:r>
      <w:r w:rsidR="009C1F9B" w:rsidRPr="00A4272B">
        <w:rPr>
          <w:color w:val="000000"/>
          <w:lang w:val="en-US"/>
        </w:rPr>
        <w:t>track</w:t>
      </w:r>
      <w:r w:rsidRPr="00A4272B">
        <w:rPr>
          <w:color w:val="000000"/>
          <w:lang w:val="en-US"/>
        </w:rPr>
        <w:t xml:space="preserve"> their environmental transport. This plan, provisionally adopted in SC-3/19, fully adopted in SC-4/31, and subsequently amended in SC</w:t>
      </w:r>
      <w:r w:rsidR="005748BC" w:rsidRPr="00A4272B">
        <w:rPr>
          <w:color w:val="000000"/>
          <w:lang w:val="en-US"/>
        </w:rPr>
        <w:noBreakHyphen/>
      </w:r>
      <w:r w:rsidRPr="00A4272B">
        <w:rPr>
          <w:color w:val="000000"/>
          <w:lang w:val="en-US"/>
        </w:rPr>
        <w:t xml:space="preserve">6/23, is implemented through regional </w:t>
      </w:r>
      <w:r w:rsidR="009C1F9B" w:rsidRPr="00A4272B">
        <w:rPr>
          <w:color w:val="000000"/>
          <w:lang w:val="en-US"/>
        </w:rPr>
        <w:t xml:space="preserve">organization </w:t>
      </w:r>
      <w:r w:rsidRPr="00A4272B">
        <w:rPr>
          <w:color w:val="000000"/>
          <w:lang w:val="en-US"/>
        </w:rPr>
        <w:t xml:space="preserve">groups </w:t>
      </w:r>
      <w:r w:rsidR="009C1F9B" w:rsidRPr="00A4272B">
        <w:rPr>
          <w:color w:val="000000"/>
          <w:lang w:val="en-US"/>
        </w:rPr>
        <w:t>across</w:t>
      </w:r>
      <w:r w:rsidRPr="00A4272B">
        <w:rPr>
          <w:color w:val="000000"/>
          <w:lang w:val="en-US"/>
        </w:rPr>
        <w:t xml:space="preserve"> the five UN regions, </w:t>
      </w:r>
      <w:r w:rsidR="009C1F9B" w:rsidRPr="00A4272B">
        <w:rPr>
          <w:color w:val="000000"/>
          <w:lang w:val="en-US"/>
        </w:rPr>
        <w:t>overseen</w:t>
      </w:r>
      <w:r w:rsidRPr="00A4272B">
        <w:rPr>
          <w:color w:val="000000"/>
          <w:lang w:val="en-US"/>
        </w:rPr>
        <w:t xml:space="preserve"> by a global coordination group. </w:t>
      </w:r>
    </w:p>
    <w:p w14:paraId="49B9A5D7" w14:textId="56969F78" w:rsidR="00474928" w:rsidRPr="00A4272B" w:rsidRDefault="00894AEA" w:rsidP="005174C9">
      <w:pPr>
        <w:autoSpaceDE w:val="0"/>
        <w:autoSpaceDN w:val="0"/>
        <w:adjustRightInd w:val="0"/>
        <w:rPr>
          <w:color w:val="000000"/>
          <w:lang w:val="en-US"/>
        </w:rPr>
      </w:pPr>
      <w:r w:rsidRPr="00A4272B">
        <w:rPr>
          <w:color w:val="000000"/>
          <w:lang w:val="en-US"/>
        </w:rPr>
        <w:t xml:space="preserve">The regional </w:t>
      </w:r>
      <w:r w:rsidR="009C1F9B" w:rsidRPr="00A4272B">
        <w:rPr>
          <w:color w:val="000000"/>
          <w:lang w:val="en-US"/>
        </w:rPr>
        <w:t xml:space="preserve">organization </w:t>
      </w:r>
      <w:r w:rsidRPr="00A4272B">
        <w:rPr>
          <w:color w:val="000000"/>
          <w:lang w:val="en-US"/>
        </w:rPr>
        <w:t xml:space="preserve">groups </w:t>
      </w:r>
      <w:r w:rsidR="009C1F9B" w:rsidRPr="00A4272B">
        <w:rPr>
          <w:color w:val="000000"/>
          <w:lang w:val="en-US"/>
        </w:rPr>
        <w:t>collect</w:t>
      </w:r>
      <w:r w:rsidRPr="00A4272B">
        <w:rPr>
          <w:color w:val="000000"/>
          <w:lang w:val="en-US"/>
        </w:rPr>
        <w:t xml:space="preserve"> </w:t>
      </w:r>
      <w:r w:rsidR="009C1F9B" w:rsidRPr="00A4272B">
        <w:rPr>
          <w:color w:val="000000"/>
          <w:lang w:val="en-US"/>
        </w:rPr>
        <w:t>monitoring data</w:t>
      </w:r>
      <w:r w:rsidRPr="00A4272B">
        <w:rPr>
          <w:color w:val="000000"/>
          <w:lang w:val="en-US"/>
        </w:rPr>
        <w:t xml:space="preserve">, support capacity building, and produce regional monitoring reports, while the global coordination group harmonizes efforts, </w:t>
      </w:r>
      <w:r w:rsidR="009C1F9B" w:rsidRPr="00A4272B">
        <w:rPr>
          <w:color w:val="000000"/>
          <w:lang w:val="en-US"/>
        </w:rPr>
        <w:t>updates</w:t>
      </w:r>
      <w:r w:rsidRPr="00A4272B">
        <w:rPr>
          <w:color w:val="000000"/>
          <w:lang w:val="en-US"/>
        </w:rPr>
        <w:t xml:space="preserve"> guidance</w:t>
      </w:r>
      <w:r w:rsidR="009C1F9B" w:rsidRPr="00A4272B">
        <w:rPr>
          <w:color w:val="000000"/>
          <w:lang w:val="en-US"/>
        </w:rPr>
        <w:t>,</w:t>
      </w:r>
      <w:r w:rsidRPr="00A4272B">
        <w:rPr>
          <w:color w:val="000000"/>
          <w:lang w:val="en-US"/>
        </w:rPr>
        <w:t xml:space="preserve"> and compiles global monitoring report</w:t>
      </w:r>
      <w:r w:rsidR="009C1F9B" w:rsidRPr="00A4272B">
        <w:rPr>
          <w:color w:val="000000"/>
          <w:lang w:val="en-US"/>
        </w:rPr>
        <w:t>s</w:t>
      </w:r>
      <w:r w:rsidRPr="00A4272B">
        <w:rPr>
          <w:color w:val="000000"/>
          <w:lang w:val="en-US"/>
        </w:rPr>
        <w:t xml:space="preserve">. </w:t>
      </w:r>
      <w:r w:rsidR="00474928" w:rsidRPr="00A4272B">
        <w:rPr>
          <w:color w:val="000000"/>
          <w:lang w:val="en-US"/>
        </w:rPr>
        <w:t xml:space="preserve">The terms of reference for </w:t>
      </w:r>
      <w:r w:rsidR="009C1F9B" w:rsidRPr="00A4272B">
        <w:rPr>
          <w:color w:val="000000"/>
          <w:lang w:val="en-US"/>
        </w:rPr>
        <w:t xml:space="preserve">these groups </w:t>
      </w:r>
      <w:r w:rsidRPr="00A4272B">
        <w:rPr>
          <w:color w:val="000000"/>
          <w:lang w:val="en-US"/>
        </w:rPr>
        <w:t>can be found</w:t>
      </w:r>
      <w:r w:rsidR="00474928" w:rsidRPr="00A4272B">
        <w:rPr>
          <w:color w:val="000000"/>
          <w:lang w:val="en-US"/>
        </w:rPr>
        <w:t xml:space="preserve"> in decision SC</w:t>
      </w:r>
      <w:r w:rsidRPr="00A4272B">
        <w:rPr>
          <w:color w:val="000000"/>
          <w:lang w:val="en-US"/>
        </w:rPr>
        <w:noBreakHyphen/>
      </w:r>
      <w:r w:rsidR="00474928" w:rsidRPr="00A4272B">
        <w:rPr>
          <w:color w:val="000000"/>
          <w:lang w:val="en-US"/>
        </w:rPr>
        <w:t>11/18.</w:t>
      </w:r>
    </w:p>
    <w:p w14:paraId="481CC0EB" w14:textId="5AE0C670" w:rsidR="00894AEA" w:rsidRPr="00A4272B" w:rsidRDefault="00287A10" w:rsidP="005174C9">
      <w:pPr>
        <w:autoSpaceDE w:val="0"/>
        <w:autoSpaceDN w:val="0"/>
        <w:adjustRightInd w:val="0"/>
        <w:rPr>
          <w:color w:val="000000"/>
          <w:lang w:val="en-US"/>
        </w:rPr>
      </w:pPr>
      <w:r w:rsidRPr="00A4272B">
        <w:rPr>
          <w:color w:val="000000"/>
          <w:lang w:val="en-US"/>
        </w:rPr>
        <w:t>The guidance for the GMP, originally published by UNEP Chemicals in 2004</w:t>
      </w:r>
      <w:r w:rsidR="003F5FAD" w:rsidRPr="00A4272B">
        <w:rPr>
          <w:color w:val="000000"/>
          <w:lang w:val="en-US"/>
        </w:rPr>
        <w:t>,</w:t>
      </w:r>
      <w:r w:rsidR="003F5FAD" w:rsidRPr="00A4272B">
        <w:rPr>
          <w:rStyle w:val="FootnoteReference"/>
          <w:lang w:val="en-US"/>
        </w:rPr>
        <w:footnoteReference w:id="4"/>
      </w:r>
      <w:r w:rsidRPr="00A4272B">
        <w:rPr>
          <w:color w:val="000000"/>
          <w:lang w:val="en-US"/>
        </w:rPr>
        <w:t xml:space="preserve"> provides a comprehensive framework for implementation. It has been revised multiple times by the global coordination group, with expert input, in 2007, 2011, 2013, 2015, 2019, and 2022 to include new chemicals and technical advancements.</w:t>
      </w:r>
      <w:r w:rsidR="00A75CFA" w:rsidRPr="00A4272B">
        <w:rPr>
          <w:rStyle w:val="FootnoteReference"/>
          <w:lang w:val="en-US"/>
        </w:rPr>
        <w:footnoteReference w:id="5"/>
      </w:r>
      <w:r w:rsidR="00A75CFA" w:rsidRPr="00A4272B">
        <w:rPr>
          <w:color w:val="000000"/>
          <w:lang w:val="en-US"/>
        </w:rPr>
        <w:t xml:space="preserve"> </w:t>
      </w:r>
      <w:r w:rsidRPr="00A4272B">
        <w:rPr>
          <w:color w:val="000000"/>
          <w:lang w:val="en-US"/>
        </w:rPr>
        <w:t xml:space="preserve"> The current version, updated in 2025,</w:t>
      </w:r>
      <w:r w:rsidR="00A75CFA" w:rsidRPr="00A4272B">
        <w:rPr>
          <w:rStyle w:val="FootnoteReference"/>
          <w:lang w:val="en-US"/>
        </w:rPr>
        <w:footnoteReference w:id="6"/>
      </w:r>
      <w:r w:rsidRPr="00A4272B">
        <w:rPr>
          <w:color w:val="000000"/>
          <w:lang w:val="en-US"/>
        </w:rPr>
        <w:t xml:space="preserve"> is the latest and serves as the primary reference for implementing the GMP.</w:t>
      </w:r>
    </w:p>
    <w:p w14:paraId="7E0457C2" w14:textId="48696CFA" w:rsidR="00F3536C" w:rsidRPr="00A4272B" w:rsidRDefault="00FE1D1A" w:rsidP="009C240D">
      <w:pPr>
        <w:pStyle w:val="GMPHeading2"/>
        <w:tabs>
          <w:tab w:val="clear" w:pos="360"/>
          <w:tab w:val="clear" w:pos="450"/>
          <w:tab w:val="clear" w:pos="540"/>
          <w:tab w:val="clear" w:pos="630"/>
        </w:tabs>
        <w:rPr>
          <w:rFonts w:hint="eastAsia"/>
        </w:rPr>
      </w:pPr>
      <w:bookmarkStart w:id="26" w:name="_Toc266264074"/>
      <w:bookmarkStart w:id="27" w:name="_Toc266264506"/>
      <w:bookmarkStart w:id="28" w:name="_Toc187270466"/>
      <w:r w:rsidRPr="00A4272B">
        <w:t>1.1</w:t>
      </w:r>
      <w:r w:rsidRPr="00A4272B">
        <w:tab/>
      </w:r>
      <w:r w:rsidR="00E1608A" w:rsidRPr="00A4272B">
        <w:t>O</w:t>
      </w:r>
      <w:r w:rsidR="00F3536C" w:rsidRPr="00A4272B">
        <w:t>bjectives of the Global Monitoring Plan</w:t>
      </w:r>
      <w:bookmarkEnd w:id="26"/>
      <w:bookmarkEnd w:id="27"/>
      <w:r w:rsidR="00F03085" w:rsidRPr="00A4272B">
        <w:t xml:space="preserve"> for POPs</w:t>
      </w:r>
      <w:bookmarkEnd w:id="28"/>
    </w:p>
    <w:p w14:paraId="0555454F" w14:textId="77777777" w:rsidR="00E1608A" w:rsidRPr="00A4272B" w:rsidRDefault="00E1608A" w:rsidP="00E1608A">
      <w:pPr>
        <w:autoSpaceDE w:val="0"/>
        <w:autoSpaceDN w:val="0"/>
        <w:adjustRightInd w:val="0"/>
        <w:rPr>
          <w:lang w:val="en-US"/>
        </w:rPr>
      </w:pPr>
      <w:r w:rsidRPr="00A4272B">
        <w:rPr>
          <w:lang w:val="en-US"/>
        </w:rPr>
        <w:t>The GMP aims to assess whether POPs releases are being reduced or eliminated, as required by Articles 3 and 5 of the Convention. This involves collecting data on the environmental levels of POPs to enable trend detection over time, with a focus on background levels in areas unaffected by local sources. Reliable trend identification depends on a statistical evaluation of the capacity of each national monitoring programme contributing to the GMP.</w:t>
      </w:r>
    </w:p>
    <w:p w14:paraId="55DE4723" w14:textId="1AEBC128" w:rsidR="00E1608A" w:rsidRPr="00A4272B" w:rsidRDefault="00E1608A" w:rsidP="00E1608A">
      <w:pPr>
        <w:autoSpaceDE w:val="0"/>
        <w:autoSpaceDN w:val="0"/>
        <w:adjustRightInd w:val="0"/>
        <w:rPr>
          <w:lang w:val="en-US"/>
        </w:rPr>
      </w:pPr>
      <w:r w:rsidRPr="00A4272B">
        <w:rPr>
          <w:lang w:val="en-US"/>
        </w:rPr>
        <w:t>The objective of the GMP is to provide a harmonized framework for collecting and analyzing comparable data on POPs listed in Annexes A, B, and C. This enables the identification of temporal trends and informs regional and global environmental transport assessments. Reports on these activities, compiled by the global coordination group, contribute to the periodic effectiveness evaluations conducted by the COP.</w:t>
      </w:r>
    </w:p>
    <w:p w14:paraId="5ACB7031" w14:textId="217C25FA" w:rsidR="00F3536C" w:rsidRPr="00A4272B" w:rsidRDefault="00FE1D1A" w:rsidP="009C240D">
      <w:pPr>
        <w:pStyle w:val="GMPHeading2"/>
        <w:tabs>
          <w:tab w:val="clear" w:pos="360"/>
          <w:tab w:val="clear" w:pos="450"/>
          <w:tab w:val="clear" w:pos="540"/>
          <w:tab w:val="clear" w:pos="630"/>
        </w:tabs>
        <w:rPr>
          <w:rFonts w:hint="eastAsia"/>
        </w:rPr>
      </w:pPr>
      <w:bookmarkStart w:id="29" w:name="_Toc266264075"/>
      <w:bookmarkStart w:id="30" w:name="_Toc266264507"/>
      <w:bookmarkStart w:id="31" w:name="_Toc187270467"/>
      <w:r w:rsidRPr="00A4272B">
        <w:t>1.2</w:t>
      </w:r>
      <w:r w:rsidRPr="00A4272B">
        <w:tab/>
      </w:r>
      <w:r w:rsidR="00E1608A" w:rsidRPr="00A4272B">
        <w:t>O</w:t>
      </w:r>
      <w:r w:rsidR="00F3536C" w:rsidRPr="00A4272B">
        <w:t>bjectives of the guidance</w:t>
      </w:r>
      <w:bookmarkEnd w:id="29"/>
      <w:bookmarkEnd w:id="30"/>
      <w:bookmarkEnd w:id="31"/>
    </w:p>
    <w:p w14:paraId="05822509" w14:textId="25477FA8" w:rsidR="00E1608A" w:rsidRPr="00A4272B" w:rsidRDefault="00E1608A" w:rsidP="00E1608A">
      <w:pPr>
        <w:autoSpaceDE w:val="0"/>
        <w:autoSpaceDN w:val="0"/>
        <w:adjustRightInd w:val="0"/>
        <w:rPr>
          <w:color w:val="000000"/>
          <w:lang w:val="en-US"/>
        </w:rPr>
      </w:pPr>
      <w:r w:rsidRPr="00A4272B">
        <w:rPr>
          <w:color w:val="000000"/>
          <w:lang w:val="en-US"/>
        </w:rPr>
        <w:t xml:space="preserve">The guidance document supports the objectives of the GMP by providing a standardized framework for </w:t>
      </w:r>
      <w:r w:rsidR="00FE2221" w:rsidRPr="00A4272B">
        <w:rPr>
          <w:color w:val="000000"/>
          <w:lang w:val="en-US"/>
        </w:rPr>
        <w:t>collection</w:t>
      </w:r>
      <w:r w:rsidRPr="00A4272B">
        <w:rPr>
          <w:color w:val="000000"/>
          <w:lang w:val="en-US"/>
        </w:rPr>
        <w:t>, analysis, statistical evaluation, and reporting of POPs data. It aims to integrate existing programmes where possible, establish new initiatives as needed, and create a uniform structure for monitoring reports essential to the COP's periodic effectiveness evaluations.</w:t>
      </w:r>
    </w:p>
    <w:p w14:paraId="6CD383D0" w14:textId="3230BAFC" w:rsidR="00E1608A" w:rsidRPr="00A4272B" w:rsidRDefault="00E1608A" w:rsidP="00E1608A">
      <w:pPr>
        <w:autoSpaceDE w:val="0"/>
        <w:autoSpaceDN w:val="0"/>
        <w:adjustRightInd w:val="0"/>
        <w:rPr>
          <w:color w:val="000000"/>
          <w:lang w:val="en-US"/>
        </w:rPr>
      </w:pPr>
      <w:r w:rsidRPr="00A4272B">
        <w:rPr>
          <w:color w:val="000000"/>
          <w:lang w:val="en-US"/>
        </w:rPr>
        <w:t>The guidance is intended to:</w:t>
      </w:r>
    </w:p>
    <w:p w14:paraId="2B249081" w14:textId="4CC63B40" w:rsidR="00E1608A" w:rsidRPr="00A4272B" w:rsidRDefault="00E1608A">
      <w:pPr>
        <w:pStyle w:val="ListParagraph"/>
        <w:numPr>
          <w:ilvl w:val="0"/>
          <w:numId w:val="131"/>
        </w:numPr>
        <w:autoSpaceDE w:val="0"/>
        <w:autoSpaceDN w:val="0"/>
        <w:adjustRightInd w:val="0"/>
        <w:rPr>
          <w:color w:val="000000"/>
        </w:rPr>
      </w:pPr>
      <w:r w:rsidRPr="00A4272B">
        <w:rPr>
          <w:color w:val="000000"/>
        </w:rPr>
        <w:t>Establish a consistent framework for monitoring environmental background levels of POPs listed in Annexes A, B, and C;</w:t>
      </w:r>
    </w:p>
    <w:p w14:paraId="34C87603" w14:textId="2D5EE732" w:rsidR="00E1608A" w:rsidRPr="00A4272B" w:rsidRDefault="00E1608A">
      <w:pPr>
        <w:pStyle w:val="ListParagraph"/>
        <w:numPr>
          <w:ilvl w:val="0"/>
          <w:numId w:val="131"/>
        </w:numPr>
        <w:autoSpaceDE w:val="0"/>
        <w:autoSpaceDN w:val="0"/>
        <w:adjustRightInd w:val="0"/>
        <w:rPr>
          <w:color w:val="000000"/>
        </w:rPr>
      </w:pPr>
      <w:r w:rsidRPr="00A4272B">
        <w:rPr>
          <w:color w:val="000000"/>
        </w:rPr>
        <w:t>Support both dedicated Article 16 programmes and other existing monitoring efforts;</w:t>
      </w:r>
    </w:p>
    <w:p w14:paraId="09642011" w14:textId="1DCC38EC" w:rsidR="00E1608A" w:rsidRPr="00A4272B" w:rsidRDefault="00E1608A">
      <w:pPr>
        <w:pStyle w:val="ListParagraph"/>
        <w:numPr>
          <w:ilvl w:val="0"/>
          <w:numId w:val="131"/>
        </w:numPr>
        <w:autoSpaceDE w:val="0"/>
        <w:autoSpaceDN w:val="0"/>
        <w:adjustRightInd w:val="0"/>
        <w:rPr>
          <w:color w:val="000000"/>
        </w:rPr>
      </w:pPr>
      <w:r w:rsidRPr="00A4272B">
        <w:rPr>
          <w:color w:val="000000"/>
        </w:rPr>
        <w:t>Enhance the capacity of laboratories identified through the inventory process, guiding them in preparing targeted funding proposals;</w:t>
      </w:r>
    </w:p>
    <w:p w14:paraId="055BF1DB" w14:textId="517BAA81" w:rsidR="00E1608A" w:rsidRPr="00A4272B" w:rsidRDefault="00E1608A">
      <w:pPr>
        <w:pStyle w:val="ListParagraph"/>
        <w:numPr>
          <w:ilvl w:val="0"/>
          <w:numId w:val="131"/>
        </w:numPr>
        <w:autoSpaceDE w:val="0"/>
        <w:autoSpaceDN w:val="0"/>
        <w:adjustRightInd w:val="0"/>
        <w:rPr>
          <w:color w:val="000000"/>
        </w:rPr>
      </w:pPr>
      <w:r w:rsidRPr="00A4272B">
        <w:rPr>
          <w:color w:val="000000"/>
        </w:rPr>
        <w:t>Serve as a dynamic, evolving framework, adaptable to further COP directives, practical experience, and emerging needs.</w:t>
      </w:r>
    </w:p>
    <w:p w14:paraId="14F61D66" w14:textId="36A33514" w:rsidR="00E1608A" w:rsidRPr="00A4272B" w:rsidRDefault="00E1608A" w:rsidP="00086048">
      <w:pPr>
        <w:autoSpaceDE w:val="0"/>
        <w:autoSpaceDN w:val="0"/>
        <w:adjustRightInd w:val="0"/>
        <w:rPr>
          <w:color w:val="000000"/>
          <w:lang w:val="en-US"/>
        </w:rPr>
      </w:pPr>
      <w:r w:rsidRPr="00A4272B">
        <w:rPr>
          <w:color w:val="000000"/>
          <w:lang w:val="en-US"/>
        </w:rPr>
        <w:lastRenderedPageBreak/>
        <w:t>This comprehensive approach ensures that the GMP continues to provide robust, comparable data to support the Convention’s objectives and effectiveness evaluations.</w:t>
      </w:r>
    </w:p>
    <w:p w14:paraId="7A8B33D6" w14:textId="23D7FFDE" w:rsidR="00F3536C" w:rsidRPr="00A4272B" w:rsidRDefault="00FE1D1A" w:rsidP="00476879">
      <w:pPr>
        <w:pStyle w:val="GMPHeading2"/>
        <w:tabs>
          <w:tab w:val="clear" w:pos="360"/>
          <w:tab w:val="clear" w:pos="450"/>
          <w:tab w:val="clear" w:pos="540"/>
          <w:tab w:val="clear" w:pos="630"/>
        </w:tabs>
        <w:rPr>
          <w:rFonts w:hint="eastAsia"/>
        </w:rPr>
      </w:pPr>
      <w:bookmarkStart w:id="32" w:name="_Toc266264076"/>
      <w:bookmarkStart w:id="33" w:name="_Toc266264508"/>
      <w:bookmarkStart w:id="34" w:name="_Toc187270468"/>
      <w:r w:rsidRPr="00A4272B">
        <w:t>1.3</w:t>
      </w:r>
      <w:r w:rsidRPr="00A4272B">
        <w:tab/>
      </w:r>
      <w:r w:rsidR="00F3536C" w:rsidRPr="00A4272B">
        <w:t>General principles</w:t>
      </w:r>
      <w:bookmarkEnd w:id="32"/>
      <w:bookmarkEnd w:id="33"/>
      <w:bookmarkEnd w:id="34"/>
    </w:p>
    <w:p w14:paraId="147B4C30" w14:textId="05F9B987" w:rsidR="0074150D" w:rsidRPr="00A4272B" w:rsidRDefault="0074150D" w:rsidP="00192CEA">
      <w:pPr>
        <w:pStyle w:val="Default"/>
        <w:keepNext/>
        <w:spacing w:after="120"/>
        <w:rPr>
          <w:sz w:val="20"/>
          <w:szCs w:val="20"/>
        </w:rPr>
      </w:pPr>
      <w:r w:rsidRPr="00A4272B">
        <w:rPr>
          <w:sz w:val="20"/>
          <w:szCs w:val="20"/>
        </w:rPr>
        <w:t xml:space="preserve">The framework for the </w:t>
      </w:r>
      <w:r w:rsidR="00E1608A" w:rsidRPr="00A4272B">
        <w:rPr>
          <w:sz w:val="20"/>
          <w:szCs w:val="20"/>
        </w:rPr>
        <w:t>GMP</w:t>
      </w:r>
      <w:r w:rsidRPr="00A4272B">
        <w:rPr>
          <w:sz w:val="20"/>
          <w:szCs w:val="20"/>
        </w:rPr>
        <w:t xml:space="preserve"> follows the </w:t>
      </w:r>
      <w:r w:rsidR="00E1608A" w:rsidRPr="00A4272B">
        <w:rPr>
          <w:sz w:val="20"/>
          <w:szCs w:val="20"/>
        </w:rPr>
        <w:t>guidance provided</w:t>
      </w:r>
      <w:r w:rsidRPr="00A4272B">
        <w:rPr>
          <w:sz w:val="20"/>
          <w:szCs w:val="20"/>
        </w:rPr>
        <w:t xml:space="preserve"> by the Conference of the Parties. </w:t>
      </w:r>
    </w:p>
    <w:p w14:paraId="5926984A" w14:textId="6DC48A6B" w:rsidR="0074150D" w:rsidRPr="00A4272B" w:rsidRDefault="0074150D" w:rsidP="0074150D">
      <w:pPr>
        <w:pStyle w:val="Default"/>
        <w:spacing w:after="120"/>
        <w:rPr>
          <w:sz w:val="20"/>
          <w:szCs w:val="20"/>
        </w:rPr>
      </w:pPr>
      <w:r w:rsidRPr="00A4272B">
        <w:rPr>
          <w:sz w:val="20"/>
          <w:szCs w:val="20"/>
        </w:rPr>
        <w:t xml:space="preserve">The </w:t>
      </w:r>
      <w:r w:rsidR="00E1608A" w:rsidRPr="00A4272B">
        <w:rPr>
          <w:sz w:val="20"/>
          <w:szCs w:val="20"/>
        </w:rPr>
        <w:t>GMP aims to</w:t>
      </w:r>
      <w:r w:rsidRPr="00A4272B">
        <w:rPr>
          <w:sz w:val="20"/>
          <w:szCs w:val="20"/>
        </w:rPr>
        <w:t>:</w:t>
      </w:r>
    </w:p>
    <w:p w14:paraId="38AD3A55" w14:textId="716C07DB" w:rsidR="0074150D" w:rsidRPr="00A4272B" w:rsidRDefault="0074150D">
      <w:pPr>
        <w:pStyle w:val="USAIDbullet1"/>
        <w:numPr>
          <w:ilvl w:val="0"/>
          <w:numId w:val="19"/>
        </w:numPr>
        <w:pBdr>
          <w:top w:val="nil"/>
          <w:left w:val="nil"/>
          <w:bottom w:val="nil"/>
          <w:right w:val="nil"/>
          <w:between w:val="nil"/>
          <w:bar w:val="nil"/>
        </w:pBdr>
        <w:tabs>
          <w:tab w:val="left" w:pos="720"/>
        </w:tabs>
        <w:rPr>
          <w:lang w:val="en-US"/>
        </w:rPr>
      </w:pPr>
      <w:r w:rsidRPr="00A4272B">
        <w:rPr>
          <w:lang w:val="en-US"/>
        </w:rPr>
        <w:t xml:space="preserve">Outline a strategic and cost-effective approach </w:t>
      </w:r>
      <w:r w:rsidR="00E1608A" w:rsidRPr="00A4272B">
        <w:rPr>
          <w:lang w:val="en-US"/>
        </w:rPr>
        <w:t>that builds</w:t>
      </w:r>
      <w:r w:rsidRPr="00A4272B">
        <w:rPr>
          <w:lang w:val="en-US"/>
        </w:rPr>
        <w:t xml:space="preserve"> on</w:t>
      </w:r>
      <w:r w:rsidR="00E1608A" w:rsidRPr="00A4272B">
        <w:rPr>
          <w:lang w:val="en-US"/>
        </w:rPr>
        <w:t xml:space="preserve"> </w:t>
      </w:r>
      <w:r w:rsidRPr="00A4272B">
        <w:rPr>
          <w:lang w:val="en-US"/>
        </w:rPr>
        <w:t>existing scientifically sound human health and environmental monitoring programmes to the extent possible, providing appropriate and sufficient comparable data for the effectiveness evaluation of the Convention;</w:t>
      </w:r>
    </w:p>
    <w:p w14:paraId="68A3947C" w14:textId="77777777" w:rsidR="0074150D" w:rsidRPr="00A4272B" w:rsidRDefault="0074150D">
      <w:pPr>
        <w:pStyle w:val="USAIDbullet1"/>
        <w:numPr>
          <w:ilvl w:val="0"/>
          <w:numId w:val="19"/>
        </w:numPr>
        <w:pBdr>
          <w:top w:val="nil"/>
          <w:left w:val="nil"/>
          <w:bottom w:val="nil"/>
          <w:right w:val="nil"/>
          <w:between w:val="nil"/>
          <w:bar w:val="nil"/>
        </w:pBdr>
        <w:tabs>
          <w:tab w:val="left" w:pos="720"/>
        </w:tabs>
        <w:rPr>
          <w:lang w:val="en-US"/>
        </w:rPr>
      </w:pPr>
      <w:r w:rsidRPr="00A4272B">
        <w:rPr>
          <w:lang w:val="en-US"/>
        </w:rPr>
        <w:t>Ensure and enhance comparability and consistency in monitoring data;</w:t>
      </w:r>
    </w:p>
    <w:p w14:paraId="66844F6E" w14:textId="77777777" w:rsidR="0074150D" w:rsidRPr="00A4272B" w:rsidRDefault="0074150D">
      <w:pPr>
        <w:pStyle w:val="USAIDbullet1"/>
        <w:numPr>
          <w:ilvl w:val="0"/>
          <w:numId w:val="19"/>
        </w:numPr>
        <w:pBdr>
          <w:top w:val="nil"/>
          <w:left w:val="nil"/>
          <w:bottom w:val="nil"/>
          <w:right w:val="nil"/>
          <w:between w:val="nil"/>
          <w:bar w:val="nil"/>
        </w:pBdr>
        <w:tabs>
          <w:tab w:val="left" w:pos="720"/>
        </w:tabs>
        <w:rPr>
          <w:lang w:val="en-US"/>
        </w:rPr>
      </w:pPr>
      <w:r w:rsidRPr="00A4272B">
        <w:rPr>
          <w:lang w:val="en-US"/>
        </w:rPr>
        <w:t>Be practical, feasible and sustainable;</w:t>
      </w:r>
    </w:p>
    <w:p w14:paraId="7CE82EDC" w14:textId="77777777" w:rsidR="0074150D" w:rsidRPr="00A4272B" w:rsidRDefault="0074150D">
      <w:pPr>
        <w:pStyle w:val="USAIDbullet1"/>
        <w:numPr>
          <w:ilvl w:val="0"/>
          <w:numId w:val="19"/>
        </w:numPr>
        <w:pBdr>
          <w:top w:val="nil"/>
          <w:left w:val="nil"/>
          <w:bottom w:val="nil"/>
          <w:right w:val="nil"/>
          <w:between w:val="nil"/>
          <w:bar w:val="nil"/>
        </w:pBdr>
        <w:tabs>
          <w:tab w:val="left" w:pos="720"/>
        </w:tabs>
        <w:rPr>
          <w:lang w:val="en-US"/>
        </w:rPr>
      </w:pPr>
      <w:r w:rsidRPr="00A4272B">
        <w:rPr>
          <w:lang w:val="en-US"/>
        </w:rPr>
        <w:t>Be inclusive, achieve global coverage and contain at least core</w:t>
      </w:r>
      <w:r w:rsidRPr="00A4272B">
        <w:rPr>
          <w:vertAlign w:val="superscript"/>
          <w:lang w:val="en-US"/>
        </w:rPr>
        <w:footnoteReference w:id="7"/>
      </w:r>
      <w:r w:rsidRPr="00A4272B">
        <w:rPr>
          <w:lang w:val="en-US"/>
        </w:rPr>
        <w:t xml:space="preserve"> representative data from all regions; </w:t>
      </w:r>
    </w:p>
    <w:p w14:paraId="725AB072" w14:textId="77777777" w:rsidR="0074150D" w:rsidRPr="00A4272B" w:rsidRDefault="0074150D">
      <w:pPr>
        <w:pStyle w:val="USAIDbullet1"/>
        <w:numPr>
          <w:ilvl w:val="0"/>
          <w:numId w:val="19"/>
        </w:numPr>
        <w:pBdr>
          <w:top w:val="nil"/>
          <w:left w:val="nil"/>
          <w:bottom w:val="nil"/>
          <w:right w:val="nil"/>
          <w:between w:val="nil"/>
          <w:bar w:val="nil"/>
        </w:pBdr>
        <w:tabs>
          <w:tab w:val="left" w:pos="720"/>
        </w:tabs>
        <w:rPr>
          <w:lang w:val="en-US"/>
        </w:rPr>
      </w:pPr>
      <w:r w:rsidRPr="00A4272B">
        <w:rPr>
          <w:lang w:val="en-US"/>
        </w:rPr>
        <w:t xml:space="preserve">Be designed to go beyond the first monitoring report and address longterm needs for attaining appropriate representative data in all regions; </w:t>
      </w:r>
    </w:p>
    <w:p w14:paraId="1C2FEF71" w14:textId="77777777" w:rsidR="0074150D" w:rsidRPr="00A4272B" w:rsidRDefault="0074150D">
      <w:pPr>
        <w:pStyle w:val="USAIDbullet1"/>
        <w:numPr>
          <w:ilvl w:val="0"/>
          <w:numId w:val="19"/>
        </w:numPr>
        <w:pBdr>
          <w:top w:val="nil"/>
          <w:left w:val="nil"/>
          <w:bottom w:val="nil"/>
          <w:right w:val="nil"/>
          <w:between w:val="nil"/>
          <w:bar w:val="nil"/>
        </w:pBdr>
        <w:tabs>
          <w:tab w:val="left" w:pos="720"/>
        </w:tabs>
        <w:rPr>
          <w:lang w:val="en-US"/>
        </w:rPr>
      </w:pPr>
      <w:r w:rsidRPr="00A4272B">
        <w:rPr>
          <w:lang w:val="en-US"/>
        </w:rPr>
        <w:t>Provide for supplementing data, where necessary, taking into account the differences between regions and their capabilities to implement monitoring activities;</w:t>
      </w:r>
    </w:p>
    <w:p w14:paraId="7601766C" w14:textId="77777777" w:rsidR="0074150D" w:rsidRPr="00A4272B" w:rsidRDefault="0074150D">
      <w:pPr>
        <w:pStyle w:val="USAIDbullet1"/>
        <w:numPr>
          <w:ilvl w:val="0"/>
          <w:numId w:val="19"/>
        </w:numPr>
        <w:pBdr>
          <w:top w:val="nil"/>
          <w:left w:val="nil"/>
          <w:bottom w:val="nil"/>
          <w:right w:val="nil"/>
          <w:between w:val="nil"/>
          <w:bar w:val="nil"/>
        </w:pBdr>
        <w:tabs>
          <w:tab w:val="left" w:pos="720"/>
        </w:tabs>
        <w:rPr>
          <w:lang w:val="en-US"/>
        </w:rPr>
      </w:pPr>
      <w:r w:rsidRPr="00A4272B">
        <w:rPr>
          <w:lang w:val="en-US"/>
        </w:rPr>
        <w:t>Enable phased enhancement of the ability of Parties to participate in regional arrangements for producing comparable data.</w:t>
      </w:r>
    </w:p>
    <w:p w14:paraId="2AA7CC6D" w14:textId="39488EF7" w:rsidR="00E1608A" w:rsidRPr="00A4272B" w:rsidRDefault="00E1608A" w:rsidP="0074150D">
      <w:pPr>
        <w:pStyle w:val="Text0"/>
        <w:spacing w:after="120"/>
      </w:pPr>
      <w:r w:rsidRPr="00A4272B">
        <w:t>The second effectiveness evaluation</w:t>
      </w:r>
      <w:r w:rsidRPr="00A4272B">
        <w:rPr>
          <w:rStyle w:val="FootnoteReference"/>
        </w:rPr>
        <w:footnoteReference w:id="8"/>
      </w:r>
      <w:r w:rsidRPr="00A4272B">
        <w:t xml:space="preserve"> concluded that the GMP provides the necessary environmental monitoring information to fully support the evaluation of the effectiveness of the Convention, and therefore should be sustained in the long term to enable it to continue to provide valuable data for effectiveness evaluation.</w:t>
      </w:r>
    </w:p>
    <w:p w14:paraId="0EC475B6" w14:textId="2D4F46B5" w:rsidR="0074150D" w:rsidRPr="00A4272B" w:rsidRDefault="0074150D" w:rsidP="0074150D">
      <w:pPr>
        <w:pStyle w:val="Text0"/>
        <w:spacing w:after="120"/>
        <w:rPr>
          <w:rFonts w:cs="Times New Roman"/>
          <w:color w:val="auto"/>
        </w:rPr>
      </w:pPr>
      <w:r w:rsidRPr="00A4272B">
        <w:t xml:space="preserve">The GMP primarily focuses on background monitoring in core media. While non-core data, such as POPs data from other media, exposure data from non-core populations, or hot-spot monitoring, serve as valuable supplementary information, they support contextualized data interpretation and integrated modeling. This complementary data enhances global understanding of POP levels, environmental movement, and the long-range environmental transport (LRET) of POPs. Significant geographic disparities exist in the capacity to contribute comparable monitoring data for evaluating the effectiveness of the Stockholm Convention. Capacity-building initiatives, such as GEF </w:t>
      </w:r>
      <w:r w:rsidR="005748BC" w:rsidRPr="00A4272B">
        <w:t xml:space="preserve">programmes </w:t>
      </w:r>
      <w:r w:rsidRPr="00A4272B">
        <w:t xml:space="preserve">and strategic partnerships with established monitoring networks, have been implemented in developing regions. However, despite these efforts, some areas still lack the resources to monitor and analyze POPs adequately. The inclusion of new POPs in the Convention places additional demands on sustaining monitoring activities. Notably, the Convention’s ability to assess the impact of global efforts to reduce POPs relies heavily on the continuation of both international and national monitoring </w:t>
      </w:r>
      <w:r w:rsidR="008F74AD" w:rsidRPr="00A4272B">
        <w:t>programmes</w:t>
      </w:r>
      <w:r w:rsidRPr="00A4272B">
        <w:t xml:space="preserve">. Furthermore, chemicals listed since 2009 exhibit complex and variable patterns across media and regions, with insufficient data to detect trends for many of these newer POPs. </w:t>
      </w:r>
      <w:r w:rsidRPr="00A4272B">
        <w:rPr>
          <w:rFonts w:cs="Times New Roman"/>
          <w:color w:val="auto"/>
        </w:rPr>
        <w:t xml:space="preserve"> </w:t>
      </w:r>
    </w:p>
    <w:p w14:paraId="21E4816A" w14:textId="62C3637A" w:rsidR="0074150D" w:rsidRPr="00A4272B" w:rsidRDefault="00192CEA" w:rsidP="0074150D">
      <w:pPr>
        <w:pStyle w:val="Text0"/>
        <w:spacing w:after="120"/>
      </w:pPr>
      <w:r w:rsidRPr="00A4272B">
        <w:t xml:space="preserve">Many POPs, even those under regulation, continue to pose significant concerns. Assessing trends requires ongoing support for both existing and ad hoc monitoring </w:t>
      </w:r>
      <w:r w:rsidR="00AF4A1F" w:rsidRPr="00A4272B">
        <w:t>programmes,</w:t>
      </w:r>
      <w:r w:rsidRPr="00A4272B">
        <w:t xml:space="preserve"> including those focused on water. Large-scale, recurrent monitoring and metadata sharing are essential for data comparison and enhanced assessment of long-range environmental transport (LRET). Coordinating with initiatives such as indoor air surveillance, emissions monitoring in urban and industrial areas, and exposure assessment in waste and urban settings, along with developing models for environmental fate and exposure, would improve understanding of POP exposure and the effectiveness of regulatory actions in protecting human health and the environment. Additionally, linking monitoring with climate and biodiversity research can provide valuable context for interpreting data within the broader environmental context.</w:t>
      </w:r>
      <w:r w:rsidR="0074150D" w:rsidRPr="00A4272B">
        <w:t xml:space="preserve"> </w:t>
      </w:r>
    </w:p>
    <w:p w14:paraId="56457F1F" w14:textId="77777777" w:rsidR="0074150D" w:rsidRPr="00A4272B" w:rsidRDefault="0074150D" w:rsidP="0074150D">
      <w:pPr>
        <w:pStyle w:val="USAIDbullet1"/>
        <w:numPr>
          <w:ilvl w:val="0"/>
          <w:numId w:val="0"/>
        </w:numPr>
        <w:rPr>
          <w:lang w:val="en-US"/>
        </w:rPr>
      </w:pPr>
      <w:r w:rsidRPr="00A4272B">
        <w:rPr>
          <w:lang w:val="en-US"/>
        </w:rPr>
        <w:t xml:space="preserve">For the GMP’s fourth phase, several opportunities and needs to sustain long-term POP monitoring have been identified: </w:t>
      </w:r>
    </w:p>
    <w:p w14:paraId="432AAA45"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Regional capacity inventories</w:t>
      </w:r>
      <w:r w:rsidRPr="00A4272B">
        <w:rPr>
          <w:lang w:val="en-US"/>
        </w:rPr>
        <w:t xml:space="preserve">: Develop and maintain an inventory of regional capacities; </w:t>
      </w:r>
    </w:p>
    <w:p w14:paraId="56D2E305" w14:textId="7AF53AC4"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Strategic partnerships</w:t>
      </w:r>
      <w:r w:rsidRPr="00A4272B">
        <w:rPr>
          <w:lang w:val="en-US"/>
        </w:rPr>
        <w:t>: Support regions aiming to establish or enhance monitoring capacity to form partnerships with established monitoring program</w:t>
      </w:r>
      <w:r w:rsidR="005748BC" w:rsidRPr="00A4272B">
        <w:rPr>
          <w:lang w:val="en-US"/>
        </w:rPr>
        <w:t>me</w:t>
      </w:r>
      <w:r w:rsidRPr="00A4272B">
        <w:rPr>
          <w:lang w:val="en-US"/>
        </w:rPr>
        <w:t>s;</w:t>
      </w:r>
    </w:p>
    <w:p w14:paraId="735C1B5E"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Ongoing monitoring support</w:t>
      </w:r>
      <w:r w:rsidRPr="00A4272B">
        <w:rPr>
          <w:lang w:val="en-US"/>
        </w:rPr>
        <w:t>: Sustain sampling, analysis, quality assurance, and data storage to assess temporal trends and LRET effectively;</w:t>
      </w:r>
    </w:p>
    <w:p w14:paraId="2F92DC36"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lastRenderedPageBreak/>
        <w:t>Interlaboratory assessments</w:t>
      </w:r>
      <w:r w:rsidRPr="00A4272B">
        <w:rPr>
          <w:lang w:val="en-US"/>
        </w:rPr>
        <w:t>: Encourage laboratories to participate in international assessments organized by UNEP or other agencies, like IAEA;</w:t>
      </w:r>
    </w:p>
    <w:p w14:paraId="3016CF39"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Address data gaps</w:t>
      </w:r>
      <w:r w:rsidRPr="00A4272B">
        <w:rPr>
          <w:lang w:val="en-US"/>
        </w:rPr>
        <w:t>: Increase efforts to close data gaps and monitor newly listed POPs as they are added;</w:t>
      </w:r>
    </w:p>
    <w:p w14:paraId="76187BBF"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Sample archiving</w:t>
      </w:r>
      <w:r w:rsidRPr="00A4272B">
        <w:rPr>
          <w:lang w:val="en-US"/>
        </w:rPr>
        <w:t>: Archive core media samples for retrospective analysis to provide baseline data and track trends of newly listed POPs;</w:t>
      </w:r>
    </w:p>
    <w:p w14:paraId="24503783"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Regional communication</w:t>
      </w:r>
      <w:r w:rsidRPr="00A4272B">
        <w:rPr>
          <w:lang w:val="en-US"/>
        </w:rPr>
        <w:t>: Strengthen structures for regional communication, coordination, and information exchange;</w:t>
      </w:r>
    </w:p>
    <w:p w14:paraId="346E7070"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Enhanced intra-regional coordination</w:t>
      </w:r>
      <w:r w:rsidRPr="00A4272B">
        <w:rPr>
          <w:lang w:val="en-US"/>
        </w:rPr>
        <w:t>: Improve intra-regional coordination, particularly among experts and academic groups, to meet GMP data needs;</w:t>
      </w:r>
    </w:p>
    <w:p w14:paraId="0BDC35FB"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Widespread report sharing</w:t>
      </w:r>
      <w:r w:rsidRPr="00A4272B">
        <w:rPr>
          <w:lang w:val="en-US"/>
        </w:rPr>
        <w:t>: Disseminate regional and global monitoring reports broadly;</w:t>
      </w:r>
    </w:p>
    <w:p w14:paraId="1A0FA7FE"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GMP Data Warehouse</w:t>
      </w:r>
      <w:r w:rsidRPr="00A4272B">
        <w:rPr>
          <w:lang w:val="en-US"/>
        </w:rPr>
        <w:t>: Maintain and develop the data warehouse to handle GMP data, offer access to up-to-date monitoring data, and improve visualization tools;</w:t>
      </w:r>
    </w:p>
    <w:p w14:paraId="65AC6B86"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Database integration</w:t>
      </w:r>
      <w:r w:rsidRPr="00A4272B">
        <w:rPr>
          <w:lang w:val="en-US"/>
        </w:rPr>
        <w:t>: Make databases searchable, openly accessible, and compatible with other databases to facilitate data sharing and compilation;</w:t>
      </w:r>
    </w:p>
    <w:p w14:paraId="22A5F2FC" w14:textId="210D3636"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Data integration with models</w:t>
      </w:r>
      <w:r w:rsidRPr="00A4272B">
        <w:rPr>
          <w:lang w:val="en-US"/>
        </w:rPr>
        <w:t xml:space="preserve">: Cooperate with other </w:t>
      </w:r>
      <w:r w:rsidR="005748BC" w:rsidRPr="00A4272B">
        <w:rPr>
          <w:lang w:val="en-US"/>
        </w:rPr>
        <w:t xml:space="preserve">programmes </w:t>
      </w:r>
      <w:r w:rsidRPr="00A4272B">
        <w:rPr>
          <w:lang w:val="en-US"/>
        </w:rPr>
        <w:t>to integrate GMP data with numerical models for estimating trends in POP emissions and linking these trends to human and environmental impacts;</w:t>
      </w:r>
    </w:p>
    <w:p w14:paraId="53677853" w14:textId="77777777" w:rsidR="0074150D" w:rsidRPr="00A4272B" w:rsidRDefault="0074150D">
      <w:pPr>
        <w:pStyle w:val="USAIDbullet1"/>
        <w:numPr>
          <w:ilvl w:val="0"/>
          <w:numId w:val="20"/>
        </w:numPr>
        <w:pBdr>
          <w:top w:val="nil"/>
          <w:left w:val="nil"/>
          <w:bottom w:val="nil"/>
          <w:right w:val="nil"/>
          <w:between w:val="nil"/>
          <w:bar w:val="nil"/>
        </w:pBdr>
        <w:tabs>
          <w:tab w:val="left" w:pos="720"/>
        </w:tabs>
        <w:rPr>
          <w:lang w:val="en-US"/>
        </w:rPr>
      </w:pPr>
      <w:r w:rsidRPr="00A4272B">
        <w:rPr>
          <w:b/>
          <w:bCs/>
          <w:lang w:val="en-US"/>
        </w:rPr>
        <w:t>Enhanced modeling</w:t>
      </w:r>
      <w:r w:rsidRPr="00A4272B">
        <w:rPr>
          <w:lang w:val="en-US"/>
        </w:rPr>
        <w:t>: Strengthening modeling capabilities within an integrated assessment approach could allow for more predictive and quantitative insights into POP levels and trends.</w:t>
      </w:r>
    </w:p>
    <w:p w14:paraId="437FECA2" w14:textId="161E6653" w:rsidR="0074150D" w:rsidRPr="00A4272B" w:rsidRDefault="0074150D" w:rsidP="0074150D">
      <w:pPr>
        <w:pStyle w:val="Text0"/>
        <w:spacing w:after="120"/>
      </w:pPr>
      <w:r w:rsidRPr="00A4272B">
        <w:t xml:space="preserve">Additional funding and resources are needed to accommodate the demand for new POP analyses. Monitoring </w:t>
      </w:r>
      <w:r w:rsidR="005748BC" w:rsidRPr="00A4272B">
        <w:t xml:space="preserve">programmes </w:t>
      </w:r>
      <w:r w:rsidRPr="00A4272B">
        <w:t xml:space="preserve">might adjust by reducing analysis frequency for legacy POPs, optimizing analytical methods, and establishing specialized partnerships among laboratories. Many </w:t>
      </w:r>
      <w:r w:rsidR="005748BC" w:rsidRPr="00A4272B">
        <w:t xml:space="preserve">programmes </w:t>
      </w:r>
      <w:r w:rsidRPr="00A4272B">
        <w:t>are incorporating scientific advancements like high-resolution, non-targeted analysis, and data archiving for future reference, which could improve future reporting.</w:t>
      </w:r>
    </w:p>
    <w:p w14:paraId="1DA5CC95" w14:textId="77777777" w:rsidR="0074150D" w:rsidRPr="00A4272B" w:rsidRDefault="0074150D" w:rsidP="0074150D">
      <w:pPr>
        <w:pStyle w:val="Text0"/>
        <w:spacing w:after="120"/>
      </w:pPr>
      <w:r w:rsidRPr="00A4272B">
        <w:t>Investing in the sustainability of specimen banks can be a cost-effective strategy, allowing retrospective analysis of current and future POPs and screening studies on candidate POPs, thus supporting the evaluation of policy effectiveness.</w:t>
      </w:r>
    </w:p>
    <w:p w14:paraId="37EAC290" w14:textId="75F95EFA" w:rsidR="00F3536C" w:rsidRPr="00A4272B" w:rsidRDefault="003B36ED" w:rsidP="00476879">
      <w:pPr>
        <w:pStyle w:val="GMPHeading2"/>
        <w:tabs>
          <w:tab w:val="clear" w:pos="360"/>
          <w:tab w:val="clear" w:pos="450"/>
          <w:tab w:val="clear" w:pos="540"/>
          <w:tab w:val="clear" w:pos="630"/>
        </w:tabs>
        <w:rPr>
          <w:rFonts w:hint="eastAsia"/>
        </w:rPr>
      </w:pPr>
      <w:bookmarkStart w:id="35" w:name="_Toc187270469"/>
      <w:r w:rsidRPr="00A4272B">
        <w:t>1.4</w:t>
      </w:r>
      <w:r w:rsidRPr="00A4272B">
        <w:tab/>
      </w:r>
      <w:r w:rsidR="00F3536C" w:rsidRPr="00A4272B">
        <w:t xml:space="preserve">Sustainability and </w:t>
      </w:r>
      <w:r w:rsidR="00541D5C" w:rsidRPr="00A4272B">
        <w:t>a</w:t>
      </w:r>
      <w:r w:rsidR="00F3536C" w:rsidRPr="00A4272B">
        <w:t>daptability of the GMP</w:t>
      </w:r>
      <w:bookmarkEnd w:id="35"/>
    </w:p>
    <w:p w14:paraId="517D6D1E" w14:textId="3F287BE7" w:rsidR="00541D5C" w:rsidRPr="00A4272B" w:rsidRDefault="00A75CFA" w:rsidP="00541D5C">
      <w:pPr>
        <w:rPr>
          <w:lang w:val="en-US"/>
        </w:rPr>
      </w:pPr>
      <w:bookmarkStart w:id="36" w:name="_Toc75140770"/>
      <w:r w:rsidRPr="00A4272B">
        <w:rPr>
          <w:lang w:val="en-US"/>
        </w:rPr>
        <w:t>GMP</w:t>
      </w:r>
      <w:r w:rsidR="00541D5C" w:rsidRPr="00A4272B">
        <w:rPr>
          <w:lang w:val="en-US"/>
        </w:rPr>
        <w:t xml:space="preserve"> plays a pivotal role in providing comparable monitoring data on levels and temporal trends of all POPs listed in the core media identified by the Stockholm Convention. Consistent monitoring data across the five UN regions is essential for evaluating the effectiveness of the Convention’s measures in protecting human health and the environment by reducing or eliminating POPs. Consequently, a rigorous and continuous long-term monitoring </w:t>
      </w:r>
      <w:r w:rsidR="002A6D39" w:rsidRPr="00A4272B">
        <w:rPr>
          <w:lang w:val="en-US"/>
        </w:rPr>
        <w:t xml:space="preserve">programme </w:t>
      </w:r>
      <w:r w:rsidR="00541D5C" w:rsidRPr="00A4272B">
        <w:rPr>
          <w:lang w:val="en-US"/>
        </w:rPr>
        <w:t>for POPs in core media (air, human tissue, and water for PFASs) is essential to fulfill the scientific requirements of Article 16. Since the Convention’s entry into force, three GMP implementation phases have been completed,</w:t>
      </w:r>
      <w:r w:rsidR="00A07373" w:rsidRPr="00A4272B">
        <w:rPr>
          <w:rStyle w:val="FootnoteReference"/>
          <w:lang w:val="en-US"/>
        </w:rPr>
        <w:footnoteReference w:id="9"/>
      </w:r>
      <w:r w:rsidR="00541D5C" w:rsidRPr="00A4272B">
        <w:rPr>
          <w:lang w:val="en-US"/>
        </w:rPr>
        <w:t xml:space="preserve"> with many long-term </w:t>
      </w:r>
      <w:r w:rsidR="002A6D39" w:rsidRPr="00A4272B">
        <w:rPr>
          <w:lang w:val="en-US"/>
        </w:rPr>
        <w:t xml:space="preserve">programmes </w:t>
      </w:r>
      <w:r w:rsidR="00541D5C" w:rsidRPr="00A4272B">
        <w:rPr>
          <w:lang w:val="en-US"/>
        </w:rPr>
        <w:t xml:space="preserve">consistently reporting on POP trends and expanding to address regional data gaps. New </w:t>
      </w:r>
      <w:r w:rsidR="002A6D39" w:rsidRPr="00A4272B">
        <w:rPr>
          <w:lang w:val="en-US"/>
        </w:rPr>
        <w:t xml:space="preserve">programmes </w:t>
      </w:r>
      <w:r w:rsidR="00541D5C" w:rsidRPr="00A4272B">
        <w:rPr>
          <w:lang w:val="en-US"/>
        </w:rPr>
        <w:t>have also been established to create baselines for future trend assessments.</w:t>
      </w:r>
    </w:p>
    <w:p w14:paraId="53D00345" w14:textId="65E0F381" w:rsidR="00541D5C" w:rsidRPr="00A4272B" w:rsidRDefault="00541D5C" w:rsidP="00541D5C">
      <w:pPr>
        <w:rPr>
          <w:lang w:val="en-US"/>
        </w:rPr>
      </w:pPr>
      <w:r w:rsidRPr="00A4272B">
        <w:rPr>
          <w:lang w:val="en-US"/>
        </w:rPr>
        <w:t xml:space="preserve">Since the Stockholm Convention’s entry into force in 2004, it has evolved from targeting the original 12 POPs to addressing 34 chemicals (as of 2024). The POPs Review Committee (POPRC) continues to evaluate </w:t>
      </w:r>
      <w:r w:rsidR="00C47764" w:rsidRPr="00A4272B">
        <w:rPr>
          <w:lang w:val="en-US"/>
        </w:rPr>
        <w:t>chemicals proposed for listing</w:t>
      </w:r>
      <w:r w:rsidRPr="00A4272B">
        <w:rPr>
          <w:lang w:val="en-US"/>
        </w:rPr>
        <w:t xml:space="preserve"> under the Convention, requiring monitoring </w:t>
      </w:r>
      <w:r w:rsidR="002A6D39" w:rsidRPr="00A4272B">
        <w:rPr>
          <w:lang w:val="en-US"/>
        </w:rPr>
        <w:t xml:space="preserve">programmes </w:t>
      </w:r>
      <w:r w:rsidRPr="00A4272B">
        <w:rPr>
          <w:lang w:val="en-US"/>
        </w:rPr>
        <w:t>to adapt to expanding requirements. Advances in science have also led to the integration of new methodologies in sampling, analysis, and data interpretation.</w:t>
      </w:r>
    </w:p>
    <w:p w14:paraId="6E1A5311" w14:textId="1DE86714" w:rsidR="00541D5C" w:rsidRPr="00A4272B" w:rsidRDefault="00541D5C" w:rsidP="00541D5C">
      <w:pPr>
        <w:rPr>
          <w:lang w:val="en-US"/>
        </w:rPr>
      </w:pPr>
      <w:r w:rsidRPr="00A4272B">
        <w:rPr>
          <w:lang w:val="en-US"/>
        </w:rPr>
        <w:t xml:space="preserve">Growing awareness of the need to improve communication across science-policy and policy-policy interfaces, as well as with the public, has led to new strategies for collaboration and outreach. These approaches aim to enhance the relevance and visibility of POP monitoring under the GMP (UNEP, 2024; Harner et al., 2024). Additionally, the intersection of chemical pollution with health, climate change, and biodiversity loss is prompting innovative, cross-disciplinary approaches for future monitoring and research, ensuring that </w:t>
      </w:r>
      <w:r w:rsidR="002A6D39" w:rsidRPr="00A4272B">
        <w:rPr>
          <w:lang w:val="en-US"/>
        </w:rPr>
        <w:t xml:space="preserve">programmes </w:t>
      </w:r>
      <w:r w:rsidRPr="00A4272B">
        <w:rPr>
          <w:lang w:val="en-US"/>
        </w:rPr>
        <w:t>remain current, adaptable, and sustainable.</w:t>
      </w:r>
    </w:p>
    <w:p w14:paraId="02F1ADB0" w14:textId="1DB35DEC" w:rsidR="00541D5C" w:rsidRPr="00A4272B" w:rsidRDefault="00541D5C" w:rsidP="0027449C">
      <w:pPr>
        <w:keepNext/>
        <w:rPr>
          <w:lang w:val="en-US"/>
        </w:rPr>
      </w:pPr>
      <w:r w:rsidRPr="00A4272B">
        <w:rPr>
          <w:lang w:val="en-US"/>
        </w:rPr>
        <w:lastRenderedPageBreak/>
        <w:t>Several key areas are identified as essential for advancing the GMP, organized by goals, challenges, and opportunities for a sustainable, forward-looking GMP</w:t>
      </w:r>
      <w:r w:rsidR="00045F7A" w:rsidRPr="00A4272B">
        <w:rPr>
          <w:lang w:val="en-US"/>
        </w:rPr>
        <w:t>, as follows:</w:t>
      </w:r>
    </w:p>
    <w:p w14:paraId="29DB607F" w14:textId="63A4C9EA" w:rsidR="00541D5C" w:rsidRPr="00A4272B" w:rsidRDefault="00621C23">
      <w:pPr>
        <w:pStyle w:val="ListParagraph"/>
        <w:keepNext/>
        <w:numPr>
          <w:ilvl w:val="0"/>
          <w:numId w:val="28"/>
        </w:numPr>
        <w:rPr>
          <w:b/>
          <w:bCs/>
        </w:rPr>
      </w:pPr>
      <w:r w:rsidRPr="00A4272B">
        <w:rPr>
          <w:b/>
          <w:bCs/>
        </w:rPr>
        <w:t>G</w:t>
      </w:r>
      <w:r w:rsidR="00541D5C" w:rsidRPr="00A4272B">
        <w:rPr>
          <w:b/>
          <w:bCs/>
        </w:rPr>
        <w:t>oals (as defined by the Convention)</w:t>
      </w:r>
      <w:r w:rsidR="003D14E0" w:rsidRPr="00A4272B">
        <w:rPr>
          <w:b/>
          <w:bCs/>
        </w:rPr>
        <w:t>:</w:t>
      </w:r>
    </w:p>
    <w:p w14:paraId="7738A5AE" w14:textId="0390CBFF" w:rsidR="00621C23" w:rsidRPr="00A4272B" w:rsidRDefault="00621C23">
      <w:pPr>
        <w:pStyle w:val="ListParagraph"/>
        <w:numPr>
          <w:ilvl w:val="0"/>
          <w:numId w:val="29"/>
        </w:numPr>
      </w:pPr>
      <w:r w:rsidRPr="00A4272B">
        <w:t>Ensure reliable, long-term measurements of POPs in core media, achieving good regional coverage across all five UN regions</w:t>
      </w:r>
      <w:r w:rsidR="003F50B4" w:rsidRPr="00A4272B">
        <w:t>;</w:t>
      </w:r>
    </w:p>
    <w:p w14:paraId="5339071C" w14:textId="30CF66BF" w:rsidR="00621C23" w:rsidRPr="00A4272B" w:rsidRDefault="00621C23">
      <w:pPr>
        <w:pStyle w:val="ListParagraph"/>
        <w:numPr>
          <w:ilvl w:val="0"/>
          <w:numId w:val="29"/>
        </w:numPr>
      </w:pPr>
      <w:r w:rsidRPr="00A4272B">
        <w:t>Develop and maintain systems and tools for storing, sharing, and interpreting data, such as the GMP Database, and utilize resources like ROGs and experts to support reporting per the GMP cycle</w:t>
      </w:r>
      <w:r w:rsidR="003F50B4" w:rsidRPr="00A4272B">
        <w:t>;</w:t>
      </w:r>
    </w:p>
    <w:p w14:paraId="4DD2A399" w14:textId="299B2C44" w:rsidR="00621C23" w:rsidRPr="00A4272B" w:rsidRDefault="00621C23">
      <w:pPr>
        <w:pStyle w:val="ListParagraph"/>
        <w:numPr>
          <w:ilvl w:val="0"/>
          <w:numId w:val="29"/>
        </w:numPr>
      </w:pPr>
      <w:r w:rsidRPr="00A4272B">
        <w:t>Foster cooperation within and between regions to enhance information sharing, technology transfer, capacity building, and training</w:t>
      </w:r>
      <w:r w:rsidR="003F50B4" w:rsidRPr="00A4272B">
        <w:t>;</w:t>
      </w:r>
    </w:p>
    <w:p w14:paraId="23DE2A69" w14:textId="021CD2DD" w:rsidR="00541D5C" w:rsidRPr="00A4272B" w:rsidRDefault="00621C23">
      <w:pPr>
        <w:pStyle w:val="ListParagraph"/>
        <w:numPr>
          <w:ilvl w:val="0"/>
          <w:numId w:val="29"/>
        </w:numPr>
      </w:pPr>
      <w:r w:rsidRPr="00A4272B">
        <w:t>Leverage POP monitoring data in other forums, including UNFCCC, CBD, health assessments, and SDG evaluations</w:t>
      </w:r>
      <w:r w:rsidR="00541D5C" w:rsidRPr="00A4272B">
        <w:t>.</w:t>
      </w:r>
    </w:p>
    <w:p w14:paraId="0DA412A4" w14:textId="40DDB7FF" w:rsidR="00541D5C" w:rsidRPr="00A4272B" w:rsidRDefault="00621C23">
      <w:pPr>
        <w:pStyle w:val="ListParagraph"/>
        <w:numPr>
          <w:ilvl w:val="0"/>
          <w:numId w:val="28"/>
        </w:numPr>
        <w:rPr>
          <w:b/>
          <w:bCs/>
        </w:rPr>
      </w:pPr>
      <w:r w:rsidRPr="00A4272B">
        <w:rPr>
          <w:b/>
          <w:bCs/>
        </w:rPr>
        <w:t>C</w:t>
      </w:r>
      <w:r w:rsidR="00541D5C" w:rsidRPr="00A4272B">
        <w:rPr>
          <w:b/>
          <w:bCs/>
        </w:rPr>
        <w:t>hallenges (based on three GMP cycles)</w:t>
      </w:r>
      <w:r w:rsidR="003D14E0" w:rsidRPr="00A4272B">
        <w:rPr>
          <w:b/>
          <w:bCs/>
        </w:rPr>
        <w:t>:</w:t>
      </w:r>
    </w:p>
    <w:p w14:paraId="78EF67B8" w14:textId="68823FE1" w:rsidR="00621C23" w:rsidRPr="00A4272B" w:rsidRDefault="00621C23">
      <w:pPr>
        <w:numPr>
          <w:ilvl w:val="0"/>
          <w:numId w:val="30"/>
        </w:numPr>
        <w:rPr>
          <w:lang w:val="en-US"/>
        </w:rPr>
      </w:pPr>
      <w:r w:rsidRPr="00A4272B">
        <w:rPr>
          <w:lang w:val="en-US"/>
        </w:rPr>
        <w:t>Address</w:t>
      </w:r>
      <w:r w:rsidR="003D14E0" w:rsidRPr="00A4272B">
        <w:rPr>
          <w:lang w:val="en-US"/>
        </w:rPr>
        <w:t>ing</w:t>
      </w:r>
      <w:r w:rsidRPr="00A4272B">
        <w:rPr>
          <w:lang w:val="en-US"/>
        </w:rPr>
        <w:t xml:space="preserve"> the increasing analysis and reporting requirements as the list of POPs expands</w:t>
      </w:r>
      <w:r w:rsidR="003F50B4" w:rsidRPr="00A4272B">
        <w:rPr>
          <w:lang w:val="en-US"/>
        </w:rPr>
        <w:t>;</w:t>
      </w:r>
    </w:p>
    <w:p w14:paraId="136AF25C" w14:textId="1E0F0FC8" w:rsidR="00621C23" w:rsidRPr="00A4272B" w:rsidRDefault="00621C23">
      <w:pPr>
        <w:numPr>
          <w:ilvl w:val="0"/>
          <w:numId w:val="30"/>
        </w:numPr>
        <w:rPr>
          <w:lang w:val="en-US"/>
        </w:rPr>
      </w:pPr>
      <w:r w:rsidRPr="00A4272B">
        <w:rPr>
          <w:lang w:val="en-US"/>
        </w:rPr>
        <w:t>Acquir</w:t>
      </w:r>
      <w:r w:rsidR="003D14E0" w:rsidRPr="00A4272B">
        <w:rPr>
          <w:lang w:val="en-US"/>
        </w:rPr>
        <w:t>ing</w:t>
      </w:r>
      <w:r w:rsidRPr="00A4272B">
        <w:rPr>
          <w:lang w:val="en-US"/>
        </w:rPr>
        <w:t xml:space="preserve"> and maintain</w:t>
      </w:r>
      <w:r w:rsidR="003D14E0" w:rsidRPr="00A4272B">
        <w:rPr>
          <w:lang w:val="en-US"/>
        </w:rPr>
        <w:t>ing</w:t>
      </w:r>
      <w:r w:rsidRPr="00A4272B">
        <w:rPr>
          <w:lang w:val="en-US"/>
        </w:rPr>
        <w:t xml:space="preserve"> specialized analytical equipment and techniques needed for detecting some POPs, especially at trace levels (e.g., in air)</w:t>
      </w:r>
      <w:r w:rsidR="003F50B4" w:rsidRPr="00A4272B">
        <w:rPr>
          <w:lang w:val="en-US"/>
        </w:rPr>
        <w:t>;</w:t>
      </w:r>
    </w:p>
    <w:p w14:paraId="08E07849" w14:textId="2E53D91D" w:rsidR="00621C23" w:rsidRPr="00A4272B" w:rsidRDefault="00621C23">
      <w:pPr>
        <w:numPr>
          <w:ilvl w:val="0"/>
          <w:numId w:val="30"/>
        </w:numPr>
        <w:rPr>
          <w:lang w:val="en-US"/>
        </w:rPr>
      </w:pPr>
      <w:r w:rsidRPr="00A4272B">
        <w:rPr>
          <w:lang w:val="en-US"/>
        </w:rPr>
        <w:t>Manag</w:t>
      </w:r>
      <w:r w:rsidR="003D14E0" w:rsidRPr="00A4272B">
        <w:rPr>
          <w:lang w:val="en-US"/>
        </w:rPr>
        <w:t>ing</w:t>
      </w:r>
      <w:r w:rsidRPr="00A4272B">
        <w:rPr>
          <w:lang w:val="en-US"/>
        </w:rPr>
        <w:t xml:space="preserve"> rising costs associated with monitoring additional POPs, which strain long-term </w:t>
      </w:r>
      <w:r w:rsidR="002A6D39" w:rsidRPr="00A4272B">
        <w:rPr>
          <w:lang w:val="en-US"/>
        </w:rPr>
        <w:t xml:space="preserve">programmes </w:t>
      </w:r>
      <w:r w:rsidRPr="00A4272B">
        <w:rPr>
          <w:lang w:val="en-US"/>
        </w:rPr>
        <w:t>and hinder the establishment of new ones</w:t>
      </w:r>
      <w:r w:rsidR="003F50B4" w:rsidRPr="00A4272B">
        <w:rPr>
          <w:lang w:val="en-US"/>
        </w:rPr>
        <w:t>;</w:t>
      </w:r>
    </w:p>
    <w:p w14:paraId="0D885796" w14:textId="1AB39090" w:rsidR="00541D5C" w:rsidRPr="00A4272B" w:rsidRDefault="00CA1AB2">
      <w:pPr>
        <w:numPr>
          <w:ilvl w:val="0"/>
          <w:numId w:val="30"/>
        </w:numPr>
        <w:rPr>
          <w:lang w:val="en-US"/>
        </w:rPr>
      </w:pPr>
      <w:r w:rsidRPr="00A4272B">
        <w:rPr>
          <w:lang w:val="en-US"/>
        </w:rPr>
        <w:t>Interpreting trends for an expanding list of POPs while incorporating new approaches related to chemical mixtures, including transformation products and non-targeted analysis (Escher et al., 2020; Liu et al., 2021), rather than focusing solely on a chemical-by-chemical basis. This approach aims to align with the Convention’s fundamental goal to “protect human health and the environment from the harmful effects of POPs.”</w:t>
      </w:r>
    </w:p>
    <w:p w14:paraId="4294D675" w14:textId="648EFD99" w:rsidR="00541D5C" w:rsidRPr="00A4272B" w:rsidRDefault="00621C23">
      <w:pPr>
        <w:pStyle w:val="ListParagraph"/>
        <w:numPr>
          <w:ilvl w:val="0"/>
          <w:numId w:val="28"/>
        </w:numPr>
        <w:rPr>
          <w:b/>
          <w:bCs/>
        </w:rPr>
      </w:pPr>
      <w:r w:rsidRPr="00A4272B">
        <w:rPr>
          <w:b/>
          <w:bCs/>
        </w:rPr>
        <w:t>O</w:t>
      </w:r>
      <w:r w:rsidR="00541D5C" w:rsidRPr="00A4272B">
        <w:rPr>
          <w:b/>
          <w:bCs/>
        </w:rPr>
        <w:t>pportunities and strategies</w:t>
      </w:r>
      <w:r w:rsidR="00CA1AB2" w:rsidRPr="00A4272B">
        <w:rPr>
          <w:b/>
          <w:bCs/>
        </w:rPr>
        <w:t>:</w:t>
      </w:r>
    </w:p>
    <w:p w14:paraId="7E91F79E" w14:textId="00994BCE" w:rsidR="00621C23" w:rsidRPr="00A4272B" w:rsidRDefault="00621C23">
      <w:pPr>
        <w:numPr>
          <w:ilvl w:val="0"/>
          <w:numId w:val="31"/>
        </w:numPr>
        <w:rPr>
          <w:lang w:val="en-US"/>
        </w:rPr>
      </w:pPr>
      <w:r w:rsidRPr="00A4272B">
        <w:rPr>
          <w:lang w:val="en-US"/>
        </w:rPr>
        <w:t>Form partnerships within and between regions to share expertise and resources, addressing challenges posed by the dynamic nature of the GMP</w:t>
      </w:r>
      <w:r w:rsidR="003F50B4" w:rsidRPr="00A4272B">
        <w:rPr>
          <w:lang w:val="en-US"/>
        </w:rPr>
        <w:t>;</w:t>
      </w:r>
    </w:p>
    <w:p w14:paraId="40D566A7" w14:textId="090F15DD" w:rsidR="00621C23" w:rsidRPr="00A4272B" w:rsidRDefault="00621C23">
      <w:pPr>
        <w:numPr>
          <w:ilvl w:val="0"/>
          <w:numId w:val="31"/>
        </w:numPr>
        <w:rPr>
          <w:lang w:val="en-US"/>
        </w:rPr>
      </w:pPr>
      <w:r w:rsidRPr="00A4272B">
        <w:rPr>
          <w:lang w:val="en-US"/>
        </w:rPr>
        <w:t>Use emissions data, satellite information, models, and other expertise to interpret existing data, prioritize data needs, and determine optimal analysis and sampling frequency for different POPs</w:t>
      </w:r>
      <w:r w:rsidR="003F50B4" w:rsidRPr="00A4272B">
        <w:rPr>
          <w:lang w:val="en-US"/>
        </w:rPr>
        <w:t>;</w:t>
      </w:r>
    </w:p>
    <w:p w14:paraId="55CFF10E" w14:textId="321AC55A" w:rsidR="00621C23" w:rsidRPr="00A4272B" w:rsidRDefault="00621C23">
      <w:pPr>
        <w:numPr>
          <w:ilvl w:val="0"/>
          <w:numId w:val="31"/>
        </w:numPr>
        <w:rPr>
          <w:lang w:val="en-US"/>
        </w:rPr>
      </w:pPr>
      <w:r w:rsidRPr="00A4272B">
        <w:rPr>
          <w:lang w:val="en-US"/>
        </w:rPr>
        <w:t>Enhance data accessibility and integrity by utilizing the GMP database and linking it to Global Earth Observations for multi-dimensional analysis</w:t>
      </w:r>
      <w:r w:rsidR="003F50B4" w:rsidRPr="00A4272B">
        <w:rPr>
          <w:lang w:val="en-US"/>
        </w:rPr>
        <w:t>;</w:t>
      </w:r>
    </w:p>
    <w:p w14:paraId="255F7E81" w14:textId="72FEC817" w:rsidR="00621C23" w:rsidRPr="00A4272B" w:rsidRDefault="00621C23">
      <w:pPr>
        <w:numPr>
          <w:ilvl w:val="0"/>
          <w:numId w:val="31"/>
        </w:numPr>
        <w:rPr>
          <w:lang w:val="en-US"/>
        </w:rPr>
      </w:pPr>
      <w:r w:rsidRPr="00A4272B">
        <w:rPr>
          <w:lang w:val="en-US"/>
        </w:rPr>
        <w:t>Archive samples ("banking") for future retrospective POP analysis</w:t>
      </w:r>
      <w:r w:rsidR="003F50B4" w:rsidRPr="00A4272B">
        <w:rPr>
          <w:lang w:val="en-US"/>
        </w:rPr>
        <w:t>;</w:t>
      </w:r>
    </w:p>
    <w:p w14:paraId="5B84DB3A" w14:textId="26E5B832" w:rsidR="00621C23" w:rsidRPr="00A4272B" w:rsidRDefault="00621C23">
      <w:pPr>
        <w:numPr>
          <w:ilvl w:val="0"/>
          <w:numId w:val="31"/>
        </w:numPr>
        <w:rPr>
          <w:lang w:val="en-US"/>
        </w:rPr>
      </w:pPr>
      <w:r w:rsidRPr="00A4272B">
        <w:rPr>
          <w:lang w:val="en-US"/>
        </w:rPr>
        <w:t xml:space="preserve">Leverage data from long-term </w:t>
      </w:r>
      <w:r w:rsidR="002A6D39" w:rsidRPr="00A4272B">
        <w:rPr>
          <w:lang w:val="en-US"/>
        </w:rPr>
        <w:t xml:space="preserve">programmes </w:t>
      </w:r>
      <w:r w:rsidRPr="00A4272B">
        <w:rPr>
          <w:lang w:val="en-US"/>
        </w:rPr>
        <w:t>monitoring non-core media to understand regional POP trends, especially where core media data is limited, and optimize core media activities accordingly</w:t>
      </w:r>
      <w:r w:rsidR="003F50B4" w:rsidRPr="00A4272B">
        <w:rPr>
          <w:lang w:val="en-US"/>
        </w:rPr>
        <w:t>;</w:t>
      </w:r>
    </w:p>
    <w:p w14:paraId="12DB1B09" w14:textId="2495B874" w:rsidR="00621C23" w:rsidRPr="00A4272B" w:rsidRDefault="00621C23">
      <w:pPr>
        <w:numPr>
          <w:ilvl w:val="0"/>
          <w:numId w:val="31"/>
        </w:numPr>
        <w:rPr>
          <w:lang w:val="en-US"/>
        </w:rPr>
      </w:pPr>
      <w:r w:rsidRPr="00A4272B">
        <w:rPr>
          <w:lang w:val="en-US"/>
        </w:rPr>
        <w:t>Apply new scientific tools (e.g., non-target analysis, toxicogenomics) to assess cumulative impacts from POP mixtures and evaluate exposure to humans and the environment</w:t>
      </w:r>
      <w:r w:rsidR="003F50B4" w:rsidRPr="00A4272B">
        <w:rPr>
          <w:lang w:val="en-US"/>
        </w:rPr>
        <w:t>;</w:t>
      </w:r>
    </w:p>
    <w:p w14:paraId="7AA8EF60" w14:textId="5C3027A9" w:rsidR="00621C23" w:rsidRPr="00A4272B" w:rsidRDefault="00621C23">
      <w:pPr>
        <w:numPr>
          <w:ilvl w:val="0"/>
          <w:numId w:val="31"/>
        </w:numPr>
        <w:rPr>
          <w:lang w:val="en-US"/>
        </w:rPr>
      </w:pPr>
      <w:r w:rsidRPr="00A4272B">
        <w:rPr>
          <w:lang w:val="en-US"/>
        </w:rPr>
        <w:t xml:space="preserve">Improve communication and coordination among international </w:t>
      </w:r>
      <w:r w:rsidR="002A6D39" w:rsidRPr="00A4272B">
        <w:rPr>
          <w:lang w:val="en-US"/>
        </w:rPr>
        <w:t xml:space="preserve">programmes </w:t>
      </w:r>
      <w:r w:rsidRPr="00A4272B">
        <w:rPr>
          <w:lang w:val="en-US"/>
        </w:rPr>
        <w:t>addressing POPs to support informed decision-making, engaging groups such as GMP (ROG members and experts), POPRC, UNECE LRTAP/task force on HTAP, AMAP, WHO, GEF, SAICM, GEO, and EU Framework Programmes</w:t>
      </w:r>
      <w:r w:rsidR="003F50B4" w:rsidRPr="00A4272B">
        <w:rPr>
          <w:lang w:val="en-US"/>
        </w:rPr>
        <w:t>;</w:t>
      </w:r>
    </w:p>
    <w:p w14:paraId="62044C34" w14:textId="757B3B0D" w:rsidR="00541D5C" w:rsidRPr="00A4272B" w:rsidRDefault="00CA1AB2">
      <w:pPr>
        <w:numPr>
          <w:ilvl w:val="0"/>
          <w:numId w:val="31"/>
        </w:numPr>
        <w:rPr>
          <w:lang w:val="en-US"/>
        </w:rPr>
      </w:pPr>
      <w:r w:rsidRPr="00A4272B">
        <w:rPr>
          <w:lang w:val="en-US"/>
        </w:rPr>
        <w:t>I</w:t>
      </w:r>
      <w:r w:rsidR="00621C23" w:rsidRPr="00A4272B">
        <w:rPr>
          <w:lang w:val="en-US"/>
        </w:rPr>
        <w:t>ntegrate science-policy and policy-policy efforts to monitor POPs in ways that intersect with biodiversity, climate change, and health initiatives (UNEP, 2024; decision SC-11/21)</w:t>
      </w:r>
      <w:r w:rsidR="00541D5C" w:rsidRPr="00A4272B">
        <w:rPr>
          <w:lang w:val="en-US"/>
        </w:rPr>
        <w:t>.</w:t>
      </w:r>
    </w:p>
    <w:p w14:paraId="59EC52B6" w14:textId="77777777" w:rsidR="00541D5C" w:rsidRPr="00A4272B" w:rsidRDefault="00541D5C" w:rsidP="00541D5C">
      <w:pPr>
        <w:rPr>
          <w:lang w:val="en-US"/>
        </w:rPr>
      </w:pPr>
      <w:r w:rsidRPr="00A4272B">
        <w:rPr>
          <w:lang w:val="en-US"/>
        </w:rPr>
        <w:t>Existing POPs monitoring in core matrices (air and human breast milk) has successfully supported the preparation of regional and global monitoring reports for over a decade.</w:t>
      </w:r>
    </w:p>
    <w:p w14:paraId="5A2DF891" w14:textId="467D8983" w:rsidR="00541D5C" w:rsidRPr="00A4272B" w:rsidRDefault="00C47764">
      <w:pPr>
        <w:pStyle w:val="ListParagraph"/>
        <w:numPr>
          <w:ilvl w:val="0"/>
          <w:numId w:val="28"/>
        </w:numPr>
        <w:rPr>
          <w:b/>
          <w:bCs/>
        </w:rPr>
      </w:pPr>
      <w:r w:rsidRPr="00A4272B">
        <w:rPr>
          <w:b/>
          <w:bCs/>
        </w:rPr>
        <w:t>R</w:t>
      </w:r>
      <w:r w:rsidR="00541D5C" w:rsidRPr="00A4272B">
        <w:rPr>
          <w:b/>
          <w:bCs/>
        </w:rPr>
        <w:t xml:space="preserve">ecommendations from the </w:t>
      </w:r>
      <w:r w:rsidR="00E1608A" w:rsidRPr="00A4272B">
        <w:rPr>
          <w:b/>
          <w:bCs/>
        </w:rPr>
        <w:t>g</w:t>
      </w:r>
      <w:r w:rsidR="00541D5C" w:rsidRPr="00A4272B">
        <w:rPr>
          <w:b/>
          <w:bCs/>
        </w:rPr>
        <w:t xml:space="preserve">lobal </w:t>
      </w:r>
      <w:r w:rsidR="00E1608A" w:rsidRPr="00A4272B">
        <w:rPr>
          <w:b/>
          <w:bCs/>
        </w:rPr>
        <w:t>c</w:t>
      </w:r>
      <w:r w:rsidR="00541D5C" w:rsidRPr="00A4272B">
        <w:rPr>
          <w:b/>
          <w:bCs/>
        </w:rPr>
        <w:t xml:space="preserve">oordination </w:t>
      </w:r>
      <w:r w:rsidR="00E1608A" w:rsidRPr="00A4272B">
        <w:rPr>
          <w:b/>
          <w:bCs/>
        </w:rPr>
        <w:t>g</w:t>
      </w:r>
      <w:r w:rsidR="00A07373" w:rsidRPr="00A4272B">
        <w:rPr>
          <w:b/>
          <w:bCs/>
        </w:rPr>
        <w:t xml:space="preserve">roup </w:t>
      </w:r>
      <w:r w:rsidR="00541D5C" w:rsidRPr="00A4272B">
        <w:rPr>
          <w:b/>
          <w:bCs/>
        </w:rPr>
        <w:t xml:space="preserve">and </w:t>
      </w:r>
      <w:r w:rsidR="00E1608A" w:rsidRPr="00A4272B">
        <w:rPr>
          <w:b/>
          <w:bCs/>
        </w:rPr>
        <w:t>r</w:t>
      </w:r>
      <w:r w:rsidR="00541D5C" w:rsidRPr="00A4272B">
        <w:rPr>
          <w:b/>
          <w:bCs/>
        </w:rPr>
        <w:t xml:space="preserve">egional </w:t>
      </w:r>
      <w:r w:rsidR="00E1608A" w:rsidRPr="00A4272B">
        <w:rPr>
          <w:b/>
          <w:bCs/>
        </w:rPr>
        <w:t>o</w:t>
      </w:r>
      <w:r w:rsidR="00541D5C" w:rsidRPr="00A4272B">
        <w:rPr>
          <w:b/>
          <w:bCs/>
        </w:rPr>
        <w:t xml:space="preserve">rganization </w:t>
      </w:r>
      <w:r w:rsidR="00E1608A" w:rsidRPr="00A4272B">
        <w:rPr>
          <w:b/>
          <w:bCs/>
        </w:rPr>
        <w:t>g</w:t>
      </w:r>
      <w:r w:rsidR="00541D5C" w:rsidRPr="00A4272B">
        <w:rPr>
          <w:b/>
          <w:bCs/>
        </w:rPr>
        <w:t>roups</w:t>
      </w:r>
      <w:r w:rsidR="00CA1AB2" w:rsidRPr="00A4272B">
        <w:rPr>
          <w:b/>
          <w:bCs/>
        </w:rPr>
        <w:t>:</w:t>
      </w:r>
    </w:p>
    <w:p w14:paraId="38AF3798" w14:textId="667DAA86" w:rsidR="00621C23" w:rsidRPr="00A4272B" w:rsidRDefault="00621C23">
      <w:pPr>
        <w:numPr>
          <w:ilvl w:val="0"/>
          <w:numId w:val="32"/>
        </w:numPr>
        <w:rPr>
          <w:lang w:val="en-US"/>
        </w:rPr>
      </w:pPr>
      <w:r w:rsidRPr="00A4272B">
        <w:rPr>
          <w:lang w:val="en-US"/>
        </w:rPr>
        <w:t>Ensure long-term availability and comparability of data in core media for the continuity of the GMP</w:t>
      </w:r>
      <w:r w:rsidR="003F50B4" w:rsidRPr="00A4272B">
        <w:rPr>
          <w:lang w:val="en-US"/>
        </w:rPr>
        <w:t>;</w:t>
      </w:r>
    </w:p>
    <w:p w14:paraId="34F4958A" w14:textId="7299E1D1" w:rsidR="00621C23" w:rsidRPr="00A4272B" w:rsidRDefault="00621C23">
      <w:pPr>
        <w:numPr>
          <w:ilvl w:val="0"/>
          <w:numId w:val="32"/>
        </w:numPr>
        <w:rPr>
          <w:lang w:val="en-US"/>
        </w:rPr>
      </w:pPr>
      <w:r w:rsidRPr="00A4272B">
        <w:rPr>
          <w:lang w:val="en-US"/>
        </w:rPr>
        <w:t>Link monitoring, sampling, and analysis of POPs to solid infrastructure and reliable systems to maintain high-quality results</w:t>
      </w:r>
      <w:r w:rsidR="003F50B4" w:rsidRPr="00A4272B">
        <w:rPr>
          <w:lang w:val="en-US"/>
        </w:rPr>
        <w:t>;</w:t>
      </w:r>
    </w:p>
    <w:p w14:paraId="4BEA4CED" w14:textId="01354E89" w:rsidR="00541D5C" w:rsidRPr="00A4272B" w:rsidRDefault="00621C23">
      <w:pPr>
        <w:numPr>
          <w:ilvl w:val="0"/>
          <w:numId w:val="32"/>
        </w:numPr>
        <w:rPr>
          <w:lang w:val="en-US"/>
        </w:rPr>
      </w:pPr>
      <w:r w:rsidRPr="00A4272B">
        <w:rPr>
          <w:lang w:val="en-US"/>
        </w:rPr>
        <w:t>Implement pragmatic actions to address the demands of the Convention’s expanding scope and relieve pressure on global analytical capacity</w:t>
      </w:r>
      <w:r w:rsidR="003F50B4" w:rsidRPr="00A4272B">
        <w:rPr>
          <w:lang w:val="en-US"/>
        </w:rPr>
        <w:t>.</w:t>
      </w:r>
    </w:p>
    <w:p w14:paraId="7695EFAB" w14:textId="50D0A6C1" w:rsidR="00541D5C" w:rsidRPr="00A4272B" w:rsidRDefault="00541D5C">
      <w:pPr>
        <w:pStyle w:val="ListParagraph"/>
        <w:keepNext/>
        <w:numPr>
          <w:ilvl w:val="0"/>
          <w:numId w:val="28"/>
        </w:numPr>
      </w:pPr>
      <w:r w:rsidRPr="00A4272B">
        <w:rPr>
          <w:b/>
          <w:bCs/>
        </w:rPr>
        <w:lastRenderedPageBreak/>
        <w:t xml:space="preserve">Essential </w:t>
      </w:r>
      <w:r w:rsidR="00A07373" w:rsidRPr="00A4272B">
        <w:rPr>
          <w:b/>
          <w:bCs/>
        </w:rPr>
        <w:t>r</w:t>
      </w:r>
      <w:r w:rsidRPr="00A4272B">
        <w:rPr>
          <w:b/>
          <w:bCs/>
        </w:rPr>
        <w:t xml:space="preserve">equirements for a </w:t>
      </w:r>
      <w:r w:rsidR="00A07373" w:rsidRPr="00A4272B">
        <w:rPr>
          <w:b/>
          <w:bCs/>
        </w:rPr>
        <w:t>g</w:t>
      </w:r>
      <w:r w:rsidRPr="00A4272B">
        <w:rPr>
          <w:b/>
          <w:bCs/>
        </w:rPr>
        <w:t xml:space="preserve">lobal, </w:t>
      </w:r>
      <w:r w:rsidR="00A07373" w:rsidRPr="00A4272B">
        <w:rPr>
          <w:b/>
          <w:bCs/>
        </w:rPr>
        <w:t>s</w:t>
      </w:r>
      <w:r w:rsidRPr="00A4272B">
        <w:rPr>
          <w:b/>
          <w:bCs/>
        </w:rPr>
        <w:t xml:space="preserve">ustainable POPs </w:t>
      </w:r>
      <w:r w:rsidR="00A07373" w:rsidRPr="00A4272B">
        <w:rPr>
          <w:b/>
          <w:bCs/>
        </w:rPr>
        <w:t>m</w:t>
      </w:r>
      <w:r w:rsidRPr="00A4272B">
        <w:rPr>
          <w:b/>
          <w:bCs/>
        </w:rPr>
        <w:t xml:space="preserve">onitoring </w:t>
      </w:r>
      <w:r w:rsidR="00A07373" w:rsidRPr="00A4272B">
        <w:rPr>
          <w:b/>
          <w:bCs/>
        </w:rPr>
        <w:t>p</w:t>
      </w:r>
      <w:r w:rsidRPr="00A4272B">
        <w:rPr>
          <w:b/>
          <w:bCs/>
        </w:rPr>
        <w:t>rogram</w:t>
      </w:r>
      <w:r w:rsidR="00A07373" w:rsidRPr="00A4272B">
        <w:rPr>
          <w:b/>
          <w:bCs/>
        </w:rPr>
        <w:t>me</w:t>
      </w:r>
      <w:r w:rsidR="00CA1AB2" w:rsidRPr="00A4272B">
        <w:rPr>
          <w:b/>
          <w:bCs/>
        </w:rPr>
        <w:t>:</w:t>
      </w:r>
    </w:p>
    <w:p w14:paraId="71186F93" w14:textId="2F0FCFDC" w:rsidR="00541D5C" w:rsidRPr="00A4272B" w:rsidRDefault="00541D5C">
      <w:pPr>
        <w:numPr>
          <w:ilvl w:val="0"/>
          <w:numId w:val="33"/>
        </w:numPr>
        <w:rPr>
          <w:lang w:val="en-US"/>
        </w:rPr>
      </w:pPr>
      <w:r w:rsidRPr="00A4272B">
        <w:rPr>
          <w:b/>
          <w:bCs/>
          <w:lang w:val="en-US"/>
        </w:rPr>
        <w:t>Air:</w:t>
      </w:r>
      <w:r w:rsidRPr="00A4272B">
        <w:rPr>
          <w:lang w:val="en-US"/>
        </w:rPr>
        <w:t xml:space="preserve"> International partnerships on ambient air POP monitoring, developed since the early 2000s, have harmonized and cost-effectively calibrated activities. These </w:t>
      </w:r>
      <w:r w:rsidR="002A6D39" w:rsidRPr="00A4272B">
        <w:rPr>
          <w:lang w:val="en-US"/>
        </w:rPr>
        <w:t xml:space="preserve">programmes </w:t>
      </w:r>
      <w:r w:rsidRPr="00A4272B">
        <w:rPr>
          <w:lang w:val="en-US"/>
        </w:rPr>
        <w:t>provide archival opportunities and should be maintained and optimized to support long-term trends and fill existing gaps. Additional sampling sites are encouraged to monitor background concentrations, supporting long-range transport and trend data</w:t>
      </w:r>
      <w:r w:rsidR="003F50B4" w:rsidRPr="00A4272B">
        <w:rPr>
          <w:lang w:val="en-US"/>
        </w:rPr>
        <w:t>;</w:t>
      </w:r>
    </w:p>
    <w:p w14:paraId="517D4F5D" w14:textId="440E9FD8" w:rsidR="00541D5C" w:rsidRPr="00A4272B" w:rsidRDefault="00541D5C">
      <w:pPr>
        <w:numPr>
          <w:ilvl w:val="0"/>
          <w:numId w:val="33"/>
        </w:numPr>
        <w:rPr>
          <w:lang w:val="en-US"/>
        </w:rPr>
      </w:pPr>
      <w:r w:rsidRPr="00A4272B">
        <w:rPr>
          <w:b/>
          <w:bCs/>
          <w:lang w:val="en-US"/>
        </w:rPr>
        <w:t xml:space="preserve">Human </w:t>
      </w:r>
      <w:r w:rsidR="003F50B4" w:rsidRPr="00A4272B">
        <w:rPr>
          <w:b/>
          <w:bCs/>
          <w:lang w:val="en-US"/>
        </w:rPr>
        <w:t>m</w:t>
      </w:r>
      <w:r w:rsidRPr="00A4272B">
        <w:rPr>
          <w:b/>
          <w:bCs/>
          <w:lang w:val="en-US"/>
        </w:rPr>
        <w:t>ilk:</w:t>
      </w:r>
      <w:r w:rsidRPr="00A4272B">
        <w:rPr>
          <w:lang w:val="en-US"/>
        </w:rPr>
        <w:t xml:space="preserve"> UNEP’s support for POP monitoring in human milk in developing countries has been effective and cost-efficient, creating a valuable archive of samples and data. The POPs monitoring survey should continue with UNEP’s centralized organization every five years, following a consistent sampling protocol, laboratory analysis, and a focus on trends to accurately assess human exposure. Collaboration with human biomonitoring partnerships (e.g., WHO, 2024) is recommended to further support these efforts</w:t>
      </w:r>
      <w:r w:rsidR="003F50B4" w:rsidRPr="00A4272B">
        <w:rPr>
          <w:lang w:val="en-US"/>
        </w:rPr>
        <w:t>;</w:t>
      </w:r>
    </w:p>
    <w:p w14:paraId="4F5A9174" w14:textId="3FA96FB7" w:rsidR="00541D5C" w:rsidRPr="00A4272B" w:rsidRDefault="00541D5C">
      <w:pPr>
        <w:numPr>
          <w:ilvl w:val="0"/>
          <w:numId w:val="33"/>
        </w:numPr>
        <w:rPr>
          <w:lang w:val="en-US"/>
        </w:rPr>
      </w:pPr>
      <w:r w:rsidRPr="00A4272B">
        <w:rPr>
          <w:b/>
          <w:bCs/>
          <w:lang w:val="en-US"/>
        </w:rPr>
        <w:t>Water:</w:t>
      </w:r>
      <w:r w:rsidRPr="00A4272B">
        <w:rPr>
          <w:lang w:val="en-US"/>
        </w:rPr>
        <w:t xml:space="preserve"> Since 2019, water POP monitoring has seen significant research development. This </w:t>
      </w:r>
      <w:r w:rsidR="002A6D39" w:rsidRPr="00A4272B">
        <w:rPr>
          <w:lang w:val="en-US"/>
        </w:rPr>
        <w:t xml:space="preserve">programme </w:t>
      </w:r>
      <w:r w:rsidRPr="00A4272B">
        <w:rPr>
          <w:lang w:val="en-US"/>
        </w:rPr>
        <w:t>should be further developed and consolidated, focusing on identifying trend data, aligning international activities, and enabling regional trend interpretation. GMP4 could provide baseline data that is geographically representative and, in some cases, indicate trends.</w:t>
      </w:r>
    </w:p>
    <w:p w14:paraId="608AF3D8" w14:textId="5BDE9566" w:rsidR="00541D5C" w:rsidRPr="00A4272B" w:rsidRDefault="00541D5C">
      <w:pPr>
        <w:pStyle w:val="ListParagraph"/>
        <w:numPr>
          <w:ilvl w:val="0"/>
          <w:numId w:val="28"/>
        </w:numPr>
      </w:pPr>
      <w:r w:rsidRPr="00A4272B">
        <w:rPr>
          <w:b/>
          <w:bCs/>
        </w:rPr>
        <w:t xml:space="preserve">Crosscutting </w:t>
      </w:r>
      <w:r w:rsidR="00621C23" w:rsidRPr="00A4272B">
        <w:rPr>
          <w:b/>
          <w:bCs/>
        </w:rPr>
        <w:t>e</w:t>
      </w:r>
      <w:r w:rsidRPr="00A4272B">
        <w:rPr>
          <w:b/>
          <w:bCs/>
        </w:rPr>
        <w:t>lements</w:t>
      </w:r>
      <w:r w:rsidR="00CA1AB2" w:rsidRPr="00A4272B">
        <w:rPr>
          <w:b/>
          <w:bCs/>
        </w:rPr>
        <w:t>:</w:t>
      </w:r>
    </w:p>
    <w:p w14:paraId="65EA683D" w14:textId="0EADC09D" w:rsidR="00045F7A" w:rsidRPr="00A4272B" w:rsidRDefault="00045F7A">
      <w:pPr>
        <w:numPr>
          <w:ilvl w:val="0"/>
          <w:numId w:val="34"/>
        </w:numPr>
        <w:rPr>
          <w:lang w:val="en-US"/>
        </w:rPr>
      </w:pPr>
      <w:r w:rsidRPr="00A4272B">
        <w:rPr>
          <w:lang w:val="en-US"/>
        </w:rPr>
        <w:t>Conduct regular training and capacity-building to enhance the effective implementation of GMP activities, data interpretation, and science-policy communication</w:t>
      </w:r>
      <w:r w:rsidR="003F50B4" w:rsidRPr="00A4272B">
        <w:rPr>
          <w:lang w:val="en-US"/>
        </w:rPr>
        <w:t>;</w:t>
      </w:r>
    </w:p>
    <w:p w14:paraId="6CADE7A4" w14:textId="658A0D7C" w:rsidR="00045F7A" w:rsidRPr="00A4272B" w:rsidRDefault="00045F7A">
      <w:pPr>
        <w:numPr>
          <w:ilvl w:val="0"/>
          <w:numId w:val="34"/>
        </w:numPr>
        <w:rPr>
          <w:lang w:val="en-US"/>
        </w:rPr>
      </w:pPr>
      <w:r w:rsidRPr="00A4272B">
        <w:rPr>
          <w:lang w:val="en-US"/>
        </w:rPr>
        <w:t>Update monitoring tools and GMP guidance continuously to align with the Convention’s expanding scope and scientific advancements</w:t>
      </w:r>
      <w:r w:rsidR="003F50B4" w:rsidRPr="00A4272B">
        <w:rPr>
          <w:lang w:val="en-US"/>
        </w:rPr>
        <w:t>;</w:t>
      </w:r>
    </w:p>
    <w:p w14:paraId="669C659A" w14:textId="56E68BF6" w:rsidR="00045F7A" w:rsidRPr="00A4272B" w:rsidRDefault="00045F7A">
      <w:pPr>
        <w:numPr>
          <w:ilvl w:val="0"/>
          <w:numId w:val="34"/>
        </w:numPr>
        <w:rPr>
          <w:lang w:val="en-US"/>
        </w:rPr>
      </w:pPr>
      <w:r w:rsidRPr="00A4272B">
        <w:rPr>
          <w:lang w:val="en-US"/>
        </w:rPr>
        <w:t xml:space="preserve">Integrate with other chemical pollution monitoring </w:t>
      </w:r>
      <w:r w:rsidR="002A6D39" w:rsidRPr="00A4272B">
        <w:rPr>
          <w:lang w:val="en-US"/>
        </w:rPr>
        <w:t xml:space="preserve">programmes </w:t>
      </w:r>
      <w:r w:rsidRPr="00A4272B">
        <w:rPr>
          <w:lang w:val="en-US"/>
        </w:rPr>
        <w:t xml:space="preserve">to reduce costs and enrich data interpretation (e.g., co-deploy samplers for POPs and other pollutants such as </w:t>
      </w:r>
      <w:r w:rsidR="00E1202D" w:rsidRPr="00A4272B">
        <w:rPr>
          <w:lang w:val="en-US"/>
        </w:rPr>
        <w:t>mercury</w:t>
      </w:r>
      <w:r w:rsidRPr="00A4272B">
        <w:rPr>
          <w:lang w:val="en-US"/>
        </w:rPr>
        <w:t xml:space="preserve"> from the Minamata Convention)</w:t>
      </w:r>
      <w:r w:rsidR="003F50B4" w:rsidRPr="00A4272B">
        <w:rPr>
          <w:lang w:val="en-US"/>
        </w:rPr>
        <w:t>;</w:t>
      </w:r>
    </w:p>
    <w:p w14:paraId="18F2BBDC" w14:textId="33D82D3F" w:rsidR="00045F7A" w:rsidRPr="00A4272B" w:rsidRDefault="00045F7A">
      <w:pPr>
        <w:numPr>
          <w:ilvl w:val="0"/>
          <w:numId w:val="34"/>
        </w:numPr>
        <w:rPr>
          <w:lang w:val="en-US"/>
        </w:rPr>
      </w:pPr>
      <w:r w:rsidRPr="00A4272B">
        <w:rPr>
          <w:lang w:val="en-US"/>
        </w:rPr>
        <w:t>Establish linkages to health assessments and adopt new methodologies to evaluate the health impacts of POP mixtures</w:t>
      </w:r>
      <w:r w:rsidR="003F50B4" w:rsidRPr="00A4272B">
        <w:rPr>
          <w:lang w:val="en-US"/>
        </w:rPr>
        <w:t>;</w:t>
      </w:r>
    </w:p>
    <w:p w14:paraId="331DA484" w14:textId="234E7B71" w:rsidR="00045F7A" w:rsidRPr="00A4272B" w:rsidRDefault="00045F7A">
      <w:pPr>
        <w:numPr>
          <w:ilvl w:val="0"/>
          <w:numId w:val="34"/>
        </w:numPr>
        <w:rPr>
          <w:lang w:val="en-US"/>
        </w:rPr>
      </w:pPr>
      <w:r w:rsidRPr="00A4272B">
        <w:rPr>
          <w:lang w:val="en-US"/>
        </w:rPr>
        <w:t>Connect with biodiversity initiatives to support the Kunming-Montreal Global Biodiversity Framework</w:t>
      </w:r>
      <w:r w:rsidR="003F50B4" w:rsidRPr="00A4272B">
        <w:rPr>
          <w:lang w:val="en-US"/>
        </w:rPr>
        <w:t>;</w:t>
      </w:r>
    </w:p>
    <w:p w14:paraId="133D1B45" w14:textId="4B66C24E" w:rsidR="00045F7A" w:rsidRPr="00A4272B" w:rsidRDefault="00045F7A">
      <w:pPr>
        <w:numPr>
          <w:ilvl w:val="0"/>
          <w:numId w:val="34"/>
        </w:numPr>
        <w:rPr>
          <w:lang w:val="en-US"/>
        </w:rPr>
      </w:pPr>
      <w:r w:rsidRPr="00A4272B">
        <w:rPr>
          <w:lang w:val="en-US"/>
        </w:rPr>
        <w:t>Apply insights into climate change impacts on POP levels and trends in GMP reporting</w:t>
      </w:r>
      <w:r w:rsidR="003F50B4" w:rsidRPr="00A4272B">
        <w:rPr>
          <w:lang w:val="en-US"/>
        </w:rPr>
        <w:t>;</w:t>
      </w:r>
    </w:p>
    <w:p w14:paraId="2A4BEC33" w14:textId="6983FFEF" w:rsidR="00045F7A" w:rsidRPr="00A4272B" w:rsidRDefault="00045F7A">
      <w:pPr>
        <w:numPr>
          <w:ilvl w:val="0"/>
          <w:numId w:val="34"/>
        </w:numPr>
        <w:rPr>
          <w:lang w:val="en-US"/>
        </w:rPr>
      </w:pPr>
      <w:r w:rsidRPr="00A4272B">
        <w:rPr>
          <w:lang w:val="en-US"/>
        </w:rPr>
        <w:t>Partner with modelers to improve understanding of temporal trend data, distinguish between primary and secondary emissions, and assess Convention effectiveness under Article 16</w:t>
      </w:r>
      <w:r w:rsidR="003F50B4" w:rsidRPr="00A4272B">
        <w:rPr>
          <w:lang w:val="en-US"/>
        </w:rPr>
        <w:t>;</w:t>
      </w:r>
    </w:p>
    <w:p w14:paraId="3DB13AF7" w14:textId="47CFE10D" w:rsidR="00045F7A" w:rsidRPr="00A4272B" w:rsidRDefault="00045F7A">
      <w:pPr>
        <w:numPr>
          <w:ilvl w:val="0"/>
          <w:numId w:val="34"/>
        </w:numPr>
        <w:rPr>
          <w:lang w:val="en-US"/>
        </w:rPr>
      </w:pPr>
      <w:r w:rsidRPr="00A4272B">
        <w:rPr>
          <w:lang w:val="en-US"/>
        </w:rPr>
        <w:t>Use satellite data and other data sources for enhanced interpretation of POP trends</w:t>
      </w:r>
      <w:r w:rsidR="003F50B4" w:rsidRPr="00A4272B">
        <w:rPr>
          <w:lang w:val="en-US"/>
        </w:rPr>
        <w:t>;</w:t>
      </w:r>
    </w:p>
    <w:p w14:paraId="532FF8C9" w14:textId="54E649CF" w:rsidR="00045F7A" w:rsidRPr="00A4272B" w:rsidRDefault="00045F7A">
      <w:pPr>
        <w:numPr>
          <w:ilvl w:val="0"/>
          <w:numId w:val="34"/>
        </w:numPr>
        <w:rPr>
          <w:lang w:val="en-US"/>
        </w:rPr>
      </w:pPr>
      <w:r w:rsidRPr="00A4272B">
        <w:rPr>
          <w:lang w:val="en-US"/>
        </w:rPr>
        <w:t xml:space="preserve">Implement an interlaboratory assessment </w:t>
      </w:r>
      <w:r w:rsidR="002A6D39" w:rsidRPr="00A4272B">
        <w:rPr>
          <w:lang w:val="en-US"/>
        </w:rPr>
        <w:t xml:space="preserve">programme </w:t>
      </w:r>
      <w:r w:rsidRPr="00A4272B">
        <w:rPr>
          <w:lang w:val="en-US"/>
        </w:rPr>
        <w:t>to ensure effective and cost-efficient QA/QC</w:t>
      </w:r>
      <w:r w:rsidR="003F50B4" w:rsidRPr="00A4272B">
        <w:rPr>
          <w:lang w:val="en-US"/>
        </w:rPr>
        <w:t>;</w:t>
      </w:r>
    </w:p>
    <w:p w14:paraId="46E084AD" w14:textId="726815CD" w:rsidR="00541D5C" w:rsidRPr="00A4272B" w:rsidRDefault="00045F7A">
      <w:pPr>
        <w:numPr>
          <w:ilvl w:val="0"/>
          <w:numId w:val="34"/>
        </w:numPr>
        <w:rPr>
          <w:lang w:val="en-US"/>
        </w:rPr>
      </w:pPr>
      <w:r w:rsidRPr="00A4272B">
        <w:rPr>
          <w:lang w:val="en-US"/>
        </w:rPr>
        <w:t>Develop communication and outreach strategies to bridge science, policy, public awareness, industry, and engagement with vulnerable communities and Indigenous groups</w:t>
      </w:r>
      <w:r w:rsidR="00541D5C" w:rsidRPr="00A4272B">
        <w:rPr>
          <w:lang w:val="en-US"/>
        </w:rPr>
        <w:t>.</w:t>
      </w:r>
    </w:p>
    <w:p w14:paraId="2E4EBFA2" w14:textId="77777777" w:rsidR="00541D5C" w:rsidRPr="00A4272B" w:rsidRDefault="00541D5C" w:rsidP="00541D5C">
      <w:pPr>
        <w:rPr>
          <w:lang w:val="en-US"/>
        </w:rPr>
      </w:pPr>
      <w:r w:rsidRPr="00A4272B">
        <w:rPr>
          <w:lang w:val="en-US"/>
        </w:rPr>
        <w:t>This comprehensive approach aims to strengthen POP monitoring, ensuring it is scientifically robust, adaptive, and sustainable for long-term Convention goals.</w:t>
      </w:r>
    </w:p>
    <w:p w14:paraId="6CFD7517" w14:textId="649C2E91" w:rsidR="00F3536C" w:rsidRPr="00A4272B" w:rsidRDefault="004940D1" w:rsidP="002A04E0">
      <w:pPr>
        <w:pStyle w:val="GMPHeading1"/>
        <w:rPr>
          <w:rFonts w:hint="eastAsia"/>
        </w:rPr>
      </w:pPr>
      <w:bookmarkStart w:id="37" w:name="_Toc187270470"/>
      <w:r w:rsidRPr="00A4272B">
        <w:t>2.</w:t>
      </w:r>
      <w:r w:rsidRPr="00A4272B">
        <w:tab/>
      </w:r>
      <w:r w:rsidR="00F3536C" w:rsidRPr="00A4272B">
        <w:t>Substances to be monitored</w:t>
      </w:r>
      <w:bookmarkEnd w:id="36"/>
      <w:bookmarkEnd w:id="37"/>
    </w:p>
    <w:p w14:paraId="5281DB48" w14:textId="2D65E00C" w:rsidR="00F3536C" w:rsidRPr="00A4272B" w:rsidRDefault="004940D1" w:rsidP="006E024F">
      <w:pPr>
        <w:pStyle w:val="GMPHeading2"/>
        <w:tabs>
          <w:tab w:val="clear" w:pos="360"/>
          <w:tab w:val="clear" w:pos="450"/>
          <w:tab w:val="clear" w:pos="540"/>
          <w:tab w:val="clear" w:pos="630"/>
        </w:tabs>
        <w:rPr>
          <w:rFonts w:hint="eastAsia"/>
        </w:rPr>
      </w:pPr>
      <w:bookmarkStart w:id="38" w:name="_Toc75140771"/>
      <w:bookmarkStart w:id="39" w:name="_Toc187270471"/>
      <w:r w:rsidRPr="00A4272B">
        <w:t>2.1</w:t>
      </w:r>
      <w:r w:rsidRPr="00A4272B">
        <w:tab/>
      </w:r>
      <w:bookmarkEnd w:id="38"/>
      <w:r w:rsidR="00330A64" w:rsidRPr="00A4272B">
        <w:t>Recommendations for POPs to be analyzed</w:t>
      </w:r>
      <w:bookmarkEnd w:id="39"/>
    </w:p>
    <w:p w14:paraId="258DF843" w14:textId="77777777" w:rsidR="00192CEA" w:rsidRPr="00A4272B" w:rsidRDefault="00192CEA" w:rsidP="00192CEA">
      <w:pPr>
        <w:autoSpaceDE w:val="0"/>
        <w:autoSpaceDN w:val="0"/>
        <w:adjustRightInd w:val="0"/>
        <w:rPr>
          <w:noProof/>
          <w:lang w:val="en-US"/>
        </w:rPr>
      </w:pPr>
      <w:r w:rsidRPr="00A4272B">
        <w:rPr>
          <w:noProof/>
          <w:lang w:val="en-US"/>
        </w:rPr>
        <w:t>The Stockholm Convention aims to protect human health and the environment from POPs, with the ultimate goal of eliminating them where feasible. A key measure of the Convention’s effectiveness is monitoring POP concentrations listed in Annexes A, B, or C across relevant matrices and tracking changes over time (see Chapter 4). As of October 2024, 34 POPs are listed under the Convention.</w:t>
      </w:r>
    </w:p>
    <w:p w14:paraId="28BBB133" w14:textId="77777777" w:rsidR="00192CEA" w:rsidRPr="00A4272B" w:rsidRDefault="00192CEA" w:rsidP="00192CEA">
      <w:pPr>
        <w:autoSpaceDE w:val="0"/>
        <w:autoSpaceDN w:val="0"/>
        <w:adjustRightInd w:val="0"/>
        <w:rPr>
          <w:noProof/>
          <w:lang w:val="en-US"/>
        </w:rPr>
      </w:pPr>
      <w:r w:rsidRPr="00A4272B">
        <w:rPr>
          <w:noProof/>
          <w:lang w:val="en-US"/>
        </w:rPr>
        <w:t>The POPs Review Committee has additionally recommended three more chemicals or groups of chemicals for listing, which will be considered at the twelfth meeting of the Conference of the Parties in 2025. One further group of chemicals is under review. Any newly listed POPs will be incorporated into the global monitoring plan, with updates to this guidance as needed.</w:t>
      </w:r>
    </w:p>
    <w:p w14:paraId="1793AF1A" w14:textId="2DE80811" w:rsidR="00192CEA" w:rsidRPr="00A4272B" w:rsidRDefault="00192CEA" w:rsidP="00192CEA">
      <w:pPr>
        <w:autoSpaceDE w:val="0"/>
        <w:autoSpaceDN w:val="0"/>
        <w:adjustRightInd w:val="0"/>
        <w:rPr>
          <w:noProof/>
          <w:lang w:val="en-US"/>
        </w:rPr>
      </w:pPr>
      <w:r w:rsidRPr="00A4272B">
        <w:rPr>
          <w:b/>
          <w:bCs/>
          <w:noProof/>
          <w:lang w:val="en-US"/>
        </w:rPr>
        <w:t>Table 2.1</w:t>
      </w:r>
      <w:r w:rsidRPr="00A4272B">
        <w:rPr>
          <w:noProof/>
          <w:lang w:val="en-US"/>
        </w:rPr>
        <w:t xml:space="preserve"> provides an overview of chemicals listed in Annexes A, B, and C of the Stockholm Convention, along with candidate chemicals. It includes their acronyms and, where applicable, the number of congeners or structural isomers, as well as recommended analytes for analysis. Since it may not be feasible to analyze all individual congeners, </w:t>
      </w:r>
      <w:r w:rsidRPr="00A4272B">
        <w:rPr>
          <w:b/>
          <w:bCs/>
          <w:noProof/>
          <w:lang w:val="en-US"/>
        </w:rPr>
        <w:lastRenderedPageBreak/>
        <w:t>Table 2.1</w:t>
      </w:r>
      <w:r w:rsidRPr="00A4272B">
        <w:rPr>
          <w:noProof/>
          <w:lang w:val="en-US"/>
        </w:rPr>
        <w:t xml:space="preserve"> also lists recommended substances for analysis, including parent POPs and significant transformation products by matrix. Only fluorinated POPs are recommended for analysis in water; chlorinated and brominated POPs are excluded from water analysis.</w:t>
      </w:r>
    </w:p>
    <w:p w14:paraId="02259777" w14:textId="77777777" w:rsidR="00192CEA" w:rsidRPr="00A4272B" w:rsidRDefault="00192CEA" w:rsidP="00192CEA">
      <w:pPr>
        <w:autoSpaceDE w:val="0"/>
        <w:autoSpaceDN w:val="0"/>
        <w:adjustRightInd w:val="0"/>
        <w:rPr>
          <w:noProof/>
          <w:lang w:val="en-US"/>
        </w:rPr>
      </w:pPr>
      <w:r w:rsidRPr="00A4272B">
        <w:rPr>
          <w:noProof/>
          <w:lang w:val="en-US"/>
        </w:rPr>
        <w:t>For POPs shown in square brackets, analytes are either undefined or not yet confirmed in environmental or human matrices under typical conditions. Ongoing research is expected to clarify future recommendations.</w:t>
      </w:r>
    </w:p>
    <w:p w14:paraId="13998905" w14:textId="77777777" w:rsidR="00192CEA" w:rsidRPr="00A4272B" w:rsidRDefault="00192CEA" w:rsidP="00192CEA">
      <w:pPr>
        <w:autoSpaceDE w:val="0"/>
        <w:autoSpaceDN w:val="0"/>
        <w:adjustRightInd w:val="0"/>
        <w:rPr>
          <w:noProof/>
          <w:lang w:val="en-US"/>
        </w:rPr>
      </w:pPr>
      <w:r w:rsidRPr="00A4272B">
        <w:rPr>
          <w:b/>
          <w:bCs/>
          <w:noProof/>
          <w:lang w:val="en-US"/>
        </w:rPr>
        <w:t>Table 2.2</w:t>
      </w:r>
      <w:r w:rsidRPr="00A4272B">
        <w:rPr>
          <w:noProof/>
          <w:lang w:val="en-US"/>
        </w:rPr>
        <w:t xml:space="preserve"> shows recommended priorities for POPs background monitoring in core matrices. Core matrices include air, human milk, and human blood (all shown in bold); water is included for monitoring more water-soluble POPs, such as PFOS.</w:t>
      </w:r>
    </w:p>
    <w:p w14:paraId="6689FB34" w14:textId="77777777" w:rsidR="00192CEA" w:rsidRPr="00A4272B" w:rsidRDefault="00192CEA" w:rsidP="00192CEA">
      <w:pPr>
        <w:autoSpaceDE w:val="0"/>
        <w:autoSpaceDN w:val="0"/>
        <w:adjustRightInd w:val="0"/>
        <w:rPr>
          <w:noProof/>
          <w:lang w:val="en-US"/>
        </w:rPr>
      </w:pPr>
      <w:r w:rsidRPr="00A4272B">
        <w:rPr>
          <w:noProof/>
          <w:lang w:val="en-US"/>
        </w:rPr>
        <w:t>Following GMP guidelines, POPs analysis should be strategic and cost-effective. Well-designed studies, coordinated by regional organizational groups and the global coordination group, optimize resource use and provide representative, sufficient, and globally comparable data to evaluate the Convention’s effectiveness. Engaging stakeholders, including data users, is recommended to align study design and address significant data gaps.</w:t>
      </w:r>
    </w:p>
    <w:p w14:paraId="6A0A3CA3" w14:textId="22D5E652" w:rsidR="00577066" w:rsidRPr="00A4272B" w:rsidRDefault="00192CEA" w:rsidP="00577066">
      <w:pPr>
        <w:autoSpaceDE w:val="0"/>
        <w:autoSpaceDN w:val="0"/>
        <w:adjustRightInd w:val="0"/>
        <w:rPr>
          <w:noProof/>
          <w:lang w:val="en-US"/>
        </w:rPr>
      </w:pPr>
      <w:r w:rsidRPr="00A4272B">
        <w:rPr>
          <w:noProof/>
          <w:lang w:val="en-US"/>
        </w:rPr>
        <w:t>The GMP encourages regional monitoring to achieve global coverage, requiring high analytical performance to detect small changes in concentrations. It is recommended that data on all 34 POPs (parent compounds, precursors, and transformation products, as listed in Table 2.1) be collected in the recommended matrices (see Chapter 4).</w:t>
      </w:r>
    </w:p>
    <w:p w14:paraId="0D7F3CE2" w14:textId="77777777" w:rsidR="00F3536C" w:rsidRPr="00A4272B" w:rsidRDefault="00F3536C" w:rsidP="00F3536C">
      <w:pPr>
        <w:autoSpaceDE w:val="0"/>
        <w:autoSpaceDN w:val="0"/>
        <w:adjustRightInd w:val="0"/>
        <w:spacing w:before="120"/>
        <w:rPr>
          <w:sz w:val="22"/>
          <w:szCs w:val="22"/>
          <w:lang w:val="en-US"/>
        </w:rPr>
      </w:pPr>
    </w:p>
    <w:p w14:paraId="17F102E3" w14:textId="77777777" w:rsidR="00457FA0" w:rsidRPr="00A4272B" w:rsidRDefault="00457FA0" w:rsidP="00F3536C">
      <w:pPr>
        <w:autoSpaceDE w:val="0"/>
        <w:autoSpaceDN w:val="0"/>
        <w:adjustRightInd w:val="0"/>
        <w:spacing w:before="120"/>
        <w:rPr>
          <w:sz w:val="22"/>
          <w:szCs w:val="22"/>
          <w:lang w:val="en-US"/>
        </w:rPr>
        <w:sectPr w:rsidR="00457FA0" w:rsidRPr="00A4272B" w:rsidSect="00DF39B4">
          <w:footerReference w:type="even" r:id="rId8"/>
          <w:footerReference w:type="default" r:id="rId9"/>
          <w:type w:val="nextColumn"/>
          <w:pgSz w:w="11907" w:h="16840" w:code="9"/>
          <w:pgMar w:top="907" w:right="994" w:bottom="1411" w:left="1411" w:header="533" w:footer="979" w:gutter="0"/>
          <w:cols w:space="720"/>
          <w:titlePg/>
          <w:docGrid w:linePitch="360"/>
        </w:sectPr>
      </w:pPr>
    </w:p>
    <w:p w14:paraId="2B994A8F" w14:textId="705D75F8" w:rsidR="00577066" w:rsidRPr="00A4272B" w:rsidRDefault="00577066" w:rsidP="00577066">
      <w:pPr>
        <w:widowControl w:val="0"/>
        <w:kinsoku w:val="0"/>
        <w:overflowPunct w:val="0"/>
        <w:autoSpaceDE w:val="0"/>
        <w:autoSpaceDN w:val="0"/>
        <w:rPr>
          <w:b/>
          <w:noProof/>
          <w:lang w:val="en-US"/>
        </w:rPr>
      </w:pPr>
      <w:r w:rsidRPr="00A4272B">
        <w:rPr>
          <w:b/>
          <w:noProof/>
          <w:lang w:val="en-US"/>
        </w:rPr>
        <w:lastRenderedPageBreak/>
        <w:t>Table 2.1: Chemicals listed in Annex A, B and C and candidate chemicals</w:t>
      </w:r>
      <w:r w:rsidR="00357485" w:rsidRPr="00A4272B">
        <w:rPr>
          <w:b/>
          <w:noProof/>
          <w:lang w:val="en-US"/>
        </w:rPr>
        <w:t xml:space="preserve"> and recommended analytes and core matrices for analysis</w:t>
      </w:r>
      <w:r w:rsidRPr="00A4272B">
        <w:rPr>
          <w:b/>
          <w:noProof/>
          <w:lang w:val="en-US"/>
        </w:rPr>
        <w:t>.</w:t>
      </w:r>
    </w:p>
    <w:tbl>
      <w:tblPr>
        <w:tblStyle w:val="TableGrid"/>
        <w:tblW w:w="0" w:type="auto"/>
        <w:tblLook w:val="04A0" w:firstRow="1" w:lastRow="0" w:firstColumn="1" w:lastColumn="0" w:noHBand="0" w:noVBand="1"/>
      </w:tblPr>
      <w:tblGrid>
        <w:gridCol w:w="402"/>
        <w:gridCol w:w="2605"/>
        <w:gridCol w:w="1079"/>
        <w:gridCol w:w="757"/>
        <w:gridCol w:w="674"/>
        <w:gridCol w:w="929"/>
        <w:gridCol w:w="1705"/>
        <w:gridCol w:w="1694"/>
        <w:gridCol w:w="1694"/>
        <w:gridCol w:w="1694"/>
        <w:gridCol w:w="1186"/>
      </w:tblGrid>
      <w:tr w:rsidR="00182A00" w:rsidRPr="00A4272B" w14:paraId="251CFE84" w14:textId="692C68DD" w:rsidTr="00646AA3">
        <w:trPr>
          <w:tblHeader/>
        </w:trPr>
        <w:tc>
          <w:tcPr>
            <w:tcW w:w="402" w:type="dxa"/>
            <w:shd w:val="clear" w:color="auto" w:fill="D9D9D9" w:themeFill="background1" w:themeFillShade="D9"/>
            <w:vAlign w:val="center"/>
          </w:tcPr>
          <w:p w14:paraId="32CE2A3D"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b/>
                <w:noProof/>
                <w:sz w:val="18"/>
                <w:szCs w:val="18"/>
                <w:lang w:val="en-US"/>
              </w:rPr>
              <w:t>#</w:t>
            </w:r>
          </w:p>
        </w:tc>
        <w:tc>
          <w:tcPr>
            <w:tcW w:w="2605" w:type="dxa"/>
            <w:shd w:val="clear" w:color="auto" w:fill="D9D9D9" w:themeFill="background1" w:themeFillShade="D9"/>
            <w:vAlign w:val="center"/>
          </w:tcPr>
          <w:p w14:paraId="2A373B48" w14:textId="77777777" w:rsidR="00577066" w:rsidRPr="00A4272B" w:rsidRDefault="00577066" w:rsidP="00577066">
            <w:pPr>
              <w:widowControl w:val="0"/>
              <w:kinsoku w:val="0"/>
              <w:overflowPunct w:val="0"/>
              <w:autoSpaceDE w:val="0"/>
              <w:autoSpaceDN w:val="0"/>
              <w:spacing w:before="20" w:after="20"/>
              <w:rPr>
                <w:b/>
                <w:noProof/>
                <w:sz w:val="18"/>
                <w:szCs w:val="18"/>
                <w:lang w:val="en-US"/>
              </w:rPr>
            </w:pPr>
            <w:r w:rsidRPr="00A4272B">
              <w:rPr>
                <w:b/>
                <w:noProof/>
                <w:sz w:val="18"/>
                <w:szCs w:val="18"/>
                <w:lang w:val="en-US"/>
              </w:rPr>
              <w:t>Chemical name</w:t>
            </w:r>
          </w:p>
        </w:tc>
        <w:tc>
          <w:tcPr>
            <w:tcW w:w="1079" w:type="dxa"/>
            <w:shd w:val="clear" w:color="auto" w:fill="D9D9D9" w:themeFill="background1" w:themeFillShade="D9"/>
            <w:vAlign w:val="center"/>
          </w:tcPr>
          <w:p w14:paraId="23E9F9D2"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b/>
                <w:noProof/>
                <w:sz w:val="18"/>
                <w:szCs w:val="18"/>
                <w:lang w:val="en-US"/>
              </w:rPr>
              <w:t>Acronym or short names</w:t>
            </w:r>
          </w:p>
        </w:tc>
        <w:tc>
          <w:tcPr>
            <w:tcW w:w="757" w:type="dxa"/>
            <w:shd w:val="clear" w:color="auto" w:fill="D9D9D9" w:themeFill="background1" w:themeFillShade="D9"/>
            <w:vAlign w:val="center"/>
          </w:tcPr>
          <w:p w14:paraId="6221BDC3"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b/>
                <w:noProof/>
                <w:sz w:val="18"/>
                <w:szCs w:val="18"/>
                <w:lang w:val="en-US"/>
              </w:rPr>
              <w:t>Annex</w:t>
            </w:r>
          </w:p>
        </w:tc>
        <w:tc>
          <w:tcPr>
            <w:tcW w:w="674" w:type="dxa"/>
            <w:shd w:val="clear" w:color="auto" w:fill="D9D9D9" w:themeFill="background1" w:themeFillShade="D9"/>
            <w:vAlign w:val="center"/>
          </w:tcPr>
          <w:p w14:paraId="4379BED3"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b/>
                <w:noProof/>
                <w:sz w:val="18"/>
                <w:szCs w:val="18"/>
                <w:lang w:val="en-US"/>
              </w:rPr>
              <w:t>Year listed</w:t>
            </w:r>
          </w:p>
        </w:tc>
        <w:tc>
          <w:tcPr>
            <w:tcW w:w="929" w:type="dxa"/>
            <w:shd w:val="clear" w:color="auto" w:fill="D9D9D9" w:themeFill="background1" w:themeFillShade="D9"/>
            <w:vAlign w:val="center"/>
          </w:tcPr>
          <w:p w14:paraId="309A8E74"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b/>
                <w:noProof/>
                <w:sz w:val="18"/>
                <w:szCs w:val="18"/>
                <w:lang w:val="en-US"/>
              </w:rPr>
              <w:t>Decision</w:t>
            </w:r>
          </w:p>
        </w:tc>
        <w:tc>
          <w:tcPr>
            <w:tcW w:w="1705" w:type="dxa"/>
            <w:shd w:val="clear" w:color="auto" w:fill="D9D9D9" w:themeFill="background1" w:themeFillShade="D9"/>
            <w:vAlign w:val="center"/>
          </w:tcPr>
          <w:p w14:paraId="3457BDE6" w14:textId="77777777" w:rsidR="00577066" w:rsidRPr="00A4272B" w:rsidRDefault="00577066" w:rsidP="00577066">
            <w:pPr>
              <w:widowControl w:val="0"/>
              <w:kinsoku w:val="0"/>
              <w:overflowPunct w:val="0"/>
              <w:autoSpaceDE w:val="0"/>
              <w:autoSpaceDN w:val="0"/>
              <w:spacing w:before="20" w:after="20"/>
              <w:rPr>
                <w:b/>
                <w:noProof/>
                <w:sz w:val="18"/>
                <w:szCs w:val="18"/>
                <w:lang w:val="en-US"/>
              </w:rPr>
            </w:pPr>
            <w:r w:rsidRPr="00A4272B">
              <w:rPr>
                <w:b/>
                <w:noProof/>
                <w:sz w:val="18"/>
                <w:szCs w:val="18"/>
                <w:lang w:val="en-US"/>
              </w:rPr>
              <w:t>Theoretical number of congeners or structural isomers</w:t>
            </w:r>
          </w:p>
        </w:tc>
        <w:tc>
          <w:tcPr>
            <w:tcW w:w="1694" w:type="dxa"/>
            <w:shd w:val="clear" w:color="auto" w:fill="D9D9D9" w:themeFill="background1" w:themeFillShade="D9"/>
            <w:vAlign w:val="center"/>
          </w:tcPr>
          <w:p w14:paraId="0780951A" w14:textId="01B5C9CA" w:rsidR="00577066" w:rsidRPr="00A4272B" w:rsidRDefault="00577066" w:rsidP="00577066">
            <w:pPr>
              <w:widowControl w:val="0"/>
              <w:kinsoku w:val="0"/>
              <w:overflowPunct w:val="0"/>
              <w:autoSpaceDE w:val="0"/>
              <w:autoSpaceDN w:val="0"/>
              <w:spacing w:before="20" w:after="20"/>
              <w:rPr>
                <w:b/>
                <w:noProof/>
                <w:sz w:val="18"/>
                <w:szCs w:val="18"/>
                <w:lang w:val="en-US"/>
              </w:rPr>
            </w:pPr>
            <w:r w:rsidRPr="00A4272B">
              <w:rPr>
                <w:rStyle w:val="Strong"/>
                <w:sz w:val="18"/>
                <w:szCs w:val="18"/>
                <w:lang w:val="en-US"/>
              </w:rPr>
              <w:t>Air</w:t>
            </w:r>
          </w:p>
        </w:tc>
        <w:tc>
          <w:tcPr>
            <w:tcW w:w="1694" w:type="dxa"/>
            <w:shd w:val="clear" w:color="auto" w:fill="D9D9D9" w:themeFill="background1" w:themeFillShade="D9"/>
            <w:vAlign w:val="center"/>
          </w:tcPr>
          <w:p w14:paraId="2320D0B0" w14:textId="360AF52B" w:rsidR="00577066" w:rsidRPr="00A4272B" w:rsidRDefault="00577066" w:rsidP="00577066">
            <w:pPr>
              <w:widowControl w:val="0"/>
              <w:kinsoku w:val="0"/>
              <w:overflowPunct w:val="0"/>
              <w:autoSpaceDE w:val="0"/>
              <w:autoSpaceDN w:val="0"/>
              <w:spacing w:before="20" w:after="20"/>
              <w:rPr>
                <w:b/>
                <w:noProof/>
                <w:sz w:val="18"/>
                <w:szCs w:val="18"/>
                <w:lang w:val="en-US"/>
              </w:rPr>
            </w:pPr>
            <w:r w:rsidRPr="00A4272B">
              <w:rPr>
                <w:rStyle w:val="Strong"/>
                <w:sz w:val="18"/>
                <w:szCs w:val="18"/>
                <w:lang w:val="en-US"/>
              </w:rPr>
              <w:t>Human milk</w:t>
            </w:r>
          </w:p>
        </w:tc>
        <w:tc>
          <w:tcPr>
            <w:tcW w:w="1694" w:type="dxa"/>
            <w:shd w:val="clear" w:color="auto" w:fill="D9D9D9" w:themeFill="background1" w:themeFillShade="D9"/>
            <w:vAlign w:val="center"/>
          </w:tcPr>
          <w:p w14:paraId="0C4CB525" w14:textId="5D6C4199" w:rsidR="00577066" w:rsidRPr="00A4272B" w:rsidRDefault="00577066" w:rsidP="00577066">
            <w:pPr>
              <w:widowControl w:val="0"/>
              <w:kinsoku w:val="0"/>
              <w:overflowPunct w:val="0"/>
              <w:autoSpaceDE w:val="0"/>
              <w:autoSpaceDN w:val="0"/>
              <w:spacing w:before="20" w:after="20"/>
              <w:rPr>
                <w:b/>
                <w:noProof/>
                <w:sz w:val="18"/>
                <w:szCs w:val="18"/>
                <w:lang w:val="en-US"/>
              </w:rPr>
            </w:pPr>
            <w:r w:rsidRPr="00A4272B">
              <w:rPr>
                <w:rStyle w:val="Strong"/>
                <w:sz w:val="18"/>
                <w:szCs w:val="18"/>
                <w:lang w:val="en-US"/>
              </w:rPr>
              <w:t>Human blood</w:t>
            </w:r>
          </w:p>
        </w:tc>
        <w:tc>
          <w:tcPr>
            <w:tcW w:w="1186" w:type="dxa"/>
            <w:shd w:val="clear" w:color="auto" w:fill="D9D9D9" w:themeFill="background1" w:themeFillShade="D9"/>
            <w:vAlign w:val="center"/>
          </w:tcPr>
          <w:p w14:paraId="67BFD6C0" w14:textId="1D1D664C" w:rsidR="00577066" w:rsidRPr="00A4272B" w:rsidRDefault="00577066" w:rsidP="00577066">
            <w:pPr>
              <w:widowControl w:val="0"/>
              <w:kinsoku w:val="0"/>
              <w:overflowPunct w:val="0"/>
              <w:autoSpaceDE w:val="0"/>
              <w:autoSpaceDN w:val="0"/>
              <w:spacing w:before="20" w:after="20"/>
              <w:rPr>
                <w:b/>
                <w:noProof/>
                <w:sz w:val="18"/>
                <w:szCs w:val="18"/>
                <w:lang w:val="en-US"/>
              </w:rPr>
            </w:pPr>
            <w:r w:rsidRPr="00A4272B">
              <w:rPr>
                <w:rStyle w:val="Strong"/>
                <w:sz w:val="18"/>
                <w:szCs w:val="18"/>
                <w:lang w:val="en-US"/>
              </w:rPr>
              <w:t>Water</w:t>
            </w:r>
          </w:p>
        </w:tc>
      </w:tr>
      <w:tr w:rsidR="00BD537C" w:rsidRPr="00A4272B" w14:paraId="59ED7729" w14:textId="459E763E" w:rsidTr="00646AA3">
        <w:tc>
          <w:tcPr>
            <w:tcW w:w="8151" w:type="dxa"/>
            <w:gridSpan w:val="7"/>
            <w:shd w:val="clear" w:color="auto" w:fill="F2F2F2" w:themeFill="background1" w:themeFillShade="F2"/>
            <w:vAlign w:val="center"/>
          </w:tcPr>
          <w:p w14:paraId="645CDF40" w14:textId="77777777" w:rsidR="00577066" w:rsidRPr="00A4272B" w:rsidRDefault="00577066" w:rsidP="00577066">
            <w:pPr>
              <w:widowControl w:val="0"/>
              <w:kinsoku w:val="0"/>
              <w:overflowPunct w:val="0"/>
              <w:autoSpaceDE w:val="0"/>
              <w:autoSpaceDN w:val="0"/>
              <w:spacing w:before="20" w:after="20"/>
              <w:rPr>
                <w:b/>
                <w:bCs/>
                <w:sz w:val="18"/>
                <w:szCs w:val="18"/>
                <w:lang w:val="en-US"/>
              </w:rPr>
            </w:pPr>
            <w:r w:rsidRPr="00A4272B">
              <w:rPr>
                <w:b/>
                <w:bCs/>
                <w:sz w:val="18"/>
                <w:szCs w:val="18"/>
                <w:lang w:val="en-US"/>
              </w:rPr>
              <w:t>POPs listed in Annexes A, B and C</w:t>
            </w:r>
          </w:p>
        </w:tc>
        <w:tc>
          <w:tcPr>
            <w:tcW w:w="1694" w:type="dxa"/>
            <w:shd w:val="clear" w:color="auto" w:fill="F2F2F2" w:themeFill="background1" w:themeFillShade="F2"/>
          </w:tcPr>
          <w:p w14:paraId="653033B9" w14:textId="77777777" w:rsidR="00577066" w:rsidRPr="00A4272B" w:rsidRDefault="00577066" w:rsidP="00577066">
            <w:pPr>
              <w:widowControl w:val="0"/>
              <w:kinsoku w:val="0"/>
              <w:overflowPunct w:val="0"/>
              <w:autoSpaceDE w:val="0"/>
              <w:autoSpaceDN w:val="0"/>
              <w:spacing w:before="20" w:after="20"/>
              <w:rPr>
                <w:b/>
                <w:bCs/>
                <w:sz w:val="18"/>
                <w:szCs w:val="18"/>
                <w:lang w:val="en-US"/>
              </w:rPr>
            </w:pPr>
          </w:p>
        </w:tc>
        <w:tc>
          <w:tcPr>
            <w:tcW w:w="1694" w:type="dxa"/>
            <w:shd w:val="clear" w:color="auto" w:fill="F2F2F2" w:themeFill="background1" w:themeFillShade="F2"/>
          </w:tcPr>
          <w:p w14:paraId="440F2432" w14:textId="77777777" w:rsidR="00577066" w:rsidRPr="00A4272B" w:rsidRDefault="00577066" w:rsidP="00577066">
            <w:pPr>
              <w:widowControl w:val="0"/>
              <w:kinsoku w:val="0"/>
              <w:overflowPunct w:val="0"/>
              <w:autoSpaceDE w:val="0"/>
              <w:autoSpaceDN w:val="0"/>
              <w:spacing w:before="20" w:after="20"/>
              <w:rPr>
                <w:b/>
                <w:bCs/>
                <w:sz w:val="18"/>
                <w:szCs w:val="18"/>
                <w:lang w:val="en-US"/>
              </w:rPr>
            </w:pPr>
          </w:p>
        </w:tc>
        <w:tc>
          <w:tcPr>
            <w:tcW w:w="1694" w:type="dxa"/>
            <w:shd w:val="clear" w:color="auto" w:fill="F2F2F2" w:themeFill="background1" w:themeFillShade="F2"/>
          </w:tcPr>
          <w:p w14:paraId="7C9A5820" w14:textId="77777777" w:rsidR="00577066" w:rsidRPr="00A4272B" w:rsidRDefault="00577066" w:rsidP="00577066">
            <w:pPr>
              <w:widowControl w:val="0"/>
              <w:kinsoku w:val="0"/>
              <w:overflowPunct w:val="0"/>
              <w:autoSpaceDE w:val="0"/>
              <w:autoSpaceDN w:val="0"/>
              <w:spacing w:before="20" w:after="20"/>
              <w:rPr>
                <w:b/>
                <w:bCs/>
                <w:sz w:val="18"/>
                <w:szCs w:val="18"/>
                <w:lang w:val="en-US"/>
              </w:rPr>
            </w:pPr>
          </w:p>
        </w:tc>
        <w:tc>
          <w:tcPr>
            <w:tcW w:w="1186" w:type="dxa"/>
            <w:shd w:val="clear" w:color="auto" w:fill="F2F2F2" w:themeFill="background1" w:themeFillShade="F2"/>
          </w:tcPr>
          <w:p w14:paraId="6B2AF0FA" w14:textId="75CE0B74" w:rsidR="00577066" w:rsidRPr="00A4272B" w:rsidRDefault="00577066" w:rsidP="00577066">
            <w:pPr>
              <w:widowControl w:val="0"/>
              <w:kinsoku w:val="0"/>
              <w:overflowPunct w:val="0"/>
              <w:autoSpaceDE w:val="0"/>
              <w:autoSpaceDN w:val="0"/>
              <w:spacing w:before="20" w:after="20"/>
              <w:rPr>
                <w:b/>
                <w:bCs/>
                <w:sz w:val="18"/>
                <w:szCs w:val="18"/>
                <w:lang w:val="en-US"/>
              </w:rPr>
            </w:pPr>
          </w:p>
        </w:tc>
      </w:tr>
      <w:tr w:rsidR="00735969" w:rsidRPr="00A4272B" w14:paraId="68D4D3F8" w14:textId="696B9975" w:rsidTr="00646AA3">
        <w:tc>
          <w:tcPr>
            <w:tcW w:w="402" w:type="dxa"/>
            <w:vAlign w:val="center"/>
          </w:tcPr>
          <w:p w14:paraId="060142BB" w14:textId="77777777" w:rsidR="00577066" w:rsidRPr="00A4272B" w:rsidRDefault="00577066" w:rsidP="00577066">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w:t>
            </w:r>
          </w:p>
        </w:tc>
        <w:tc>
          <w:tcPr>
            <w:tcW w:w="2605" w:type="dxa"/>
            <w:vAlign w:val="center"/>
          </w:tcPr>
          <w:p w14:paraId="7969A372" w14:textId="77777777" w:rsidR="00577066" w:rsidRPr="00A4272B" w:rsidRDefault="00577066" w:rsidP="00577066">
            <w:pPr>
              <w:widowControl w:val="0"/>
              <w:kinsoku w:val="0"/>
              <w:overflowPunct w:val="0"/>
              <w:autoSpaceDE w:val="0"/>
              <w:autoSpaceDN w:val="0"/>
              <w:spacing w:before="20" w:after="20"/>
              <w:rPr>
                <w:noProof/>
                <w:sz w:val="18"/>
                <w:szCs w:val="18"/>
                <w:lang w:val="en-US"/>
              </w:rPr>
            </w:pPr>
            <w:r w:rsidRPr="00A4272B">
              <w:rPr>
                <w:noProof/>
                <w:sz w:val="18"/>
                <w:szCs w:val="18"/>
                <w:lang w:val="en-US"/>
              </w:rPr>
              <w:t>Aldrin</w:t>
            </w:r>
          </w:p>
        </w:tc>
        <w:tc>
          <w:tcPr>
            <w:tcW w:w="1079" w:type="dxa"/>
            <w:vAlign w:val="center"/>
          </w:tcPr>
          <w:p w14:paraId="64B0505C"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b/>
                <w:noProof/>
                <w:sz w:val="18"/>
                <w:szCs w:val="18"/>
                <w:lang w:val="en-US"/>
              </w:rPr>
              <w:t>–</w:t>
            </w:r>
          </w:p>
        </w:tc>
        <w:tc>
          <w:tcPr>
            <w:tcW w:w="757" w:type="dxa"/>
            <w:vAlign w:val="center"/>
          </w:tcPr>
          <w:p w14:paraId="5B07D4AD" w14:textId="77777777" w:rsidR="00577066" w:rsidRPr="00A4272B" w:rsidRDefault="00577066" w:rsidP="00577066">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5676E955" w14:textId="77777777" w:rsidR="00577066" w:rsidRPr="00A4272B" w:rsidRDefault="00577066" w:rsidP="00577066">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2AE23EB7" w14:textId="77777777" w:rsidR="00577066" w:rsidRPr="00A4272B" w:rsidRDefault="00577066" w:rsidP="00577066">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448CCE58" w14:textId="77777777" w:rsidR="00577066" w:rsidRPr="00A4272B" w:rsidRDefault="00577066" w:rsidP="00577066">
            <w:pPr>
              <w:widowControl w:val="0"/>
              <w:kinsoku w:val="0"/>
              <w:overflowPunct w:val="0"/>
              <w:autoSpaceDE w:val="0"/>
              <w:autoSpaceDN w:val="0"/>
              <w:spacing w:before="20" w:after="20"/>
              <w:rPr>
                <w:b/>
                <w:noProof/>
                <w:sz w:val="18"/>
                <w:szCs w:val="18"/>
                <w:lang w:val="en-US"/>
              </w:rPr>
            </w:pPr>
            <w:r w:rsidRPr="00A4272B">
              <w:rPr>
                <w:sz w:val="18"/>
                <w:szCs w:val="18"/>
                <w:lang w:val="en-US"/>
              </w:rPr>
              <w:t>Single compound</w:t>
            </w:r>
          </w:p>
        </w:tc>
        <w:tc>
          <w:tcPr>
            <w:tcW w:w="1694" w:type="dxa"/>
            <w:vAlign w:val="center"/>
          </w:tcPr>
          <w:p w14:paraId="14E0873D" w14:textId="79A2CBE3" w:rsidR="00577066" w:rsidRPr="00A4272B" w:rsidRDefault="00577066" w:rsidP="00D13AC1">
            <w:pPr>
              <w:widowControl w:val="0"/>
              <w:kinsoku w:val="0"/>
              <w:overflowPunct w:val="0"/>
              <w:autoSpaceDE w:val="0"/>
              <w:autoSpaceDN w:val="0"/>
              <w:spacing w:before="20" w:after="20"/>
              <w:rPr>
                <w:sz w:val="18"/>
                <w:szCs w:val="18"/>
                <w:lang w:val="en-US"/>
              </w:rPr>
            </w:pPr>
            <w:r w:rsidRPr="00A4272B">
              <w:rPr>
                <w:sz w:val="18"/>
                <w:szCs w:val="18"/>
                <w:lang w:val="en-US"/>
              </w:rPr>
              <w:t>Aldrin</w:t>
            </w:r>
          </w:p>
        </w:tc>
        <w:tc>
          <w:tcPr>
            <w:tcW w:w="1694" w:type="dxa"/>
            <w:vAlign w:val="center"/>
          </w:tcPr>
          <w:p w14:paraId="710C279E" w14:textId="7574CED4" w:rsidR="00577066" w:rsidRPr="00A4272B" w:rsidRDefault="00577066" w:rsidP="00D13AC1">
            <w:pPr>
              <w:widowControl w:val="0"/>
              <w:kinsoku w:val="0"/>
              <w:overflowPunct w:val="0"/>
              <w:autoSpaceDE w:val="0"/>
              <w:autoSpaceDN w:val="0"/>
              <w:spacing w:before="20" w:after="20"/>
              <w:rPr>
                <w:sz w:val="18"/>
                <w:szCs w:val="18"/>
                <w:lang w:val="en-US"/>
              </w:rPr>
            </w:pPr>
            <w:r w:rsidRPr="00A4272B">
              <w:rPr>
                <w:sz w:val="18"/>
                <w:szCs w:val="18"/>
                <w:lang w:val="en-US"/>
              </w:rPr>
              <w:t>Aldrin</w:t>
            </w:r>
          </w:p>
        </w:tc>
        <w:tc>
          <w:tcPr>
            <w:tcW w:w="1694" w:type="dxa"/>
            <w:vAlign w:val="center"/>
          </w:tcPr>
          <w:p w14:paraId="01BC127F" w14:textId="1D2F9587" w:rsidR="00577066" w:rsidRPr="00A4272B" w:rsidRDefault="00577066" w:rsidP="00D13AC1">
            <w:pPr>
              <w:widowControl w:val="0"/>
              <w:kinsoku w:val="0"/>
              <w:overflowPunct w:val="0"/>
              <w:autoSpaceDE w:val="0"/>
              <w:autoSpaceDN w:val="0"/>
              <w:spacing w:before="20" w:after="20"/>
              <w:rPr>
                <w:sz w:val="18"/>
                <w:szCs w:val="18"/>
                <w:lang w:val="en-US"/>
              </w:rPr>
            </w:pPr>
            <w:r w:rsidRPr="00A4272B">
              <w:rPr>
                <w:sz w:val="18"/>
                <w:szCs w:val="18"/>
                <w:lang w:val="en-US"/>
              </w:rPr>
              <w:t>Aldrin</w:t>
            </w:r>
          </w:p>
        </w:tc>
        <w:tc>
          <w:tcPr>
            <w:tcW w:w="1186" w:type="dxa"/>
            <w:vAlign w:val="center"/>
          </w:tcPr>
          <w:p w14:paraId="5FEB1A68" w14:textId="7D9AF554" w:rsidR="00577066" w:rsidRPr="00A4272B" w:rsidRDefault="00330A64" w:rsidP="00D13AC1">
            <w:pPr>
              <w:widowControl w:val="0"/>
              <w:kinsoku w:val="0"/>
              <w:overflowPunct w:val="0"/>
              <w:autoSpaceDE w:val="0"/>
              <w:autoSpaceDN w:val="0"/>
              <w:spacing w:before="20" w:after="20"/>
              <w:rPr>
                <w:sz w:val="18"/>
                <w:szCs w:val="18"/>
                <w:lang w:val="en-US"/>
              </w:rPr>
            </w:pPr>
            <w:r w:rsidRPr="00A4272B">
              <w:rPr>
                <w:sz w:val="18"/>
                <w:szCs w:val="18"/>
                <w:lang w:val="en-US"/>
              </w:rPr>
              <w:t>N/A</w:t>
            </w:r>
            <w:r w:rsidR="003C2CA2" w:rsidRPr="00A4272B">
              <w:rPr>
                <w:sz w:val="18"/>
                <w:szCs w:val="18"/>
                <w:lang w:val="en-US"/>
              </w:rPr>
              <w:t>*</w:t>
            </w:r>
          </w:p>
        </w:tc>
      </w:tr>
      <w:tr w:rsidR="00735969" w:rsidRPr="00A4272B" w14:paraId="316F51A3" w14:textId="5961001D" w:rsidTr="00646AA3">
        <w:tc>
          <w:tcPr>
            <w:tcW w:w="402" w:type="dxa"/>
            <w:vAlign w:val="center"/>
          </w:tcPr>
          <w:p w14:paraId="47D4AE4E" w14:textId="77777777" w:rsidR="00407659" w:rsidRPr="00A4272B" w:rsidRDefault="00407659" w:rsidP="0040765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w:t>
            </w:r>
          </w:p>
        </w:tc>
        <w:tc>
          <w:tcPr>
            <w:tcW w:w="2605" w:type="dxa"/>
            <w:vAlign w:val="center"/>
          </w:tcPr>
          <w:p w14:paraId="53B2D29B" w14:textId="77777777" w:rsidR="00407659" w:rsidRPr="00A4272B" w:rsidRDefault="00407659" w:rsidP="00407659">
            <w:pPr>
              <w:widowControl w:val="0"/>
              <w:kinsoku w:val="0"/>
              <w:overflowPunct w:val="0"/>
              <w:autoSpaceDE w:val="0"/>
              <w:autoSpaceDN w:val="0"/>
              <w:spacing w:before="20" w:after="20"/>
              <w:rPr>
                <w:noProof/>
                <w:sz w:val="18"/>
                <w:szCs w:val="18"/>
                <w:lang w:val="en-US"/>
              </w:rPr>
            </w:pPr>
            <w:r w:rsidRPr="00A4272B">
              <w:rPr>
                <w:noProof/>
                <w:sz w:val="18"/>
                <w:szCs w:val="18"/>
                <w:lang w:val="en-US"/>
              </w:rPr>
              <w:t>Alpha hexachlorocyclohexane</w:t>
            </w:r>
          </w:p>
        </w:tc>
        <w:tc>
          <w:tcPr>
            <w:tcW w:w="1079" w:type="dxa"/>
            <w:vAlign w:val="center"/>
          </w:tcPr>
          <w:p w14:paraId="0E466365" w14:textId="77777777" w:rsidR="00407659" w:rsidRPr="00A4272B" w:rsidRDefault="00407659" w:rsidP="00407659">
            <w:pPr>
              <w:widowControl w:val="0"/>
              <w:kinsoku w:val="0"/>
              <w:overflowPunct w:val="0"/>
              <w:autoSpaceDE w:val="0"/>
              <w:autoSpaceDN w:val="0"/>
              <w:spacing w:before="20" w:after="20"/>
              <w:jc w:val="center"/>
              <w:rPr>
                <w:b/>
                <w:noProof/>
                <w:sz w:val="18"/>
                <w:szCs w:val="18"/>
                <w:lang w:val="en-US"/>
              </w:rPr>
            </w:pPr>
            <w:r w:rsidRPr="00A4272B">
              <w:rPr>
                <w:rFonts w:eastAsia="Symbol"/>
                <w:noProof/>
                <w:sz w:val="18"/>
                <w:szCs w:val="18"/>
                <w:lang w:val="en-US"/>
              </w:rPr>
              <w:t>Alpha</w:t>
            </w:r>
            <w:r w:rsidRPr="00A4272B">
              <w:rPr>
                <w:noProof/>
                <w:sz w:val="18"/>
                <w:szCs w:val="18"/>
                <w:lang w:val="en-US"/>
              </w:rPr>
              <w:t>-HCH</w:t>
            </w:r>
          </w:p>
        </w:tc>
        <w:tc>
          <w:tcPr>
            <w:tcW w:w="757" w:type="dxa"/>
            <w:vAlign w:val="center"/>
          </w:tcPr>
          <w:p w14:paraId="3D5FE06D" w14:textId="77777777" w:rsidR="00407659" w:rsidRPr="00A4272B" w:rsidRDefault="00407659" w:rsidP="00407659">
            <w:pPr>
              <w:widowControl w:val="0"/>
              <w:kinsoku w:val="0"/>
              <w:overflowPunct w:val="0"/>
              <w:autoSpaceDE w:val="0"/>
              <w:autoSpaceDN w:val="0"/>
              <w:spacing w:before="20" w:after="20"/>
              <w:jc w:val="center"/>
              <w:rPr>
                <w:noProof/>
                <w:sz w:val="18"/>
                <w:szCs w:val="18"/>
                <w:lang w:val="en-US"/>
              </w:rPr>
            </w:pPr>
            <w:r w:rsidRPr="00A4272B">
              <w:rPr>
                <w:noProof/>
                <w:sz w:val="18"/>
                <w:szCs w:val="18"/>
                <w:lang w:val="en-US"/>
              </w:rPr>
              <w:t>A</w:t>
            </w:r>
          </w:p>
        </w:tc>
        <w:tc>
          <w:tcPr>
            <w:tcW w:w="674" w:type="dxa"/>
            <w:vAlign w:val="center"/>
          </w:tcPr>
          <w:p w14:paraId="22317B0F" w14:textId="77777777" w:rsidR="00407659" w:rsidRPr="00A4272B" w:rsidRDefault="00407659" w:rsidP="00407659">
            <w:pPr>
              <w:widowControl w:val="0"/>
              <w:kinsoku w:val="0"/>
              <w:overflowPunct w:val="0"/>
              <w:autoSpaceDE w:val="0"/>
              <w:autoSpaceDN w:val="0"/>
              <w:spacing w:before="20" w:after="20"/>
              <w:jc w:val="center"/>
              <w:rPr>
                <w:b/>
                <w:noProof/>
                <w:sz w:val="18"/>
                <w:szCs w:val="18"/>
                <w:lang w:val="en-US"/>
              </w:rPr>
            </w:pPr>
            <w:r w:rsidRPr="00A4272B">
              <w:rPr>
                <w:noProof/>
                <w:sz w:val="18"/>
                <w:szCs w:val="18"/>
                <w:lang w:val="en-US"/>
              </w:rPr>
              <w:t>2009</w:t>
            </w:r>
          </w:p>
        </w:tc>
        <w:tc>
          <w:tcPr>
            <w:tcW w:w="929" w:type="dxa"/>
            <w:vAlign w:val="center"/>
          </w:tcPr>
          <w:p w14:paraId="5F4AB089" w14:textId="77777777" w:rsidR="00407659" w:rsidRPr="00A4272B" w:rsidRDefault="00407659" w:rsidP="0040765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SC-4/10</w:t>
            </w:r>
          </w:p>
        </w:tc>
        <w:tc>
          <w:tcPr>
            <w:tcW w:w="1705" w:type="dxa"/>
            <w:vAlign w:val="center"/>
          </w:tcPr>
          <w:p w14:paraId="4F63598D" w14:textId="77777777" w:rsidR="00407659" w:rsidRPr="00A4272B" w:rsidRDefault="00407659" w:rsidP="00407659">
            <w:pPr>
              <w:widowControl w:val="0"/>
              <w:kinsoku w:val="0"/>
              <w:overflowPunct w:val="0"/>
              <w:autoSpaceDE w:val="0"/>
              <w:autoSpaceDN w:val="0"/>
              <w:spacing w:before="20" w:after="20"/>
              <w:rPr>
                <w:b/>
                <w:noProof/>
                <w:sz w:val="18"/>
                <w:szCs w:val="18"/>
                <w:lang w:val="en-US"/>
              </w:rPr>
            </w:pPr>
            <w:r w:rsidRPr="00A4272B">
              <w:rPr>
                <w:sz w:val="18"/>
                <w:szCs w:val="18"/>
                <w:lang w:val="en-US"/>
              </w:rPr>
              <w:t xml:space="preserve">Single compound; isomer of </w:t>
            </w:r>
            <w:r w:rsidRPr="00A4272B">
              <w:rPr>
                <w:sz w:val="18"/>
                <w:szCs w:val="18"/>
                <w:lang w:val="en-US" w:eastAsia="zh-CN"/>
              </w:rPr>
              <w:t>HCH</w:t>
            </w:r>
          </w:p>
        </w:tc>
        <w:tc>
          <w:tcPr>
            <w:tcW w:w="1694" w:type="dxa"/>
            <w:vAlign w:val="center"/>
          </w:tcPr>
          <w:p w14:paraId="14E16BA0" w14:textId="288DC8F1" w:rsidR="00407659" w:rsidRPr="00A4272B" w:rsidRDefault="00407659" w:rsidP="00407659">
            <w:pPr>
              <w:widowControl w:val="0"/>
              <w:kinsoku w:val="0"/>
              <w:overflowPunct w:val="0"/>
              <w:autoSpaceDE w:val="0"/>
              <w:autoSpaceDN w:val="0"/>
              <w:spacing w:before="20" w:after="20"/>
              <w:rPr>
                <w:sz w:val="18"/>
                <w:szCs w:val="18"/>
                <w:lang w:val="en-US"/>
              </w:rPr>
            </w:pPr>
            <w:r w:rsidRPr="00A4272B">
              <w:rPr>
                <w:rFonts w:eastAsia="Symbol"/>
                <w:noProof/>
                <w:sz w:val="18"/>
                <w:szCs w:val="18"/>
                <w:lang w:val="en-US"/>
              </w:rPr>
              <w:t>Alpha</w:t>
            </w:r>
            <w:r w:rsidRPr="00A4272B">
              <w:rPr>
                <w:noProof/>
                <w:sz w:val="18"/>
                <w:szCs w:val="18"/>
                <w:lang w:val="en-US"/>
              </w:rPr>
              <w:t>-HCH</w:t>
            </w:r>
          </w:p>
        </w:tc>
        <w:tc>
          <w:tcPr>
            <w:tcW w:w="1694" w:type="dxa"/>
            <w:vAlign w:val="center"/>
          </w:tcPr>
          <w:p w14:paraId="3B9D3329" w14:textId="626282C4" w:rsidR="00407659" w:rsidRPr="00A4272B" w:rsidRDefault="00407659" w:rsidP="00407659">
            <w:pPr>
              <w:widowControl w:val="0"/>
              <w:kinsoku w:val="0"/>
              <w:overflowPunct w:val="0"/>
              <w:autoSpaceDE w:val="0"/>
              <w:autoSpaceDN w:val="0"/>
              <w:spacing w:before="20" w:after="20"/>
              <w:rPr>
                <w:sz w:val="18"/>
                <w:szCs w:val="18"/>
                <w:lang w:val="en-US"/>
              </w:rPr>
            </w:pPr>
            <w:r w:rsidRPr="00A4272B">
              <w:rPr>
                <w:rFonts w:eastAsia="Symbol"/>
                <w:noProof/>
                <w:sz w:val="18"/>
                <w:szCs w:val="18"/>
                <w:lang w:val="en-US"/>
              </w:rPr>
              <w:t>Alpha</w:t>
            </w:r>
            <w:r w:rsidRPr="00A4272B">
              <w:rPr>
                <w:noProof/>
                <w:sz w:val="18"/>
                <w:szCs w:val="18"/>
                <w:lang w:val="en-US"/>
              </w:rPr>
              <w:t>-HCH</w:t>
            </w:r>
          </w:p>
        </w:tc>
        <w:tc>
          <w:tcPr>
            <w:tcW w:w="1694" w:type="dxa"/>
            <w:vAlign w:val="center"/>
          </w:tcPr>
          <w:p w14:paraId="4D871F0C" w14:textId="783F8266" w:rsidR="00407659" w:rsidRPr="00A4272B" w:rsidRDefault="00407659" w:rsidP="00407659">
            <w:pPr>
              <w:widowControl w:val="0"/>
              <w:kinsoku w:val="0"/>
              <w:overflowPunct w:val="0"/>
              <w:autoSpaceDE w:val="0"/>
              <w:autoSpaceDN w:val="0"/>
              <w:spacing w:before="20" w:after="20"/>
              <w:rPr>
                <w:sz w:val="18"/>
                <w:szCs w:val="18"/>
                <w:lang w:val="en-US"/>
              </w:rPr>
            </w:pPr>
            <w:r w:rsidRPr="00A4272B">
              <w:rPr>
                <w:rFonts w:eastAsia="Symbol"/>
                <w:noProof/>
                <w:sz w:val="18"/>
                <w:szCs w:val="18"/>
                <w:lang w:val="en-US"/>
              </w:rPr>
              <w:t>Alpha</w:t>
            </w:r>
            <w:r w:rsidRPr="00A4272B">
              <w:rPr>
                <w:noProof/>
                <w:sz w:val="18"/>
                <w:szCs w:val="18"/>
                <w:lang w:val="en-US"/>
              </w:rPr>
              <w:t>-HCH</w:t>
            </w:r>
          </w:p>
        </w:tc>
        <w:tc>
          <w:tcPr>
            <w:tcW w:w="1186" w:type="dxa"/>
            <w:vAlign w:val="center"/>
          </w:tcPr>
          <w:p w14:paraId="794E4DCB" w14:textId="4B7B4DE6" w:rsidR="00407659" w:rsidRPr="00A4272B" w:rsidRDefault="00330A64" w:rsidP="0040765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3C694F9C" w14:textId="4C0B6F37" w:rsidTr="00646AA3">
        <w:tc>
          <w:tcPr>
            <w:tcW w:w="402" w:type="dxa"/>
            <w:vAlign w:val="center"/>
          </w:tcPr>
          <w:p w14:paraId="169BA4C5" w14:textId="77777777" w:rsidR="00577066" w:rsidRPr="00A4272B" w:rsidRDefault="00577066" w:rsidP="00577066">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3</w:t>
            </w:r>
          </w:p>
        </w:tc>
        <w:tc>
          <w:tcPr>
            <w:tcW w:w="2605" w:type="dxa"/>
            <w:vAlign w:val="center"/>
          </w:tcPr>
          <w:p w14:paraId="6C0CE923" w14:textId="77777777" w:rsidR="00577066" w:rsidRPr="00A4272B" w:rsidRDefault="00577066" w:rsidP="00577066">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Beta hexachlorocyclohexane</w:t>
            </w:r>
          </w:p>
        </w:tc>
        <w:tc>
          <w:tcPr>
            <w:tcW w:w="1079" w:type="dxa"/>
            <w:vAlign w:val="center"/>
          </w:tcPr>
          <w:p w14:paraId="4658E02C"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rFonts w:eastAsia="Symbol"/>
                <w:sz w:val="18"/>
                <w:szCs w:val="18"/>
                <w:lang w:val="en-US"/>
              </w:rPr>
              <w:t>Beta</w:t>
            </w:r>
            <w:r w:rsidRPr="00A4272B">
              <w:rPr>
                <w:sz w:val="18"/>
                <w:szCs w:val="18"/>
                <w:lang w:val="en-US"/>
              </w:rPr>
              <w:t>-HCH</w:t>
            </w:r>
          </w:p>
        </w:tc>
        <w:tc>
          <w:tcPr>
            <w:tcW w:w="757" w:type="dxa"/>
            <w:vAlign w:val="center"/>
          </w:tcPr>
          <w:p w14:paraId="5A9CC695"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noProof/>
                <w:sz w:val="18"/>
                <w:szCs w:val="18"/>
                <w:lang w:val="en-US"/>
              </w:rPr>
              <w:t>A</w:t>
            </w:r>
          </w:p>
        </w:tc>
        <w:tc>
          <w:tcPr>
            <w:tcW w:w="674" w:type="dxa"/>
            <w:vAlign w:val="center"/>
          </w:tcPr>
          <w:p w14:paraId="4B7B30B9"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noProof/>
                <w:sz w:val="18"/>
                <w:szCs w:val="18"/>
                <w:lang w:val="en-US"/>
              </w:rPr>
              <w:t>2009</w:t>
            </w:r>
          </w:p>
        </w:tc>
        <w:tc>
          <w:tcPr>
            <w:tcW w:w="929" w:type="dxa"/>
            <w:vAlign w:val="center"/>
          </w:tcPr>
          <w:p w14:paraId="500906F1"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bCs/>
                <w:noProof/>
                <w:sz w:val="18"/>
                <w:szCs w:val="18"/>
                <w:lang w:val="en-US"/>
              </w:rPr>
              <w:t>SC-4/11</w:t>
            </w:r>
          </w:p>
        </w:tc>
        <w:tc>
          <w:tcPr>
            <w:tcW w:w="1705" w:type="dxa"/>
            <w:vAlign w:val="center"/>
          </w:tcPr>
          <w:p w14:paraId="055C2E4F" w14:textId="77777777" w:rsidR="00577066" w:rsidRPr="00A4272B" w:rsidRDefault="00577066" w:rsidP="00577066">
            <w:pPr>
              <w:widowControl w:val="0"/>
              <w:kinsoku w:val="0"/>
              <w:overflowPunct w:val="0"/>
              <w:autoSpaceDE w:val="0"/>
              <w:autoSpaceDN w:val="0"/>
              <w:spacing w:before="20" w:after="20"/>
              <w:rPr>
                <w:b/>
                <w:noProof/>
                <w:sz w:val="18"/>
                <w:szCs w:val="18"/>
                <w:lang w:val="en-US"/>
              </w:rPr>
            </w:pPr>
            <w:r w:rsidRPr="00A4272B">
              <w:rPr>
                <w:sz w:val="18"/>
                <w:szCs w:val="18"/>
                <w:lang w:val="en-US"/>
              </w:rPr>
              <w:t xml:space="preserve">Single compound; isomer of </w:t>
            </w:r>
            <w:r w:rsidRPr="00A4272B">
              <w:rPr>
                <w:sz w:val="18"/>
                <w:szCs w:val="18"/>
                <w:lang w:val="en-US" w:eastAsia="zh-CN"/>
              </w:rPr>
              <w:t>HCH</w:t>
            </w:r>
          </w:p>
        </w:tc>
        <w:tc>
          <w:tcPr>
            <w:tcW w:w="1694" w:type="dxa"/>
            <w:vAlign w:val="center"/>
          </w:tcPr>
          <w:p w14:paraId="115FA7C1" w14:textId="3B7B2C41" w:rsidR="00577066" w:rsidRPr="00A4272B" w:rsidRDefault="00407659" w:rsidP="00407659">
            <w:pPr>
              <w:widowControl w:val="0"/>
              <w:kinsoku w:val="0"/>
              <w:overflowPunct w:val="0"/>
              <w:autoSpaceDE w:val="0"/>
              <w:autoSpaceDN w:val="0"/>
              <w:spacing w:before="20" w:after="20"/>
              <w:rPr>
                <w:sz w:val="18"/>
                <w:szCs w:val="18"/>
                <w:lang w:val="en-US"/>
              </w:rPr>
            </w:pPr>
            <w:r w:rsidRPr="00A4272B">
              <w:rPr>
                <w:rFonts w:eastAsia="Symbol"/>
                <w:sz w:val="18"/>
                <w:szCs w:val="18"/>
                <w:lang w:val="en-US"/>
              </w:rPr>
              <w:t>Beta</w:t>
            </w:r>
            <w:r w:rsidRPr="00A4272B">
              <w:rPr>
                <w:sz w:val="18"/>
                <w:szCs w:val="18"/>
                <w:lang w:val="en-US"/>
              </w:rPr>
              <w:t>-HCH</w:t>
            </w:r>
          </w:p>
        </w:tc>
        <w:tc>
          <w:tcPr>
            <w:tcW w:w="1694" w:type="dxa"/>
            <w:vAlign w:val="center"/>
          </w:tcPr>
          <w:p w14:paraId="2CDD0EB6" w14:textId="77777777" w:rsidR="00577066" w:rsidRPr="00A4272B" w:rsidRDefault="00577066" w:rsidP="00407659">
            <w:pPr>
              <w:widowControl w:val="0"/>
              <w:kinsoku w:val="0"/>
              <w:overflowPunct w:val="0"/>
              <w:autoSpaceDE w:val="0"/>
              <w:autoSpaceDN w:val="0"/>
              <w:spacing w:before="20" w:after="20"/>
              <w:rPr>
                <w:sz w:val="18"/>
                <w:szCs w:val="18"/>
                <w:lang w:val="en-US"/>
              </w:rPr>
            </w:pPr>
          </w:p>
        </w:tc>
        <w:tc>
          <w:tcPr>
            <w:tcW w:w="1694" w:type="dxa"/>
            <w:vAlign w:val="center"/>
          </w:tcPr>
          <w:p w14:paraId="5FD10681" w14:textId="77777777" w:rsidR="00577066" w:rsidRPr="00A4272B" w:rsidRDefault="00577066" w:rsidP="00407659">
            <w:pPr>
              <w:widowControl w:val="0"/>
              <w:kinsoku w:val="0"/>
              <w:overflowPunct w:val="0"/>
              <w:autoSpaceDE w:val="0"/>
              <w:autoSpaceDN w:val="0"/>
              <w:spacing w:before="20" w:after="20"/>
              <w:rPr>
                <w:sz w:val="18"/>
                <w:szCs w:val="18"/>
                <w:lang w:val="en-US"/>
              </w:rPr>
            </w:pPr>
          </w:p>
        </w:tc>
        <w:tc>
          <w:tcPr>
            <w:tcW w:w="1186" w:type="dxa"/>
            <w:vAlign w:val="center"/>
          </w:tcPr>
          <w:p w14:paraId="6DB65E3B" w14:textId="54685628" w:rsidR="00577066" w:rsidRPr="00A4272B" w:rsidRDefault="00330A64" w:rsidP="00D13AC1">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0196859A" w14:textId="0849E1B1" w:rsidTr="00646AA3">
        <w:tc>
          <w:tcPr>
            <w:tcW w:w="402" w:type="dxa"/>
            <w:vAlign w:val="center"/>
          </w:tcPr>
          <w:p w14:paraId="2F1FF561" w14:textId="77777777" w:rsidR="00577066" w:rsidRPr="00A4272B" w:rsidRDefault="00577066" w:rsidP="00577066">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4</w:t>
            </w:r>
          </w:p>
        </w:tc>
        <w:tc>
          <w:tcPr>
            <w:tcW w:w="2605" w:type="dxa"/>
            <w:vAlign w:val="center"/>
          </w:tcPr>
          <w:p w14:paraId="78155EAE" w14:textId="77777777" w:rsidR="00577066" w:rsidRPr="00A4272B" w:rsidRDefault="00577066" w:rsidP="00577066">
            <w:pPr>
              <w:widowControl w:val="0"/>
              <w:kinsoku w:val="0"/>
              <w:overflowPunct w:val="0"/>
              <w:autoSpaceDE w:val="0"/>
              <w:autoSpaceDN w:val="0"/>
              <w:spacing w:before="20" w:after="20"/>
              <w:rPr>
                <w:noProof/>
                <w:sz w:val="18"/>
                <w:szCs w:val="18"/>
                <w:lang w:val="en-US"/>
              </w:rPr>
            </w:pPr>
            <w:r w:rsidRPr="00A4272B">
              <w:rPr>
                <w:noProof/>
                <w:sz w:val="18"/>
                <w:szCs w:val="18"/>
                <w:lang w:val="en-US"/>
              </w:rPr>
              <w:t>Chlordane</w:t>
            </w:r>
          </w:p>
        </w:tc>
        <w:tc>
          <w:tcPr>
            <w:tcW w:w="1079" w:type="dxa"/>
            <w:vAlign w:val="center"/>
          </w:tcPr>
          <w:p w14:paraId="66DE2E3F" w14:textId="77777777" w:rsidR="00577066" w:rsidRPr="00A4272B" w:rsidRDefault="00577066" w:rsidP="00577066">
            <w:pPr>
              <w:widowControl w:val="0"/>
              <w:kinsoku w:val="0"/>
              <w:overflowPunct w:val="0"/>
              <w:autoSpaceDE w:val="0"/>
              <w:autoSpaceDN w:val="0"/>
              <w:spacing w:before="20" w:after="20"/>
              <w:jc w:val="center"/>
              <w:rPr>
                <w:b/>
                <w:noProof/>
                <w:sz w:val="18"/>
                <w:szCs w:val="18"/>
                <w:lang w:val="en-US"/>
              </w:rPr>
            </w:pPr>
            <w:r w:rsidRPr="00A4272B">
              <w:rPr>
                <w:b/>
                <w:noProof/>
                <w:sz w:val="18"/>
                <w:szCs w:val="18"/>
                <w:lang w:val="en-US"/>
              </w:rPr>
              <w:t>–</w:t>
            </w:r>
          </w:p>
        </w:tc>
        <w:tc>
          <w:tcPr>
            <w:tcW w:w="757" w:type="dxa"/>
            <w:vAlign w:val="center"/>
          </w:tcPr>
          <w:p w14:paraId="74A11C99" w14:textId="77777777" w:rsidR="00577066" w:rsidRPr="00A4272B" w:rsidRDefault="00577066" w:rsidP="00577066">
            <w:pPr>
              <w:widowControl w:val="0"/>
              <w:kinsoku w:val="0"/>
              <w:overflowPunct w:val="0"/>
              <w:autoSpaceDE w:val="0"/>
              <w:autoSpaceDN w:val="0"/>
              <w:spacing w:before="20" w:after="20"/>
              <w:jc w:val="center"/>
              <w:rPr>
                <w:noProof/>
                <w:sz w:val="18"/>
                <w:szCs w:val="18"/>
                <w:lang w:val="en-US"/>
              </w:rPr>
            </w:pPr>
            <w:r w:rsidRPr="00A4272B">
              <w:rPr>
                <w:bCs/>
                <w:noProof/>
                <w:sz w:val="18"/>
                <w:szCs w:val="18"/>
                <w:lang w:val="en-US"/>
              </w:rPr>
              <w:t>A</w:t>
            </w:r>
          </w:p>
        </w:tc>
        <w:tc>
          <w:tcPr>
            <w:tcW w:w="674" w:type="dxa"/>
            <w:vAlign w:val="center"/>
          </w:tcPr>
          <w:p w14:paraId="63D30122" w14:textId="77777777" w:rsidR="00577066" w:rsidRPr="00A4272B" w:rsidRDefault="00577066" w:rsidP="00577066">
            <w:pPr>
              <w:widowControl w:val="0"/>
              <w:kinsoku w:val="0"/>
              <w:overflowPunct w:val="0"/>
              <w:autoSpaceDE w:val="0"/>
              <w:autoSpaceDN w:val="0"/>
              <w:spacing w:before="20" w:after="20"/>
              <w:jc w:val="center"/>
              <w:rPr>
                <w:noProof/>
                <w:sz w:val="18"/>
                <w:szCs w:val="18"/>
                <w:lang w:val="en-US"/>
              </w:rPr>
            </w:pPr>
            <w:r w:rsidRPr="00A4272B">
              <w:rPr>
                <w:bCs/>
                <w:noProof/>
                <w:sz w:val="18"/>
                <w:szCs w:val="18"/>
                <w:lang w:val="en-US"/>
              </w:rPr>
              <w:t>2004</w:t>
            </w:r>
          </w:p>
        </w:tc>
        <w:tc>
          <w:tcPr>
            <w:tcW w:w="929" w:type="dxa"/>
            <w:vAlign w:val="center"/>
          </w:tcPr>
          <w:p w14:paraId="30DF5064" w14:textId="77777777" w:rsidR="00577066" w:rsidRPr="00A4272B" w:rsidRDefault="00577066" w:rsidP="00577066">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021BDA68" w14:textId="77777777" w:rsidR="00577066" w:rsidRPr="00A4272B" w:rsidRDefault="00577066" w:rsidP="00577066">
            <w:pPr>
              <w:widowControl w:val="0"/>
              <w:kinsoku w:val="0"/>
              <w:overflowPunct w:val="0"/>
              <w:autoSpaceDE w:val="0"/>
              <w:autoSpaceDN w:val="0"/>
              <w:spacing w:before="20" w:after="20"/>
              <w:rPr>
                <w:sz w:val="18"/>
                <w:szCs w:val="18"/>
                <w:lang w:val="en-US"/>
              </w:rPr>
            </w:pPr>
            <w:r w:rsidRPr="00A4272B">
              <w:rPr>
                <w:sz w:val="18"/>
                <w:szCs w:val="18"/>
                <w:lang w:val="en-US"/>
              </w:rPr>
              <w:t>2 isomers</w:t>
            </w:r>
          </w:p>
        </w:tc>
        <w:tc>
          <w:tcPr>
            <w:tcW w:w="1694" w:type="dxa"/>
            <w:vAlign w:val="center"/>
          </w:tcPr>
          <w:p w14:paraId="58D2A8F6" w14:textId="59411EC8" w:rsidR="00577066" w:rsidRPr="00A4272B" w:rsidRDefault="00577066" w:rsidP="00407659">
            <w:pPr>
              <w:widowControl w:val="0"/>
              <w:kinsoku w:val="0"/>
              <w:overflowPunct w:val="0"/>
              <w:autoSpaceDE w:val="0"/>
              <w:autoSpaceDN w:val="0"/>
              <w:spacing w:before="20" w:after="20"/>
              <w:rPr>
                <w:sz w:val="18"/>
                <w:szCs w:val="18"/>
                <w:lang w:val="en-US"/>
              </w:rPr>
            </w:pPr>
            <w:r w:rsidRPr="00A4272B">
              <w:rPr>
                <w:i/>
                <w:sz w:val="18"/>
                <w:szCs w:val="18"/>
                <w:lang w:val="en-US"/>
              </w:rPr>
              <w:t>cis</w:t>
            </w:r>
            <w:r w:rsidRPr="00A4272B">
              <w:rPr>
                <w:sz w:val="18"/>
                <w:szCs w:val="18"/>
                <w:lang w:val="en-US"/>
              </w:rPr>
              <w:t xml:space="preserve">- and </w:t>
            </w:r>
            <w:r w:rsidRPr="00A4272B">
              <w:rPr>
                <w:i/>
                <w:sz w:val="18"/>
                <w:szCs w:val="18"/>
                <w:lang w:val="en-US"/>
              </w:rPr>
              <w:t>trans</w:t>
            </w:r>
            <w:r w:rsidRPr="00A4272B">
              <w:rPr>
                <w:sz w:val="18"/>
                <w:szCs w:val="18"/>
                <w:lang w:val="en-US"/>
              </w:rPr>
              <w:t>-chlordane</w:t>
            </w:r>
          </w:p>
          <w:p w14:paraId="557E012D" w14:textId="77777777" w:rsidR="00577066" w:rsidRPr="00A4272B" w:rsidRDefault="00577066" w:rsidP="00407659">
            <w:pPr>
              <w:widowControl w:val="0"/>
              <w:kinsoku w:val="0"/>
              <w:overflowPunct w:val="0"/>
              <w:autoSpaceDE w:val="0"/>
              <w:autoSpaceDN w:val="0"/>
              <w:spacing w:before="20" w:after="20"/>
              <w:rPr>
                <w:sz w:val="18"/>
                <w:szCs w:val="18"/>
                <w:lang w:val="en-US"/>
              </w:rPr>
            </w:pPr>
            <w:r w:rsidRPr="00A4272B">
              <w:rPr>
                <w:i/>
                <w:sz w:val="18"/>
                <w:szCs w:val="18"/>
                <w:lang w:val="en-US"/>
              </w:rPr>
              <w:t>cis</w:t>
            </w:r>
            <w:r w:rsidRPr="00A4272B">
              <w:rPr>
                <w:sz w:val="18"/>
                <w:szCs w:val="18"/>
                <w:lang w:val="en-US"/>
              </w:rPr>
              <w:t xml:space="preserve">- and </w:t>
            </w:r>
            <w:r w:rsidRPr="00A4272B">
              <w:rPr>
                <w:i/>
                <w:sz w:val="18"/>
                <w:szCs w:val="18"/>
                <w:lang w:val="en-US"/>
              </w:rPr>
              <w:t>trans</w:t>
            </w:r>
            <w:r w:rsidRPr="00A4272B">
              <w:rPr>
                <w:sz w:val="18"/>
                <w:szCs w:val="18"/>
                <w:lang w:val="en-US"/>
              </w:rPr>
              <w:t>-nonachlor</w:t>
            </w:r>
          </w:p>
          <w:p w14:paraId="0526F32A" w14:textId="34A26809" w:rsidR="00577066" w:rsidRPr="00A4272B" w:rsidRDefault="00577066" w:rsidP="00407659">
            <w:pPr>
              <w:widowControl w:val="0"/>
              <w:kinsoku w:val="0"/>
              <w:overflowPunct w:val="0"/>
              <w:autoSpaceDE w:val="0"/>
              <w:autoSpaceDN w:val="0"/>
              <w:spacing w:before="20" w:after="20"/>
              <w:rPr>
                <w:sz w:val="18"/>
                <w:szCs w:val="18"/>
                <w:lang w:val="en-US"/>
              </w:rPr>
            </w:pPr>
            <w:r w:rsidRPr="00A4272B">
              <w:rPr>
                <w:sz w:val="18"/>
                <w:szCs w:val="18"/>
                <w:lang w:val="en-US"/>
              </w:rPr>
              <w:t>oxychlordane</w:t>
            </w:r>
          </w:p>
        </w:tc>
        <w:tc>
          <w:tcPr>
            <w:tcW w:w="1694" w:type="dxa"/>
            <w:vAlign w:val="center"/>
          </w:tcPr>
          <w:p w14:paraId="7B63DC1C" w14:textId="77777777" w:rsidR="00577066" w:rsidRPr="00A4272B" w:rsidRDefault="00577066" w:rsidP="00407659">
            <w:pPr>
              <w:widowControl w:val="0"/>
              <w:kinsoku w:val="0"/>
              <w:overflowPunct w:val="0"/>
              <w:autoSpaceDE w:val="0"/>
              <w:autoSpaceDN w:val="0"/>
              <w:spacing w:before="20" w:after="20"/>
              <w:rPr>
                <w:sz w:val="18"/>
                <w:szCs w:val="18"/>
                <w:lang w:val="en-US"/>
              </w:rPr>
            </w:pPr>
            <w:r w:rsidRPr="00A4272B">
              <w:rPr>
                <w:i/>
                <w:sz w:val="18"/>
                <w:szCs w:val="18"/>
                <w:lang w:val="en-US"/>
              </w:rPr>
              <w:t>cis</w:t>
            </w:r>
            <w:r w:rsidRPr="00A4272B">
              <w:rPr>
                <w:sz w:val="18"/>
                <w:szCs w:val="18"/>
                <w:lang w:val="en-US"/>
              </w:rPr>
              <w:t xml:space="preserve">- and </w:t>
            </w:r>
            <w:r w:rsidRPr="00A4272B">
              <w:rPr>
                <w:i/>
                <w:sz w:val="18"/>
                <w:szCs w:val="18"/>
                <w:lang w:val="en-US"/>
              </w:rPr>
              <w:t>trans</w:t>
            </w:r>
            <w:r w:rsidRPr="00A4272B">
              <w:rPr>
                <w:sz w:val="18"/>
                <w:szCs w:val="18"/>
                <w:lang w:val="en-US"/>
              </w:rPr>
              <w:t>-chlordane</w:t>
            </w:r>
          </w:p>
          <w:p w14:paraId="41001250" w14:textId="77777777" w:rsidR="00577066" w:rsidRPr="00A4272B" w:rsidRDefault="00577066" w:rsidP="00407659">
            <w:pPr>
              <w:widowControl w:val="0"/>
              <w:kinsoku w:val="0"/>
              <w:overflowPunct w:val="0"/>
              <w:autoSpaceDE w:val="0"/>
              <w:autoSpaceDN w:val="0"/>
              <w:spacing w:before="20" w:after="20"/>
              <w:rPr>
                <w:sz w:val="18"/>
                <w:szCs w:val="18"/>
                <w:lang w:val="en-US"/>
              </w:rPr>
            </w:pPr>
            <w:r w:rsidRPr="00A4272B">
              <w:rPr>
                <w:i/>
                <w:sz w:val="18"/>
                <w:szCs w:val="18"/>
                <w:lang w:val="en-US"/>
              </w:rPr>
              <w:t>cis</w:t>
            </w:r>
            <w:r w:rsidRPr="00A4272B">
              <w:rPr>
                <w:sz w:val="18"/>
                <w:szCs w:val="18"/>
                <w:lang w:val="en-US"/>
              </w:rPr>
              <w:t xml:space="preserve">- and </w:t>
            </w:r>
            <w:r w:rsidRPr="00A4272B">
              <w:rPr>
                <w:i/>
                <w:sz w:val="18"/>
                <w:szCs w:val="18"/>
                <w:lang w:val="en-US"/>
              </w:rPr>
              <w:t>trans</w:t>
            </w:r>
            <w:r w:rsidRPr="00A4272B">
              <w:rPr>
                <w:sz w:val="18"/>
                <w:szCs w:val="18"/>
                <w:lang w:val="en-US"/>
              </w:rPr>
              <w:t>-nonachlor</w:t>
            </w:r>
          </w:p>
          <w:p w14:paraId="4AF758AD" w14:textId="3ACB4F85" w:rsidR="00577066" w:rsidRPr="00A4272B" w:rsidRDefault="00577066" w:rsidP="00407659">
            <w:pPr>
              <w:widowControl w:val="0"/>
              <w:kinsoku w:val="0"/>
              <w:overflowPunct w:val="0"/>
              <w:autoSpaceDE w:val="0"/>
              <w:autoSpaceDN w:val="0"/>
              <w:spacing w:before="20" w:after="20"/>
              <w:rPr>
                <w:sz w:val="18"/>
                <w:szCs w:val="18"/>
                <w:lang w:val="en-US"/>
              </w:rPr>
            </w:pPr>
            <w:r w:rsidRPr="00A4272B">
              <w:rPr>
                <w:sz w:val="18"/>
                <w:szCs w:val="18"/>
                <w:lang w:val="en-US"/>
              </w:rPr>
              <w:t>oxychlordane</w:t>
            </w:r>
          </w:p>
        </w:tc>
        <w:tc>
          <w:tcPr>
            <w:tcW w:w="1694" w:type="dxa"/>
            <w:vAlign w:val="center"/>
          </w:tcPr>
          <w:p w14:paraId="5BD1B332" w14:textId="77777777" w:rsidR="00577066" w:rsidRPr="00A4272B" w:rsidRDefault="00577066" w:rsidP="00407659">
            <w:pPr>
              <w:widowControl w:val="0"/>
              <w:kinsoku w:val="0"/>
              <w:overflowPunct w:val="0"/>
              <w:autoSpaceDE w:val="0"/>
              <w:autoSpaceDN w:val="0"/>
              <w:spacing w:before="20" w:after="20"/>
              <w:rPr>
                <w:sz w:val="18"/>
                <w:szCs w:val="18"/>
                <w:lang w:val="en-US"/>
              </w:rPr>
            </w:pPr>
            <w:r w:rsidRPr="00A4272B">
              <w:rPr>
                <w:i/>
                <w:sz w:val="18"/>
                <w:szCs w:val="18"/>
                <w:lang w:val="en-US"/>
              </w:rPr>
              <w:t>cis</w:t>
            </w:r>
            <w:r w:rsidRPr="00A4272B">
              <w:rPr>
                <w:sz w:val="18"/>
                <w:szCs w:val="18"/>
                <w:lang w:val="en-US"/>
              </w:rPr>
              <w:t xml:space="preserve">- and </w:t>
            </w:r>
            <w:r w:rsidRPr="00A4272B">
              <w:rPr>
                <w:i/>
                <w:sz w:val="18"/>
                <w:szCs w:val="18"/>
                <w:lang w:val="en-US"/>
              </w:rPr>
              <w:t>trans</w:t>
            </w:r>
            <w:r w:rsidRPr="00A4272B">
              <w:rPr>
                <w:sz w:val="18"/>
                <w:szCs w:val="18"/>
                <w:lang w:val="en-US"/>
              </w:rPr>
              <w:t>-chlordane</w:t>
            </w:r>
          </w:p>
          <w:p w14:paraId="16D45C9C" w14:textId="77777777" w:rsidR="00577066" w:rsidRPr="00A4272B" w:rsidRDefault="00577066" w:rsidP="00407659">
            <w:pPr>
              <w:widowControl w:val="0"/>
              <w:kinsoku w:val="0"/>
              <w:overflowPunct w:val="0"/>
              <w:autoSpaceDE w:val="0"/>
              <w:autoSpaceDN w:val="0"/>
              <w:spacing w:before="20" w:after="20"/>
              <w:rPr>
                <w:sz w:val="18"/>
                <w:szCs w:val="18"/>
                <w:lang w:val="en-US"/>
              </w:rPr>
            </w:pPr>
            <w:r w:rsidRPr="00A4272B">
              <w:rPr>
                <w:i/>
                <w:sz w:val="18"/>
                <w:szCs w:val="18"/>
                <w:lang w:val="en-US"/>
              </w:rPr>
              <w:t>cis</w:t>
            </w:r>
            <w:r w:rsidRPr="00A4272B">
              <w:rPr>
                <w:sz w:val="18"/>
                <w:szCs w:val="18"/>
                <w:lang w:val="en-US"/>
              </w:rPr>
              <w:t xml:space="preserve">- and </w:t>
            </w:r>
            <w:r w:rsidRPr="00A4272B">
              <w:rPr>
                <w:i/>
                <w:sz w:val="18"/>
                <w:szCs w:val="18"/>
                <w:lang w:val="en-US"/>
              </w:rPr>
              <w:t>trans</w:t>
            </w:r>
            <w:r w:rsidRPr="00A4272B">
              <w:rPr>
                <w:sz w:val="18"/>
                <w:szCs w:val="18"/>
                <w:lang w:val="en-US"/>
              </w:rPr>
              <w:t>-nonachlor</w:t>
            </w:r>
          </w:p>
          <w:p w14:paraId="47D2C20A" w14:textId="6BF17F2C" w:rsidR="00577066" w:rsidRPr="00A4272B" w:rsidRDefault="00577066" w:rsidP="00407659">
            <w:pPr>
              <w:widowControl w:val="0"/>
              <w:kinsoku w:val="0"/>
              <w:overflowPunct w:val="0"/>
              <w:autoSpaceDE w:val="0"/>
              <w:autoSpaceDN w:val="0"/>
              <w:spacing w:before="20" w:after="20"/>
              <w:rPr>
                <w:sz w:val="18"/>
                <w:szCs w:val="18"/>
                <w:lang w:val="en-US"/>
              </w:rPr>
            </w:pPr>
            <w:r w:rsidRPr="00A4272B">
              <w:rPr>
                <w:sz w:val="18"/>
                <w:szCs w:val="18"/>
                <w:lang w:val="en-US"/>
              </w:rPr>
              <w:t>oxychlordane</w:t>
            </w:r>
          </w:p>
        </w:tc>
        <w:tc>
          <w:tcPr>
            <w:tcW w:w="1186" w:type="dxa"/>
            <w:vAlign w:val="center"/>
          </w:tcPr>
          <w:p w14:paraId="1563F847" w14:textId="41BE220F" w:rsidR="00577066" w:rsidRPr="00A4272B" w:rsidRDefault="00330A64" w:rsidP="00D13AC1">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407659" w:rsidRPr="00A4272B" w14:paraId="6D08E237" w14:textId="37387F61" w:rsidTr="00646AA3">
        <w:tc>
          <w:tcPr>
            <w:tcW w:w="402" w:type="dxa"/>
            <w:vAlign w:val="center"/>
          </w:tcPr>
          <w:p w14:paraId="069012CF" w14:textId="77777777" w:rsidR="00407659" w:rsidRPr="00A4272B" w:rsidRDefault="00407659" w:rsidP="0040765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5</w:t>
            </w:r>
          </w:p>
        </w:tc>
        <w:tc>
          <w:tcPr>
            <w:tcW w:w="2605" w:type="dxa"/>
            <w:vAlign w:val="center"/>
          </w:tcPr>
          <w:p w14:paraId="602E399A" w14:textId="77777777" w:rsidR="00407659" w:rsidRPr="00A4272B" w:rsidRDefault="00407659" w:rsidP="00407659">
            <w:pPr>
              <w:widowControl w:val="0"/>
              <w:kinsoku w:val="0"/>
              <w:overflowPunct w:val="0"/>
              <w:autoSpaceDE w:val="0"/>
              <w:autoSpaceDN w:val="0"/>
              <w:spacing w:before="20" w:after="20"/>
              <w:rPr>
                <w:noProof/>
                <w:sz w:val="18"/>
                <w:szCs w:val="18"/>
                <w:lang w:val="en-US"/>
              </w:rPr>
            </w:pPr>
            <w:r w:rsidRPr="00A4272B">
              <w:rPr>
                <w:noProof/>
                <w:sz w:val="18"/>
                <w:szCs w:val="18"/>
                <w:lang w:val="en-US"/>
              </w:rPr>
              <w:t>Chlordecone</w:t>
            </w:r>
          </w:p>
        </w:tc>
        <w:tc>
          <w:tcPr>
            <w:tcW w:w="1079" w:type="dxa"/>
            <w:vAlign w:val="center"/>
          </w:tcPr>
          <w:p w14:paraId="6864AEAD" w14:textId="77777777" w:rsidR="00407659" w:rsidRPr="00A4272B" w:rsidRDefault="00407659" w:rsidP="00407659">
            <w:pPr>
              <w:widowControl w:val="0"/>
              <w:kinsoku w:val="0"/>
              <w:overflowPunct w:val="0"/>
              <w:autoSpaceDE w:val="0"/>
              <w:autoSpaceDN w:val="0"/>
              <w:spacing w:before="20" w:after="20"/>
              <w:jc w:val="center"/>
              <w:rPr>
                <w:b/>
                <w:noProof/>
                <w:sz w:val="18"/>
                <w:szCs w:val="18"/>
                <w:lang w:val="en-US"/>
              </w:rPr>
            </w:pPr>
            <w:r w:rsidRPr="00A4272B">
              <w:rPr>
                <w:b/>
                <w:noProof/>
                <w:sz w:val="18"/>
                <w:szCs w:val="18"/>
                <w:lang w:val="en-US"/>
              </w:rPr>
              <w:t>–</w:t>
            </w:r>
          </w:p>
        </w:tc>
        <w:tc>
          <w:tcPr>
            <w:tcW w:w="757" w:type="dxa"/>
            <w:vAlign w:val="center"/>
          </w:tcPr>
          <w:p w14:paraId="798E1E2D" w14:textId="77777777" w:rsidR="00407659" w:rsidRPr="00A4272B" w:rsidRDefault="00407659" w:rsidP="00407659">
            <w:pPr>
              <w:widowControl w:val="0"/>
              <w:kinsoku w:val="0"/>
              <w:overflowPunct w:val="0"/>
              <w:autoSpaceDE w:val="0"/>
              <w:autoSpaceDN w:val="0"/>
              <w:spacing w:before="20" w:after="20"/>
              <w:jc w:val="center"/>
              <w:rPr>
                <w:b/>
                <w:noProof/>
                <w:sz w:val="18"/>
                <w:szCs w:val="18"/>
                <w:lang w:val="en-US"/>
              </w:rPr>
            </w:pPr>
            <w:r w:rsidRPr="00A4272B">
              <w:rPr>
                <w:noProof/>
                <w:sz w:val="18"/>
                <w:szCs w:val="18"/>
                <w:lang w:val="en-US"/>
              </w:rPr>
              <w:t>A</w:t>
            </w:r>
          </w:p>
        </w:tc>
        <w:tc>
          <w:tcPr>
            <w:tcW w:w="674" w:type="dxa"/>
            <w:vAlign w:val="center"/>
          </w:tcPr>
          <w:p w14:paraId="5C28A3CD" w14:textId="77777777" w:rsidR="00407659" w:rsidRPr="00A4272B" w:rsidRDefault="00407659" w:rsidP="00407659">
            <w:pPr>
              <w:widowControl w:val="0"/>
              <w:kinsoku w:val="0"/>
              <w:overflowPunct w:val="0"/>
              <w:autoSpaceDE w:val="0"/>
              <w:autoSpaceDN w:val="0"/>
              <w:spacing w:before="20" w:after="20"/>
              <w:jc w:val="center"/>
              <w:rPr>
                <w:b/>
                <w:noProof/>
                <w:sz w:val="18"/>
                <w:szCs w:val="18"/>
                <w:lang w:val="en-US"/>
              </w:rPr>
            </w:pPr>
            <w:r w:rsidRPr="00A4272B">
              <w:rPr>
                <w:noProof/>
                <w:sz w:val="18"/>
                <w:szCs w:val="18"/>
                <w:lang w:val="en-US"/>
              </w:rPr>
              <w:t>2009</w:t>
            </w:r>
          </w:p>
        </w:tc>
        <w:tc>
          <w:tcPr>
            <w:tcW w:w="929" w:type="dxa"/>
            <w:vAlign w:val="center"/>
          </w:tcPr>
          <w:p w14:paraId="1E20C844" w14:textId="77777777" w:rsidR="00407659" w:rsidRPr="00A4272B" w:rsidRDefault="00407659" w:rsidP="00407659">
            <w:pPr>
              <w:widowControl w:val="0"/>
              <w:kinsoku w:val="0"/>
              <w:overflowPunct w:val="0"/>
              <w:autoSpaceDE w:val="0"/>
              <w:autoSpaceDN w:val="0"/>
              <w:spacing w:before="20" w:after="20"/>
              <w:jc w:val="center"/>
              <w:rPr>
                <w:b/>
                <w:noProof/>
                <w:sz w:val="18"/>
                <w:szCs w:val="18"/>
                <w:lang w:val="en-US"/>
              </w:rPr>
            </w:pPr>
            <w:r w:rsidRPr="00A4272B">
              <w:rPr>
                <w:bCs/>
                <w:noProof/>
                <w:sz w:val="18"/>
                <w:szCs w:val="18"/>
                <w:lang w:val="en-US"/>
              </w:rPr>
              <w:t>SC-4/12</w:t>
            </w:r>
          </w:p>
        </w:tc>
        <w:tc>
          <w:tcPr>
            <w:tcW w:w="1705" w:type="dxa"/>
            <w:vAlign w:val="center"/>
          </w:tcPr>
          <w:p w14:paraId="6AAF958B" w14:textId="77777777" w:rsidR="00407659" w:rsidRPr="00A4272B" w:rsidRDefault="00407659" w:rsidP="00407659">
            <w:pPr>
              <w:widowControl w:val="0"/>
              <w:kinsoku w:val="0"/>
              <w:overflowPunct w:val="0"/>
              <w:autoSpaceDE w:val="0"/>
              <w:autoSpaceDN w:val="0"/>
              <w:spacing w:before="20" w:after="20"/>
              <w:rPr>
                <w:b/>
                <w:noProof/>
                <w:sz w:val="18"/>
                <w:szCs w:val="18"/>
                <w:lang w:val="en-US"/>
              </w:rPr>
            </w:pPr>
            <w:r w:rsidRPr="00A4272B">
              <w:rPr>
                <w:sz w:val="18"/>
                <w:szCs w:val="18"/>
                <w:lang w:val="en-US"/>
              </w:rPr>
              <w:t>Single compound</w:t>
            </w:r>
          </w:p>
        </w:tc>
        <w:tc>
          <w:tcPr>
            <w:tcW w:w="1694" w:type="dxa"/>
            <w:vAlign w:val="center"/>
          </w:tcPr>
          <w:p w14:paraId="5E517CDD" w14:textId="5B0C44FF" w:rsidR="00407659" w:rsidRPr="00A4272B" w:rsidRDefault="00407659" w:rsidP="00407659">
            <w:pPr>
              <w:widowControl w:val="0"/>
              <w:kinsoku w:val="0"/>
              <w:overflowPunct w:val="0"/>
              <w:autoSpaceDE w:val="0"/>
              <w:autoSpaceDN w:val="0"/>
              <w:spacing w:before="20" w:after="20"/>
              <w:rPr>
                <w:sz w:val="18"/>
                <w:szCs w:val="18"/>
                <w:lang w:val="en-US"/>
              </w:rPr>
            </w:pPr>
            <w:r w:rsidRPr="00A4272B">
              <w:rPr>
                <w:sz w:val="18"/>
                <w:szCs w:val="18"/>
                <w:lang w:val="en-US"/>
              </w:rPr>
              <w:t>Chlordecone</w:t>
            </w:r>
          </w:p>
        </w:tc>
        <w:tc>
          <w:tcPr>
            <w:tcW w:w="1694" w:type="dxa"/>
            <w:vAlign w:val="center"/>
          </w:tcPr>
          <w:p w14:paraId="5C6259DD" w14:textId="00BFBEEF" w:rsidR="00407659" w:rsidRPr="00A4272B" w:rsidRDefault="00407659" w:rsidP="00407659">
            <w:pPr>
              <w:widowControl w:val="0"/>
              <w:kinsoku w:val="0"/>
              <w:overflowPunct w:val="0"/>
              <w:autoSpaceDE w:val="0"/>
              <w:autoSpaceDN w:val="0"/>
              <w:spacing w:before="20" w:after="20"/>
              <w:rPr>
                <w:sz w:val="18"/>
                <w:szCs w:val="18"/>
                <w:lang w:val="en-US"/>
              </w:rPr>
            </w:pPr>
            <w:r w:rsidRPr="00A4272B">
              <w:rPr>
                <w:sz w:val="18"/>
                <w:szCs w:val="18"/>
                <w:lang w:val="en-US"/>
              </w:rPr>
              <w:t>Chlordecone</w:t>
            </w:r>
          </w:p>
        </w:tc>
        <w:tc>
          <w:tcPr>
            <w:tcW w:w="1694" w:type="dxa"/>
            <w:vAlign w:val="center"/>
          </w:tcPr>
          <w:p w14:paraId="4BEF1E40" w14:textId="570C9790" w:rsidR="00407659" w:rsidRPr="00A4272B" w:rsidRDefault="00407659" w:rsidP="00407659">
            <w:pPr>
              <w:widowControl w:val="0"/>
              <w:kinsoku w:val="0"/>
              <w:overflowPunct w:val="0"/>
              <w:autoSpaceDE w:val="0"/>
              <w:autoSpaceDN w:val="0"/>
              <w:spacing w:before="20" w:after="20"/>
              <w:rPr>
                <w:sz w:val="18"/>
                <w:szCs w:val="18"/>
                <w:lang w:val="en-US"/>
              </w:rPr>
            </w:pPr>
            <w:r w:rsidRPr="00A4272B">
              <w:rPr>
                <w:sz w:val="18"/>
                <w:szCs w:val="18"/>
                <w:lang w:val="en-US"/>
              </w:rPr>
              <w:t>Chlordecone</w:t>
            </w:r>
          </w:p>
        </w:tc>
        <w:tc>
          <w:tcPr>
            <w:tcW w:w="1186" w:type="dxa"/>
            <w:vAlign w:val="center"/>
          </w:tcPr>
          <w:p w14:paraId="0D7B7FF0" w14:textId="362D7802" w:rsidR="00407659" w:rsidRPr="00A4272B" w:rsidRDefault="00330A64" w:rsidP="0040765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60076F05" w14:textId="55E7C98B" w:rsidTr="00646AA3">
        <w:tc>
          <w:tcPr>
            <w:tcW w:w="402" w:type="dxa"/>
            <w:vAlign w:val="center"/>
          </w:tcPr>
          <w:p w14:paraId="08DB475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6</w:t>
            </w:r>
          </w:p>
        </w:tc>
        <w:tc>
          <w:tcPr>
            <w:tcW w:w="2605" w:type="dxa"/>
            <w:vAlign w:val="center"/>
          </w:tcPr>
          <w:p w14:paraId="5F4C11FE"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Decabromodiphenyl ether preesnt in commercial decabromodiphenyl ether</w:t>
            </w:r>
          </w:p>
        </w:tc>
        <w:tc>
          <w:tcPr>
            <w:tcW w:w="1079" w:type="dxa"/>
            <w:vAlign w:val="center"/>
          </w:tcPr>
          <w:p w14:paraId="045B2B1F"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DecaBDE</w:t>
            </w:r>
          </w:p>
        </w:tc>
        <w:tc>
          <w:tcPr>
            <w:tcW w:w="757" w:type="dxa"/>
            <w:vAlign w:val="center"/>
          </w:tcPr>
          <w:p w14:paraId="389202A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547D8C7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2017</w:t>
            </w:r>
          </w:p>
        </w:tc>
        <w:tc>
          <w:tcPr>
            <w:tcW w:w="929" w:type="dxa"/>
            <w:vAlign w:val="center"/>
          </w:tcPr>
          <w:p w14:paraId="6F81FD4D"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SC-8/10</w:t>
            </w:r>
          </w:p>
        </w:tc>
        <w:tc>
          <w:tcPr>
            <w:tcW w:w="1705" w:type="dxa"/>
            <w:vAlign w:val="center"/>
          </w:tcPr>
          <w:p w14:paraId="68DF77E5"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Commercial mixure of decaBDE</w:t>
            </w:r>
          </w:p>
        </w:tc>
        <w:tc>
          <w:tcPr>
            <w:tcW w:w="1694" w:type="dxa"/>
            <w:vAlign w:val="center"/>
          </w:tcPr>
          <w:p w14:paraId="07D054AA" w14:textId="5B0A284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BDE-209</w:t>
            </w:r>
          </w:p>
        </w:tc>
        <w:tc>
          <w:tcPr>
            <w:tcW w:w="1694" w:type="dxa"/>
            <w:vAlign w:val="center"/>
          </w:tcPr>
          <w:p w14:paraId="5B1F83AC" w14:textId="2FB809C1"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BDE-209</w:t>
            </w:r>
          </w:p>
        </w:tc>
        <w:tc>
          <w:tcPr>
            <w:tcW w:w="1694" w:type="dxa"/>
            <w:vAlign w:val="center"/>
          </w:tcPr>
          <w:p w14:paraId="50E1DF07" w14:textId="425B0269"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BDE-209</w:t>
            </w:r>
          </w:p>
        </w:tc>
        <w:tc>
          <w:tcPr>
            <w:tcW w:w="1186" w:type="dxa"/>
            <w:vAlign w:val="center"/>
          </w:tcPr>
          <w:p w14:paraId="382BAB8B" w14:textId="0961C769" w:rsidR="00735969" w:rsidRPr="00A4272B" w:rsidRDefault="00330A64"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N/A</w:t>
            </w:r>
          </w:p>
        </w:tc>
      </w:tr>
      <w:tr w:rsidR="00735969" w:rsidRPr="00A4272B" w14:paraId="2B8D63A1" w14:textId="7E60C95C" w:rsidTr="00646AA3">
        <w:tc>
          <w:tcPr>
            <w:tcW w:w="402" w:type="dxa"/>
            <w:vAlign w:val="center"/>
          </w:tcPr>
          <w:p w14:paraId="183B031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7</w:t>
            </w:r>
          </w:p>
        </w:tc>
        <w:tc>
          <w:tcPr>
            <w:tcW w:w="2605" w:type="dxa"/>
            <w:vAlign w:val="center"/>
          </w:tcPr>
          <w:p w14:paraId="2AF13409" w14:textId="77777777"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Dechlornae Plus</w:t>
            </w:r>
          </w:p>
        </w:tc>
        <w:tc>
          <w:tcPr>
            <w:tcW w:w="1079" w:type="dxa"/>
            <w:vAlign w:val="center"/>
          </w:tcPr>
          <w:p w14:paraId="02661218"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DP</w:t>
            </w:r>
          </w:p>
        </w:tc>
        <w:tc>
          <w:tcPr>
            <w:tcW w:w="757" w:type="dxa"/>
            <w:vAlign w:val="center"/>
          </w:tcPr>
          <w:p w14:paraId="20D0C78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0482A73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2023</w:t>
            </w:r>
          </w:p>
        </w:tc>
        <w:tc>
          <w:tcPr>
            <w:tcW w:w="929" w:type="dxa"/>
            <w:vAlign w:val="center"/>
          </w:tcPr>
          <w:p w14:paraId="2354A89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SC-10/10</w:t>
            </w:r>
          </w:p>
        </w:tc>
        <w:tc>
          <w:tcPr>
            <w:tcW w:w="1705" w:type="dxa"/>
            <w:vAlign w:val="center"/>
          </w:tcPr>
          <w:p w14:paraId="01D38B23"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2 isomers</w:t>
            </w:r>
          </w:p>
        </w:tc>
        <w:tc>
          <w:tcPr>
            <w:tcW w:w="1694" w:type="dxa"/>
            <w:vAlign w:val="center"/>
          </w:tcPr>
          <w:p w14:paraId="3DF62AF4" w14:textId="7BC02BEB"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Dechlorane Plus</w:t>
            </w:r>
          </w:p>
        </w:tc>
        <w:tc>
          <w:tcPr>
            <w:tcW w:w="1694" w:type="dxa"/>
            <w:vAlign w:val="center"/>
          </w:tcPr>
          <w:p w14:paraId="4352DA6C" w14:textId="1661D561"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Dechlorane Plus</w:t>
            </w:r>
          </w:p>
        </w:tc>
        <w:tc>
          <w:tcPr>
            <w:tcW w:w="1694" w:type="dxa"/>
            <w:vAlign w:val="center"/>
          </w:tcPr>
          <w:p w14:paraId="2335E70D" w14:textId="42439938"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Dechlorane Plus</w:t>
            </w:r>
          </w:p>
        </w:tc>
        <w:tc>
          <w:tcPr>
            <w:tcW w:w="1186" w:type="dxa"/>
            <w:vAlign w:val="center"/>
          </w:tcPr>
          <w:p w14:paraId="6219D4C4" w14:textId="072BC317"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444FFC58" w14:textId="14045745" w:rsidTr="00646AA3">
        <w:tc>
          <w:tcPr>
            <w:tcW w:w="402" w:type="dxa"/>
            <w:vAlign w:val="center"/>
          </w:tcPr>
          <w:p w14:paraId="6A33EDE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8</w:t>
            </w:r>
          </w:p>
        </w:tc>
        <w:tc>
          <w:tcPr>
            <w:tcW w:w="2605" w:type="dxa"/>
            <w:vAlign w:val="center"/>
          </w:tcPr>
          <w:p w14:paraId="6539D223"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 xml:space="preserve">Dichlorodiphenyltrichloroethane </w:t>
            </w:r>
          </w:p>
        </w:tc>
        <w:tc>
          <w:tcPr>
            <w:tcW w:w="1079" w:type="dxa"/>
            <w:vAlign w:val="center"/>
          </w:tcPr>
          <w:p w14:paraId="763F7D27"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DDT</w:t>
            </w:r>
          </w:p>
        </w:tc>
        <w:tc>
          <w:tcPr>
            <w:tcW w:w="757" w:type="dxa"/>
            <w:vAlign w:val="center"/>
          </w:tcPr>
          <w:p w14:paraId="7CB12558"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B</w:t>
            </w:r>
          </w:p>
        </w:tc>
        <w:tc>
          <w:tcPr>
            <w:tcW w:w="674" w:type="dxa"/>
            <w:vAlign w:val="center"/>
          </w:tcPr>
          <w:p w14:paraId="32F29BA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2049304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32CED862"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2 isomers</w:t>
            </w:r>
          </w:p>
        </w:tc>
        <w:tc>
          <w:tcPr>
            <w:tcW w:w="1694" w:type="dxa"/>
            <w:vAlign w:val="center"/>
          </w:tcPr>
          <w:p w14:paraId="29081489" w14:textId="22D4D835"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4,4’-DDT</w:t>
            </w:r>
          </w:p>
          <w:p w14:paraId="7A9F811A"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 xml:space="preserve">2,4’-DDT </w:t>
            </w:r>
          </w:p>
          <w:p w14:paraId="581259FB" w14:textId="5CE5E56D"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4,4’-DDE</w:t>
            </w:r>
          </w:p>
          <w:p w14:paraId="123B3E97" w14:textId="5A773993"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 xml:space="preserve">2,4’-DDE </w:t>
            </w:r>
          </w:p>
          <w:p w14:paraId="2CEB2833" w14:textId="4AB2C8F5"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4,4’-DDD</w:t>
            </w:r>
          </w:p>
          <w:p w14:paraId="0B347B11" w14:textId="05DCD6AA"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2,4’-DDD</w:t>
            </w:r>
          </w:p>
        </w:tc>
        <w:tc>
          <w:tcPr>
            <w:tcW w:w="1694" w:type="dxa"/>
            <w:vAlign w:val="center"/>
          </w:tcPr>
          <w:p w14:paraId="10F5CB07"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4,4’-DDT</w:t>
            </w:r>
          </w:p>
          <w:p w14:paraId="407A847D"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 xml:space="preserve">2,4’-DDT </w:t>
            </w:r>
          </w:p>
          <w:p w14:paraId="37398B0C"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4,4’-DDE</w:t>
            </w:r>
          </w:p>
          <w:p w14:paraId="35982AD2"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 xml:space="preserve">2,4’-DDE </w:t>
            </w:r>
          </w:p>
          <w:p w14:paraId="29AF7D80" w14:textId="47D4334C"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4,4’-DDD</w:t>
            </w:r>
          </w:p>
          <w:p w14:paraId="73527E27" w14:textId="4C6E6EB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2,4’-DDD</w:t>
            </w:r>
          </w:p>
        </w:tc>
        <w:tc>
          <w:tcPr>
            <w:tcW w:w="1694" w:type="dxa"/>
            <w:vAlign w:val="center"/>
          </w:tcPr>
          <w:p w14:paraId="11814B03"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4,4’-DDT</w:t>
            </w:r>
          </w:p>
          <w:p w14:paraId="28277334"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 xml:space="preserve">2,4’-DDT </w:t>
            </w:r>
          </w:p>
          <w:p w14:paraId="0C7B65D0"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4,4’-DDE</w:t>
            </w:r>
          </w:p>
          <w:p w14:paraId="74FDA0D2" w14:textId="77777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 xml:space="preserve">2,4’-DDE </w:t>
            </w:r>
          </w:p>
          <w:p w14:paraId="410F8456" w14:textId="32C0D1B6"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4,4’-DDD</w:t>
            </w:r>
          </w:p>
          <w:p w14:paraId="698B794C" w14:textId="0B54AE63"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2,4’-DDD</w:t>
            </w:r>
          </w:p>
        </w:tc>
        <w:tc>
          <w:tcPr>
            <w:tcW w:w="1186" w:type="dxa"/>
            <w:vAlign w:val="center"/>
          </w:tcPr>
          <w:p w14:paraId="0594B368" w14:textId="34E808D2"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1C2EFA3E" w14:textId="34B35F3E" w:rsidTr="00646AA3">
        <w:tc>
          <w:tcPr>
            <w:tcW w:w="402" w:type="dxa"/>
            <w:vAlign w:val="center"/>
          </w:tcPr>
          <w:p w14:paraId="4B90A68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9</w:t>
            </w:r>
          </w:p>
        </w:tc>
        <w:tc>
          <w:tcPr>
            <w:tcW w:w="2605" w:type="dxa"/>
            <w:vAlign w:val="center"/>
          </w:tcPr>
          <w:p w14:paraId="0750FB09"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noProof/>
                <w:sz w:val="18"/>
                <w:szCs w:val="18"/>
                <w:lang w:val="en-US"/>
              </w:rPr>
              <w:t>Dicofol</w:t>
            </w:r>
          </w:p>
        </w:tc>
        <w:tc>
          <w:tcPr>
            <w:tcW w:w="1079" w:type="dxa"/>
            <w:vAlign w:val="center"/>
          </w:tcPr>
          <w:p w14:paraId="48BB3D0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5220BDDC"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4D2080F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2019</w:t>
            </w:r>
          </w:p>
        </w:tc>
        <w:tc>
          <w:tcPr>
            <w:tcW w:w="929" w:type="dxa"/>
            <w:vAlign w:val="center"/>
          </w:tcPr>
          <w:p w14:paraId="7300F1C6"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SC-9/11</w:t>
            </w:r>
          </w:p>
        </w:tc>
        <w:tc>
          <w:tcPr>
            <w:tcW w:w="1705" w:type="dxa"/>
            <w:vAlign w:val="center"/>
          </w:tcPr>
          <w:p w14:paraId="06483BE8"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2 isomers</w:t>
            </w:r>
          </w:p>
        </w:tc>
        <w:tc>
          <w:tcPr>
            <w:tcW w:w="1694" w:type="dxa"/>
            <w:vAlign w:val="center"/>
          </w:tcPr>
          <w:p w14:paraId="028ED409" w14:textId="573328E5"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Dicofol</w:t>
            </w:r>
          </w:p>
        </w:tc>
        <w:tc>
          <w:tcPr>
            <w:tcW w:w="1694" w:type="dxa"/>
            <w:vAlign w:val="center"/>
          </w:tcPr>
          <w:p w14:paraId="330AA609" w14:textId="60B4C623"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Dicofol</w:t>
            </w:r>
          </w:p>
        </w:tc>
        <w:tc>
          <w:tcPr>
            <w:tcW w:w="1694" w:type="dxa"/>
            <w:vAlign w:val="center"/>
          </w:tcPr>
          <w:p w14:paraId="2ADF6B4B" w14:textId="12220A9A"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Dicofol</w:t>
            </w:r>
          </w:p>
        </w:tc>
        <w:tc>
          <w:tcPr>
            <w:tcW w:w="1186" w:type="dxa"/>
            <w:vAlign w:val="center"/>
          </w:tcPr>
          <w:p w14:paraId="6059ABC8" w14:textId="44A7345C"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6319DD02" w14:textId="6B2004D3" w:rsidTr="00646AA3">
        <w:tc>
          <w:tcPr>
            <w:tcW w:w="402" w:type="dxa"/>
            <w:vAlign w:val="center"/>
          </w:tcPr>
          <w:p w14:paraId="5142D086"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10</w:t>
            </w:r>
          </w:p>
        </w:tc>
        <w:tc>
          <w:tcPr>
            <w:tcW w:w="2605" w:type="dxa"/>
            <w:vAlign w:val="center"/>
          </w:tcPr>
          <w:p w14:paraId="2AC6C21C" w14:textId="2B65C02C"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Dieldrin</w:t>
            </w:r>
          </w:p>
        </w:tc>
        <w:tc>
          <w:tcPr>
            <w:tcW w:w="1079" w:type="dxa"/>
            <w:vAlign w:val="center"/>
          </w:tcPr>
          <w:p w14:paraId="26117D0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07F60249"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03C2595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51EA995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3008F7DE"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241653B0" w14:textId="25D668BA"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Dieldrin</w:t>
            </w:r>
          </w:p>
        </w:tc>
        <w:tc>
          <w:tcPr>
            <w:tcW w:w="1694" w:type="dxa"/>
            <w:vAlign w:val="center"/>
          </w:tcPr>
          <w:p w14:paraId="50FE6BA6" w14:textId="2D7C65B0"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Dieldrin</w:t>
            </w:r>
          </w:p>
        </w:tc>
        <w:tc>
          <w:tcPr>
            <w:tcW w:w="1694" w:type="dxa"/>
            <w:vAlign w:val="center"/>
          </w:tcPr>
          <w:p w14:paraId="760382E7" w14:textId="1855DAAB"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Dieldrin</w:t>
            </w:r>
          </w:p>
        </w:tc>
        <w:tc>
          <w:tcPr>
            <w:tcW w:w="1186" w:type="dxa"/>
            <w:vAlign w:val="center"/>
          </w:tcPr>
          <w:p w14:paraId="46660571" w14:textId="5D907F9E"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49513489" w14:textId="52EBA461" w:rsidTr="00646AA3">
        <w:tc>
          <w:tcPr>
            <w:tcW w:w="402" w:type="dxa"/>
            <w:vAlign w:val="center"/>
          </w:tcPr>
          <w:p w14:paraId="72407C0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11</w:t>
            </w:r>
          </w:p>
        </w:tc>
        <w:tc>
          <w:tcPr>
            <w:tcW w:w="2605" w:type="dxa"/>
            <w:vAlign w:val="center"/>
          </w:tcPr>
          <w:p w14:paraId="2EE209E2"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noProof/>
                <w:sz w:val="18"/>
                <w:szCs w:val="18"/>
                <w:lang w:val="en-US"/>
              </w:rPr>
              <w:t>Technical endosulan and its related isomers</w:t>
            </w:r>
          </w:p>
        </w:tc>
        <w:tc>
          <w:tcPr>
            <w:tcW w:w="1079" w:type="dxa"/>
            <w:vAlign w:val="center"/>
          </w:tcPr>
          <w:p w14:paraId="30A1DC9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Endosulfan</w:t>
            </w:r>
          </w:p>
        </w:tc>
        <w:tc>
          <w:tcPr>
            <w:tcW w:w="757" w:type="dxa"/>
            <w:vAlign w:val="center"/>
          </w:tcPr>
          <w:p w14:paraId="4C97B317"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72BE625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2011</w:t>
            </w:r>
          </w:p>
        </w:tc>
        <w:tc>
          <w:tcPr>
            <w:tcW w:w="929" w:type="dxa"/>
            <w:vAlign w:val="center"/>
          </w:tcPr>
          <w:p w14:paraId="0CCF1CB7"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SC-5/3</w:t>
            </w:r>
          </w:p>
        </w:tc>
        <w:tc>
          <w:tcPr>
            <w:tcW w:w="1705" w:type="dxa"/>
            <w:vAlign w:val="center"/>
          </w:tcPr>
          <w:p w14:paraId="008D570D"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 mixture of stereoisomers</w:t>
            </w:r>
          </w:p>
        </w:tc>
        <w:tc>
          <w:tcPr>
            <w:tcW w:w="1694" w:type="dxa"/>
            <w:vAlign w:val="center"/>
          </w:tcPr>
          <w:p w14:paraId="0342226F" w14:textId="486F65AE"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Alpha-, beta-endosulfan; and endosulfan sulfate</w:t>
            </w:r>
          </w:p>
        </w:tc>
        <w:tc>
          <w:tcPr>
            <w:tcW w:w="1694" w:type="dxa"/>
          </w:tcPr>
          <w:p w14:paraId="5645EE08" w14:textId="3CD9DA3F"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Alpha-, beta-endosulfan; and endosulfan sulfate</w:t>
            </w:r>
          </w:p>
        </w:tc>
        <w:tc>
          <w:tcPr>
            <w:tcW w:w="1694" w:type="dxa"/>
          </w:tcPr>
          <w:p w14:paraId="4A92AEC0" w14:textId="02FF8B79"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Alpha-, beta-endosulfan; and endosulfan sulfate</w:t>
            </w:r>
          </w:p>
        </w:tc>
        <w:tc>
          <w:tcPr>
            <w:tcW w:w="1186" w:type="dxa"/>
            <w:vAlign w:val="center"/>
          </w:tcPr>
          <w:p w14:paraId="350DFF65" w14:textId="0B7CB435"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7836CF8A" w14:textId="750B9D94" w:rsidTr="00646AA3">
        <w:tc>
          <w:tcPr>
            <w:tcW w:w="402" w:type="dxa"/>
            <w:vAlign w:val="center"/>
          </w:tcPr>
          <w:p w14:paraId="4B59490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12</w:t>
            </w:r>
          </w:p>
        </w:tc>
        <w:tc>
          <w:tcPr>
            <w:tcW w:w="2605" w:type="dxa"/>
            <w:vAlign w:val="center"/>
          </w:tcPr>
          <w:p w14:paraId="3513338B" w14:textId="30B2A1C5"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Endrin</w:t>
            </w:r>
          </w:p>
        </w:tc>
        <w:tc>
          <w:tcPr>
            <w:tcW w:w="1079" w:type="dxa"/>
            <w:vAlign w:val="center"/>
          </w:tcPr>
          <w:p w14:paraId="3CAD2A3F"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5A3A890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12A8B39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6CFE184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6AF5F14C"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0EBD458E" w14:textId="0033EDE5" w:rsidR="00735969" w:rsidRPr="00A4272B" w:rsidRDefault="00735969" w:rsidP="00735969">
            <w:pPr>
              <w:widowControl w:val="0"/>
              <w:kinsoku w:val="0"/>
              <w:overflowPunct w:val="0"/>
              <w:autoSpaceDE w:val="0"/>
              <w:autoSpaceDN w:val="0"/>
              <w:spacing w:before="20" w:after="20"/>
              <w:rPr>
                <w:sz w:val="18"/>
                <w:szCs w:val="18"/>
                <w:lang w:val="en-US"/>
              </w:rPr>
            </w:pPr>
            <w:r w:rsidRPr="00A4272B">
              <w:rPr>
                <w:noProof/>
                <w:sz w:val="18"/>
                <w:szCs w:val="18"/>
                <w:lang w:val="en-US"/>
              </w:rPr>
              <w:t>Endrin</w:t>
            </w:r>
          </w:p>
        </w:tc>
        <w:tc>
          <w:tcPr>
            <w:tcW w:w="1694" w:type="dxa"/>
            <w:vAlign w:val="center"/>
          </w:tcPr>
          <w:p w14:paraId="74C389E4" w14:textId="633A2BD4" w:rsidR="00735969" w:rsidRPr="00A4272B" w:rsidRDefault="00735969" w:rsidP="00735969">
            <w:pPr>
              <w:widowControl w:val="0"/>
              <w:kinsoku w:val="0"/>
              <w:overflowPunct w:val="0"/>
              <w:autoSpaceDE w:val="0"/>
              <w:autoSpaceDN w:val="0"/>
              <w:spacing w:before="20" w:after="20"/>
              <w:rPr>
                <w:sz w:val="18"/>
                <w:szCs w:val="18"/>
                <w:lang w:val="en-US"/>
              </w:rPr>
            </w:pPr>
            <w:r w:rsidRPr="00A4272B">
              <w:rPr>
                <w:noProof/>
                <w:sz w:val="18"/>
                <w:szCs w:val="18"/>
                <w:lang w:val="en-US"/>
              </w:rPr>
              <w:t>Endrin</w:t>
            </w:r>
          </w:p>
        </w:tc>
        <w:tc>
          <w:tcPr>
            <w:tcW w:w="1694" w:type="dxa"/>
            <w:vAlign w:val="center"/>
          </w:tcPr>
          <w:p w14:paraId="503D965F" w14:textId="49B0425A" w:rsidR="00735969" w:rsidRPr="00A4272B" w:rsidRDefault="00735969" w:rsidP="00735969">
            <w:pPr>
              <w:widowControl w:val="0"/>
              <w:kinsoku w:val="0"/>
              <w:overflowPunct w:val="0"/>
              <w:autoSpaceDE w:val="0"/>
              <w:autoSpaceDN w:val="0"/>
              <w:spacing w:before="20" w:after="20"/>
              <w:rPr>
                <w:sz w:val="18"/>
                <w:szCs w:val="18"/>
                <w:lang w:val="en-US"/>
              </w:rPr>
            </w:pPr>
            <w:r w:rsidRPr="00A4272B">
              <w:rPr>
                <w:noProof/>
                <w:sz w:val="18"/>
                <w:szCs w:val="18"/>
                <w:lang w:val="en-US"/>
              </w:rPr>
              <w:t>Endrin</w:t>
            </w:r>
          </w:p>
        </w:tc>
        <w:tc>
          <w:tcPr>
            <w:tcW w:w="1186" w:type="dxa"/>
            <w:vAlign w:val="center"/>
          </w:tcPr>
          <w:p w14:paraId="59A93970" w14:textId="4A1A06A2"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6559C3EA" w14:textId="4C0D757F" w:rsidTr="00646AA3">
        <w:tc>
          <w:tcPr>
            <w:tcW w:w="402" w:type="dxa"/>
            <w:vAlign w:val="center"/>
          </w:tcPr>
          <w:p w14:paraId="69C4E6BA"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13</w:t>
            </w:r>
          </w:p>
        </w:tc>
        <w:tc>
          <w:tcPr>
            <w:tcW w:w="2605" w:type="dxa"/>
            <w:vAlign w:val="center"/>
          </w:tcPr>
          <w:p w14:paraId="0CC09F66" w14:textId="6D578A41"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Heptachlor</w:t>
            </w:r>
          </w:p>
        </w:tc>
        <w:tc>
          <w:tcPr>
            <w:tcW w:w="1079" w:type="dxa"/>
            <w:vAlign w:val="center"/>
          </w:tcPr>
          <w:p w14:paraId="54AFCAC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7702C2AD"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3FF3624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770D37B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512075F3"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4E7CEDB8" w14:textId="3DFE742D"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Heptachlor and heptachlorepoxide</w:t>
            </w:r>
          </w:p>
        </w:tc>
        <w:tc>
          <w:tcPr>
            <w:tcW w:w="1694" w:type="dxa"/>
            <w:vAlign w:val="center"/>
          </w:tcPr>
          <w:p w14:paraId="3C5DD34E" w14:textId="65BBAA94"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Heptachlor and heptachlorepoxide</w:t>
            </w:r>
          </w:p>
        </w:tc>
        <w:tc>
          <w:tcPr>
            <w:tcW w:w="1694" w:type="dxa"/>
            <w:vAlign w:val="center"/>
          </w:tcPr>
          <w:p w14:paraId="5D537B16" w14:textId="6B8BCD80"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Heptachlor and heptachlorepoxide</w:t>
            </w:r>
          </w:p>
        </w:tc>
        <w:tc>
          <w:tcPr>
            <w:tcW w:w="1186" w:type="dxa"/>
            <w:vAlign w:val="center"/>
          </w:tcPr>
          <w:p w14:paraId="3B6173FC" w14:textId="637D433A"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370A9CB8" w14:textId="24AB6523" w:rsidTr="00646AA3">
        <w:tc>
          <w:tcPr>
            <w:tcW w:w="402" w:type="dxa"/>
            <w:vAlign w:val="center"/>
          </w:tcPr>
          <w:p w14:paraId="3FBDE3A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14</w:t>
            </w:r>
          </w:p>
        </w:tc>
        <w:tc>
          <w:tcPr>
            <w:tcW w:w="2605" w:type="dxa"/>
            <w:vAlign w:val="center"/>
          </w:tcPr>
          <w:p w14:paraId="1DE281F2" w14:textId="798A2395"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Hexabromobiphenyl</w:t>
            </w:r>
          </w:p>
        </w:tc>
        <w:tc>
          <w:tcPr>
            <w:tcW w:w="1079" w:type="dxa"/>
            <w:vAlign w:val="center"/>
          </w:tcPr>
          <w:p w14:paraId="159FD84A"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HBB</w:t>
            </w:r>
          </w:p>
        </w:tc>
        <w:tc>
          <w:tcPr>
            <w:tcW w:w="757" w:type="dxa"/>
            <w:vAlign w:val="center"/>
          </w:tcPr>
          <w:p w14:paraId="30394B47"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A</w:t>
            </w:r>
          </w:p>
        </w:tc>
        <w:tc>
          <w:tcPr>
            <w:tcW w:w="674" w:type="dxa"/>
            <w:vAlign w:val="center"/>
          </w:tcPr>
          <w:p w14:paraId="2109A5B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2009</w:t>
            </w:r>
          </w:p>
        </w:tc>
        <w:tc>
          <w:tcPr>
            <w:tcW w:w="929" w:type="dxa"/>
            <w:vAlign w:val="center"/>
          </w:tcPr>
          <w:p w14:paraId="0A26CC1A"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SC-4/13</w:t>
            </w:r>
          </w:p>
        </w:tc>
        <w:tc>
          <w:tcPr>
            <w:tcW w:w="1705" w:type="dxa"/>
            <w:vAlign w:val="center"/>
          </w:tcPr>
          <w:p w14:paraId="0D70AF88"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42 isomers in one homolog group</w:t>
            </w:r>
          </w:p>
        </w:tc>
        <w:tc>
          <w:tcPr>
            <w:tcW w:w="1694" w:type="dxa"/>
            <w:vAlign w:val="center"/>
          </w:tcPr>
          <w:p w14:paraId="2A7F731F" w14:textId="0C34C051"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PBB 153</w:t>
            </w:r>
          </w:p>
        </w:tc>
        <w:tc>
          <w:tcPr>
            <w:tcW w:w="1694" w:type="dxa"/>
            <w:vAlign w:val="center"/>
          </w:tcPr>
          <w:p w14:paraId="2FE571C5" w14:textId="5EC2A01E"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PBB 153</w:t>
            </w:r>
          </w:p>
        </w:tc>
        <w:tc>
          <w:tcPr>
            <w:tcW w:w="1694" w:type="dxa"/>
            <w:vAlign w:val="center"/>
          </w:tcPr>
          <w:p w14:paraId="06A2D5DC" w14:textId="6B857DAE"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PBB 153</w:t>
            </w:r>
          </w:p>
        </w:tc>
        <w:tc>
          <w:tcPr>
            <w:tcW w:w="1186" w:type="dxa"/>
            <w:vAlign w:val="center"/>
          </w:tcPr>
          <w:p w14:paraId="5E53BA58" w14:textId="5788E1C2"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75487B30" w14:textId="4D209883" w:rsidTr="00646AA3">
        <w:tc>
          <w:tcPr>
            <w:tcW w:w="402" w:type="dxa"/>
            <w:vAlign w:val="center"/>
          </w:tcPr>
          <w:p w14:paraId="2D2B0E0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lastRenderedPageBreak/>
              <w:t>15</w:t>
            </w:r>
          </w:p>
        </w:tc>
        <w:tc>
          <w:tcPr>
            <w:tcW w:w="2605" w:type="dxa"/>
            <w:vAlign w:val="center"/>
          </w:tcPr>
          <w:p w14:paraId="486664CD" w14:textId="522678DE"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Hexabromocyclododecane</w:t>
            </w:r>
          </w:p>
        </w:tc>
        <w:tc>
          <w:tcPr>
            <w:tcW w:w="1079" w:type="dxa"/>
            <w:vAlign w:val="center"/>
          </w:tcPr>
          <w:p w14:paraId="1B35F23A"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HBCD</w:t>
            </w:r>
          </w:p>
        </w:tc>
        <w:tc>
          <w:tcPr>
            <w:tcW w:w="757" w:type="dxa"/>
            <w:vAlign w:val="center"/>
          </w:tcPr>
          <w:p w14:paraId="7F9A682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A</w:t>
            </w:r>
          </w:p>
        </w:tc>
        <w:tc>
          <w:tcPr>
            <w:tcW w:w="674" w:type="dxa"/>
            <w:vAlign w:val="center"/>
          </w:tcPr>
          <w:p w14:paraId="619B364D"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2013</w:t>
            </w:r>
          </w:p>
        </w:tc>
        <w:tc>
          <w:tcPr>
            <w:tcW w:w="929" w:type="dxa"/>
            <w:vAlign w:val="center"/>
          </w:tcPr>
          <w:p w14:paraId="1A7F0B68"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SC-6/13</w:t>
            </w:r>
          </w:p>
        </w:tc>
        <w:tc>
          <w:tcPr>
            <w:tcW w:w="1705" w:type="dxa"/>
            <w:vAlign w:val="center"/>
          </w:tcPr>
          <w:p w14:paraId="16E549AF"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3 structural isomers</w:t>
            </w:r>
          </w:p>
        </w:tc>
        <w:tc>
          <w:tcPr>
            <w:tcW w:w="1694" w:type="dxa"/>
            <w:vAlign w:val="center"/>
          </w:tcPr>
          <w:p w14:paraId="4B41307F" w14:textId="126B4C34"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Alpha-HBCD, beta-HBCD, gamma-HBCD</w:t>
            </w:r>
          </w:p>
        </w:tc>
        <w:tc>
          <w:tcPr>
            <w:tcW w:w="1694" w:type="dxa"/>
          </w:tcPr>
          <w:p w14:paraId="10227AFE" w14:textId="3EC5B22F"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Alpha-HBCD, beta-HBCD, gamma-HBCD</w:t>
            </w:r>
          </w:p>
        </w:tc>
        <w:tc>
          <w:tcPr>
            <w:tcW w:w="1694" w:type="dxa"/>
          </w:tcPr>
          <w:p w14:paraId="1AD06F7D" w14:textId="6F6909C0"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Alpha-HBCD, beta-HBCD, gamma-HBCD</w:t>
            </w:r>
          </w:p>
        </w:tc>
        <w:tc>
          <w:tcPr>
            <w:tcW w:w="1186" w:type="dxa"/>
            <w:vAlign w:val="center"/>
          </w:tcPr>
          <w:p w14:paraId="7687AB8F" w14:textId="3949B993"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214A7C9B" w14:textId="4DCD8236" w:rsidTr="00646AA3">
        <w:tc>
          <w:tcPr>
            <w:tcW w:w="402" w:type="dxa"/>
            <w:vAlign w:val="center"/>
          </w:tcPr>
          <w:p w14:paraId="78AADE9D" w14:textId="77777777" w:rsidR="00735969" w:rsidRPr="00A4272B" w:rsidRDefault="00735969" w:rsidP="00B95C1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16</w:t>
            </w:r>
          </w:p>
        </w:tc>
        <w:tc>
          <w:tcPr>
            <w:tcW w:w="2605" w:type="dxa"/>
            <w:vAlign w:val="center"/>
          </w:tcPr>
          <w:p w14:paraId="68C6D6AA" w14:textId="66C296F7" w:rsidR="00735969" w:rsidRPr="00A4272B" w:rsidRDefault="00735969" w:rsidP="00B95C13">
            <w:pPr>
              <w:widowControl w:val="0"/>
              <w:kinsoku w:val="0"/>
              <w:overflowPunct w:val="0"/>
              <w:autoSpaceDE w:val="0"/>
              <w:autoSpaceDN w:val="0"/>
              <w:spacing w:before="20" w:after="20"/>
              <w:rPr>
                <w:noProof/>
                <w:sz w:val="18"/>
                <w:szCs w:val="18"/>
                <w:lang w:val="en-US"/>
              </w:rPr>
            </w:pPr>
            <w:r w:rsidRPr="00A4272B">
              <w:rPr>
                <w:noProof/>
                <w:sz w:val="18"/>
                <w:szCs w:val="18"/>
                <w:lang w:val="en-US"/>
              </w:rPr>
              <w:t>Hexabromodiphenyl ether and heptabromodiphenyl ether</w:t>
            </w:r>
          </w:p>
        </w:tc>
        <w:tc>
          <w:tcPr>
            <w:tcW w:w="1079" w:type="dxa"/>
            <w:vAlign w:val="center"/>
          </w:tcPr>
          <w:p w14:paraId="2F262933" w14:textId="77777777" w:rsidR="00735969" w:rsidRPr="00A4272B" w:rsidRDefault="00735969" w:rsidP="00B95C1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c-OctaBDE</w:t>
            </w:r>
          </w:p>
        </w:tc>
        <w:tc>
          <w:tcPr>
            <w:tcW w:w="757" w:type="dxa"/>
            <w:vAlign w:val="center"/>
          </w:tcPr>
          <w:p w14:paraId="66076384" w14:textId="77777777" w:rsidR="00735969" w:rsidRPr="00A4272B" w:rsidRDefault="00735969" w:rsidP="00B95C13">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A</w:t>
            </w:r>
          </w:p>
        </w:tc>
        <w:tc>
          <w:tcPr>
            <w:tcW w:w="674" w:type="dxa"/>
            <w:vAlign w:val="center"/>
          </w:tcPr>
          <w:p w14:paraId="44819E90" w14:textId="77777777" w:rsidR="00735969" w:rsidRPr="00A4272B" w:rsidRDefault="00735969" w:rsidP="00B95C13">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2009</w:t>
            </w:r>
          </w:p>
        </w:tc>
        <w:tc>
          <w:tcPr>
            <w:tcW w:w="929" w:type="dxa"/>
            <w:vAlign w:val="center"/>
          </w:tcPr>
          <w:p w14:paraId="3BACCB76" w14:textId="77777777" w:rsidR="00735969" w:rsidRPr="00A4272B" w:rsidRDefault="00735969" w:rsidP="00B95C1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SC-4/14</w:t>
            </w:r>
          </w:p>
        </w:tc>
        <w:tc>
          <w:tcPr>
            <w:tcW w:w="1705" w:type="dxa"/>
            <w:vAlign w:val="center"/>
          </w:tcPr>
          <w:p w14:paraId="6F063CD7" w14:textId="77777777" w:rsidR="00735969" w:rsidRPr="00A4272B" w:rsidRDefault="00735969" w:rsidP="0023432F">
            <w:pPr>
              <w:pStyle w:val="BodyText"/>
            </w:pPr>
            <w:r w:rsidRPr="00A4272B">
              <w:t>Two homolog groups:</w:t>
            </w:r>
          </w:p>
          <w:p w14:paraId="5D58EF2D" w14:textId="77777777" w:rsidR="00735969" w:rsidRPr="00A4272B" w:rsidRDefault="00735969" w:rsidP="0023432F">
            <w:pPr>
              <w:pStyle w:val="BodyText"/>
            </w:pPr>
            <w:r w:rsidRPr="00A4272B">
              <w:t>42 hexabrominated isomers</w:t>
            </w:r>
          </w:p>
          <w:p w14:paraId="37DC80EB" w14:textId="77777777" w:rsidR="00735969" w:rsidRPr="00A4272B" w:rsidRDefault="00735969" w:rsidP="00B95C13">
            <w:pPr>
              <w:widowControl w:val="0"/>
              <w:kinsoku w:val="0"/>
              <w:overflowPunct w:val="0"/>
              <w:autoSpaceDE w:val="0"/>
              <w:autoSpaceDN w:val="0"/>
              <w:spacing w:before="20" w:after="20"/>
              <w:rPr>
                <w:bCs/>
                <w:noProof/>
                <w:sz w:val="18"/>
                <w:szCs w:val="18"/>
                <w:lang w:val="en-US"/>
              </w:rPr>
            </w:pPr>
            <w:r w:rsidRPr="00A4272B">
              <w:rPr>
                <w:sz w:val="18"/>
                <w:szCs w:val="18"/>
                <w:lang w:val="en-US"/>
              </w:rPr>
              <w:t>24 heptabrominated isomers</w:t>
            </w:r>
          </w:p>
        </w:tc>
        <w:tc>
          <w:tcPr>
            <w:tcW w:w="1694" w:type="dxa"/>
            <w:vAlign w:val="center"/>
          </w:tcPr>
          <w:p w14:paraId="3A5B1802" w14:textId="55A2E2DE" w:rsidR="00735969" w:rsidRPr="00A4272B" w:rsidRDefault="00F10022" w:rsidP="0023432F">
            <w:pPr>
              <w:pStyle w:val="BodyText"/>
            </w:pPr>
            <w:r w:rsidRPr="00A4272B">
              <w:rPr>
                <w:rStyle w:val="cf01"/>
                <w:rFonts w:ascii="Times New Roman" w:hAnsi="Times New Roman" w:cs="Times New Roman"/>
              </w:rPr>
              <w:t>BDE-153, 154, 171, 180, 183, 196, 197, 203, 206, 207, 209</w:t>
            </w:r>
          </w:p>
        </w:tc>
        <w:tc>
          <w:tcPr>
            <w:tcW w:w="1694" w:type="dxa"/>
            <w:vAlign w:val="center"/>
          </w:tcPr>
          <w:p w14:paraId="2DC994BB" w14:textId="27CC10D2" w:rsidR="00735969" w:rsidRPr="00A4272B" w:rsidRDefault="00F10022" w:rsidP="0023432F">
            <w:pPr>
              <w:pStyle w:val="BodyText"/>
            </w:pPr>
            <w:r w:rsidRPr="00A4272B">
              <w:rPr>
                <w:rStyle w:val="cf01"/>
                <w:rFonts w:ascii="Times New Roman" w:hAnsi="Times New Roman" w:cs="Times New Roman"/>
              </w:rPr>
              <w:t>BDE-153, 154, 171, 180, 183, 196, 197, 203, 206, 207, 209</w:t>
            </w:r>
          </w:p>
        </w:tc>
        <w:tc>
          <w:tcPr>
            <w:tcW w:w="1694" w:type="dxa"/>
            <w:vAlign w:val="center"/>
          </w:tcPr>
          <w:p w14:paraId="605FB4F2" w14:textId="5FEDFC62" w:rsidR="00735969" w:rsidRPr="00A4272B" w:rsidRDefault="00F10022" w:rsidP="0023432F">
            <w:pPr>
              <w:pStyle w:val="BodyText"/>
            </w:pPr>
            <w:r w:rsidRPr="00A4272B">
              <w:rPr>
                <w:rStyle w:val="cf01"/>
                <w:rFonts w:ascii="Times New Roman" w:hAnsi="Times New Roman" w:cs="Times New Roman"/>
              </w:rPr>
              <w:t>BDE-153, 154, 171, 180, 183, 196, 197, 203, 206, 207, 209</w:t>
            </w:r>
          </w:p>
        </w:tc>
        <w:tc>
          <w:tcPr>
            <w:tcW w:w="1186" w:type="dxa"/>
            <w:vAlign w:val="center"/>
          </w:tcPr>
          <w:p w14:paraId="600935CB" w14:textId="5C611E08" w:rsidR="00735969" w:rsidRPr="00A4272B" w:rsidRDefault="00330A64" w:rsidP="0023432F">
            <w:pPr>
              <w:pStyle w:val="BodyText"/>
            </w:pPr>
            <w:r w:rsidRPr="00A4272B">
              <w:t>N/A</w:t>
            </w:r>
          </w:p>
        </w:tc>
      </w:tr>
      <w:tr w:rsidR="00735969" w:rsidRPr="00A4272B" w14:paraId="44136677" w14:textId="5C61A754" w:rsidTr="00646AA3">
        <w:tc>
          <w:tcPr>
            <w:tcW w:w="402" w:type="dxa"/>
            <w:vAlign w:val="center"/>
          </w:tcPr>
          <w:p w14:paraId="419B19D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17</w:t>
            </w:r>
          </w:p>
        </w:tc>
        <w:tc>
          <w:tcPr>
            <w:tcW w:w="2605" w:type="dxa"/>
            <w:vAlign w:val="center"/>
          </w:tcPr>
          <w:p w14:paraId="6A9C19E4" w14:textId="28F7AF25"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Hexachlorobenzene</w:t>
            </w:r>
          </w:p>
        </w:tc>
        <w:tc>
          <w:tcPr>
            <w:tcW w:w="1079" w:type="dxa"/>
            <w:vAlign w:val="center"/>
          </w:tcPr>
          <w:p w14:paraId="019A3B6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HCB</w:t>
            </w:r>
          </w:p>
        </w:tc>
        <w:tc>
          <w:tcPr>
            <w:tcW w:w="757" w:type="dxa"/>
            <w:vAlign w:val="center"/>
          </w:tcPr>
          <w:p w14:paraId="14E50C99" w14:textId="283B5A63"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 C</w:t>
            </w:r>
          </w:p>
        </w:tc>
        <w:tc>
          <w:tcPr>
            <w:tcW w:w="674" w:type="dxa"/>
            <w:vAlign w:val="center"/>
          </w:tcPr>
          <w:p w14:paraId="322115F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3A535AB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2ACAE080"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59E593B6" w14:textId="3124C00D" w:rsidR="00735969" w:rsidRPr="00A4272B" w:rsidRDefault="00735969"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HCB</w:t>
            </w:r>
          </w:p>
        </w:tc>
        <w:tc>
          <w:tcPr>
            <w:tcW w:w="1694" w:type="dxa"/>
            <w:vAlign w:val="center"/>
          </w:tcPr>
          <w:p w14:paraId="37DB2051" w14:textId="69E88C8F" w:rsidR="00735969" w:rsidRPr="00A4272B" w:rsidRDefault="00735969"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HCB</w:t>
            </w:r>
          </w:p>
        </w:tc>
        <w:tc>
          <w:tcPr>
            <w:tcW w:w="1694" w:type="dxa"/>
            <w:vAlign w:val="center"/>
          </w:tcPr>
          <w:p w14:paraId="682BFA31" w14:textId="196541FD" w:rsidR="00735969" w:rsidRPr="00A4272B" w:rsidRDefault="00735969"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HCB</w:t>
            </w:r>
          </w:p>
        </w:tc>
        <w:tc>
          <w:tcPr>
            <w:tcW w:w="1186" w:type="dxa"/>
            <w:vAlign w:val="center"/>
          </w:tcPr>
          <w:p w14:paraId="295D21A6" w14:textId="14CA0CC0"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0D11F746" w14:textId="74E0B8DD" w:rsidTr="00646AA3">
        <w:tc>
          <w:tcPr>
            <w:tcW w:w="402" w:type="dxa"/>
            <w:vAlign w:val="center"/>
          </w:tcPr>
          <w:p w14:paraId="374EC68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18</w:t>
            </w:r>
          </w:p>
        </w:tc>
        <w:tc>
          <w:tcPr>
            <w:tcW w:w="2605" w:type="dxa"/>
            <w:vAlign w:val="center"/>
          </w:tcPr>
          <w:p w14:paraId="1553683C" w14:textId="4106F7C2"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Hexachlorobutadiene</w:t>
            </w:r>
          </w:p>
        </w:tc>
        <w:tc>
          <w:tcPr>
            <w:tcW w:w="1079" w:type="dxa"/>
            <w:vAlign w:val="center"/>
          </w:tcPr>
          <w:p w14:paraId="3BD2768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HCBD</w:t>
            </w:r>
          </w:p>
        </w:tc>
        <w:tc>
          <w:tcPr>
            <w:tcW w:w="757" w:type="dxa"/>
            <w:vAlign w:val="center"/>
          </w:tcPr>
          <w:p w14:paraId="1418E8E4" w14:textId="6DB13D24"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 C</w:t>
            </w:r>
          </w:p>
        </w:tc>
        <w:tc>
          <w:tcPr>
            <w:tcW w:w="674" w:type="dxa"/>
            <w:vAlign w:val="center"/>
          </w:tcPr>
          <w:p w14:paraId="1AAB24E2"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2015, 2017</w:t>
            </w:r>
          </w:p>
        </w:tc>
        <w:tc>
          <w:tcPr>
            <w:tcW w:w="929" w:type="dxa"/>
            <w:vAlign w:val="center"/>
          </w:tcPr>
          <w:p w14:paraId="32B2B277"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SC-7/12, SC-8/12</w:t>
            </w:r>
          </w:p>
        </w:tc>
        <w:tc>
          <w:tcPr>
            <w:tcW w:w="1705" w:type="dxa"/>
            <w:vAlign w:val="center"/>
          </w:tcPr>
          <w:p w14:paraId="0C755A32"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3131081F" w14:textId="0CBF9567" w:rsidR="00735969" w:rsidRPr="00A4272B" w:rsidRDefault="00357485" w:rsidP="00735969">
            <w:pPr>
              <w:widowControl w:val="0"/>
              <w:kinsoku w:val="0"/>
              <w:overflowPunct w:val="0"/>
              <w:autoSpaceDE w:val="0"/>
              <w:autoSpaceDN w:val="0"/>
              <w:spacing w:before="20" w:after="20"/>
              <w:rPr>
                <w:sz w:val="18"/>
                <w:szCs w:val="18"/>
                <w:lang w:val="en-US"/>
              </w:rPr>
            </w:pPr>
            <w:r w:rsidRPr="00A4272B">
              <w:rPr>
                <w:sz w:val="18"/>
                <w:szCs w:val="18"/>
                <w:lang w:val="en-US"/>
              </w:rPr>
              <w:t>[</w:t>
            </w:r>
            <w:r w:rsidR="00735969" w:rsidRPr="00A4272B">
              <w:rPr>
                <w:sz w:val="18"/>
                <w:szCs w:val="18"/>
                <w:lang w:val="en-US"/>
              </w:rPr>
              <w:t>HCBD</w:t>
            </w:r>
            <w:r w:rsidRPr="00A4272B">
              <w:rPr>
                <w:sz w:val="18"/>
                <w:szCs w:val="18"/>
                <w:lang w:val="en-US"/>
              </w:rPr>
              <w:t>]</w:t>
            </w:r>
          </w:p>
        </w:tc>
        <w:tc>
          <w:tcPr>
            <w:tcW w:w="1694" w:type="dxa"/>
            <w:vAlign w:val="center"/>
          </w:tcPr>
          <w:p w14:paraId="265A39EF" w14:textId="525A6648"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HCBD</w:t>
            </w:r>
          </w:p>
        </w:tc>
        <w:tc>
          <w:tcPr>
            <w:tcW w:w="1694" w:type="dxa"/>
            <w:vAlign w:val="center"/>
          </w:tcPr>
          <w:p w14:paraId="3E217F78" w14:textId="52AD94A2"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HCBD</w:t>
            </w:r>
          </w:p>
        </w:tc>
        <w:tc>
          <w:tcPr>
            <w:tcW w:w="1186" w:type="dxa"/>
            <w:vAlign w:val="center"/>
          </w:tcPr>
          <w:p w14:paraId="6C20F523" w14:textId="2657CE2F"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6903204F" w14:textId="47692D7C" w:rsidTr="00646AA3">
        <w:tc>
          <w:tcPr>
            <w:tcW w:w="402" w:type="dxa"/>
            <w:vAlign w:val="center"/>
          </w:tcPr>
          <w:p w14:paraId="0547FA5F"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19</w:t>
            </w:r>
          </w:p>
        </w:tc>
        <w:tc>
          <w:tcPr>
            <w:tcW w:w="2605" w:type="dxa"/>
            <w:vAlign w:val="center"/>
          </w:tcPr>
          <w:p w14:paraId="41A4E2EE" w14:textId="435B94BC"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Lindane</w:t>
            </w:r>
          </w:p>
        </w:tc>
        <w:tc>
          <w:tcPr>
            <w:tcW w:w="1079" w:type="dxa"/>
            <w:vAlign w:val="center"/>
          </w:tcPr>
          <w:p w14:paraId="6DA28E4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rFonts w:eastAsia="Symbol"/>
                <w:noProof/>
                <w:sz w:val="18"/>
                <w:szCs w:val="18"/>
                <w:lang w:val="en-US"/>
              </w:rPr>
              <w:t>Gamma</w:t>
            </w:r>
            <w:r w:rsidRPr="00A4272B">
              <w:rPr>
                <w:noProof/>
                <w:sz w:val="18"/>
                <w:szCs w:val="18"/>
                <w:lang w:val="en-US"/>
              </w:rPr>
              <w:t>-HCH</w:t>
            </w:r>
          </w:p>
        </w:tc>
        <w:tc>
          <w:tcPr>
            <w:tcW w:w="757" w:type="dxa"/>
            <w:vAlign w:val="center"/>
          </w:tcPr>
          <w:p w14:paraId="10389D5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A</w:t>
            </w:r>
          </w:p>
        </w:tc>
        <w:tc>
          <w:tcPr>
            <w:tcW w:w="674" w:type="dxa"/>
            <w:vAlign w:val="center"/>
          </w:tcPr>
          <w:p w14:paraId="66F82BBA"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2009</w:t>
            </w:r>
          </w:p>
        </w:tc>
        <w:tc>
          <w:tcPr>
            <w:tcW w:w="929" w:type="dxa"/>
            <w:vAlign w:val="center"/>
          </w:tcPr>
          <w:p w14:paraId="59B26FB6"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SC-4/15</w:t>
            </w:r>
          </w:p>
        </w:tc>
        <w:tc>
          <w:tcPr>
            <w:tcW w:w="1705" w:type="dxa"/>
            <w:vAlign w:val="center"/>
          </w:tcPr>
          <w:p w14:paraId="2D747D99"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 xml:space="preserve">Single compound; isomer of </w:t>
            </w:r>
            <w:r w:rsidRPr="00A4272B">
              <w:rPr>
                <w:sz w:val="18"/>
                <w:szCs w:val="18"/>
                <w:lang w:val="en-US" w:eastAsia="zh-CN"/>
              </w:rPr>
              <w:t>HCH</w:t>
            </w:r>
          </w:p>
        </w:tc>
        <w:tc>
          <w:tcPr>
            <w:tcW w:w="1694" w:type="dxa"/>
            <w:vAlign w:val="center"/>
          </w:tcPr>
          <w:p w14:paraId="4FBF0F61" w14:textId="6320B619" w:rsidR="00735969" w:rsidRPr="00A4272B" w:rsidRDefault="00735969" w:rsidP="00735969">
            <w:pPr>
              <w:widowControl w:val="0"/>
              <w:kinsoku w:val="0"/>
              <w:overflowPunct w:val="0"/>
              <w:autoSpaceDE w:val="0"/>
              <w:autoSpaceDN w:val="0"/>
              <w:spacing w:before="20" w:after="20"/>
              <w:rPr>
                <w:sz w:val="18"/>
                <w:szCs w:val="18"/>
                <w:lang w:val="en-US"/>
              </w:rPr>
            </w:pPr>
            <w:r w:rsidRPr="00A4272B">
              <w:rPr>
                <w:rFonts w:eastAsia="Symbol"/>
                <w:noProof/>
                <w:sz w:val="18"/>
                <w:szCs w:val="18"/>
                <w:lang w:val="en-US"/>
              </w:rPr>
              <w:t>Gamma</w:t>
            </w:r>
            <w:r w:rsidRPr="00A4272B">
              <w:rPr>
                <w:noProof/>
                <w:sz w:val="18"/>
                <w:szCs w:val="18"/>
                <w:lang w:val="en-US"/>
              </w:rPr>
              <w:t>-HCH</w:t>
            </w:r>
          </w:p>
        </w:tc>
        <w:tc>
          <w:tcPr>
            <w:tcW w:w="1694" w:type="dxa"/>
            <w:vAlign w:val="center"/>
          </w:tcPr>
          <w:p w14:paraId="730D64AC" w14:textId="78F6D843" w:rsidR="00735969" w:rsidRPr="00A4272B" w:rsidRDefault="00735969" w:rsidP="00735969">
            <w:pPr>
              <w:widowControl w:val="0"/>
              <w:kinsoku w:val="0"/>
              <w:overflowPunct w:val="0"/>
              <w:autoSpaceDE w:val="0"/>
              <w:autoSpaceDN w:val="0"/>
              <w:spacing w:before="20" w:after="20"/>
              <w:rPr>
                <w:sz w:val="18"/>
                <w:szCs w:val="18"/>
                <w:lang w:val="en-US"/>
              </w:rPr>
            </w:pPr>
            <w:r w:rsidRPr="00A4272B">
              <w:rPr>
                <w:rFonts w:eastAsia="Symbol"/>
                <w:noProof/>
                <w:sz w:val="18"/>
                <w:szCs w:val="18"/>
                <w:lang w:val="en-US"/>
              </w:rPr>
              <w:t>Gamma</w:t>
            </w:r>
            <w:r w:rsidRPr="00A4272B">
              <w:rPr>
                <w:noProof/>
                <w:sz w:val="18"/>
                <w:szCs w:val="18"/>
                <w:lang w:val="en-US"/>
              </w:rPr>
              <w:t>-HCH</w:t>
            </w:r>
          </w:p>
        </w:tc>
        <w:tc>
          <w:tcPr>
            <w:tcW w:w="1694" w:type="dxa"/>
            <w:vAlign w:val="center"/>
          </w:tcPr>
          <w:p w14:paraId="4A1EAD1A" w14:textId="30D373DC" w:rsidR="00735969" w:rsidRPr="00A4272B" w:rsidRDefault="00735969" w:rsidP="00735969">
            <w:pPr>
              <w:widowControl w:val="0"/>
              <w:kinsoku w:val="0"/>
              <w:overflowPunct w:val="0"/>
              <w:autoSpaceDE w:val="0"/>
              <w:autoSpaceDN w:val="0"/>
              <w:spacing w:before="20" w:after="20"/>
              <w:rPr>
                <w:sz w:val="18"/>
                <w:szCs w:val="18"/>
                <w:lang w:val="en-US"/>
              </w:rPr>
            </w:pPr>
            <w:r w:rsidRPr="00A4272B">
              <w:rPr>
                <w:rFonts w:eastAsia="Symbol"/>
                <w:noProof/>
                <w:sz w:val="18"/>
                <w:szCs w:val="18"/>
                <w:lang w:val="en-US"/>
              </w:rPr>
              <w:t>Gamma</w:t>
            </w:r>
            <w:r w:rsidRPr="00A4272B">
              <w:rPr>
                <w:noProof/>
                <w:sz w:val="18"/>
                <w:szCs w:val="18"/>
                <w:lang w:val="en-US"/>
              </w:rPr>
              <w:t>-HCH</w:t>
            </w:r>
          </w:p>
        </w:tc>
        <w:tc>
          <w:tcPr>
            <w:tcW w:w="1186" w:type="dxa"/>
            <w:vAlign w:val="center"/>
          </w:tcPr>
          <w:p w14:paraId="2902CBEF" w14:textId="118DAFE7"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0BB7A394" w14:textId="6B565A27" w:rsidTr="00646AA3">
        <w:tc>
          <w:tcPr>
            <w:tcW w:w="402" w:type="dxa"/>
            <w:vAlign w:val="center"/>
          </w:tcPr>
          <w:p w14:paraId="37FB6CB6"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w:t>
            </w:r>
          </w:p>
        </w:tc>
        <w:tc>
          <w:tcPr>
            <w:tcW w:w="2605" w:type="dxa"/>
            <w:vAlign w:val="center"/>
          </w:tcPr>
          <w:p w14:paraId="43865F2E" w14:textId="77777777"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 xml:space="preserve">Methoxychlor </w:t>
            </w:r>
          </w:p>
        </w:tc>
        <w:tc>
          <w:tcPr>
            <w:tcW w:w="1079" w:type="dxa"/>
            <w:vAlign w:val="center"/>
          </w:tcPr>
          <w:p w14:paraId="14FE321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76D56A88"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7464E81A"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2023</w:t>
            </w:r>
          </w:p>
        </w:tc>
        <w:tc>
          <w:tcPr>
            <w:tcW w:w="929" w:type="dxa"/>
            <w:vAlign w:val="center"/>
          </w:tcPr>
          <w:p w14:paraId="5E2921A8"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SC-11/9</w:t>
            </w:r>
          </w:p>
        </w:tc>
        <w:tc>
          <w:tcPr>
            <w:tcW w:w="1705" w:type="dxa"/>
            <w:vAlign w:val="center"/>
          </w:tcPr>
          <w:p w14:paraId="6AFD1FBE"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6428E823" w14:textId="6ABA9F39"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Methoxychlor</w:t>
            </w:r>
          </w:p>
        </w:tc>
        <w:tc>
          <w:tcPr>
            <w:tcW w:w="1694" w:type="dxa"/>
            <w:vAlign w:val="center"/>
          </w:tcPr>
          <w:p w14:paraId="0AEAC6DD" w14:textId="147B4C30"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Methoxychlor</w:t>
            </w:r>
          </w:p>
        </w:tc>
        <w:tc>
          <w:tcPr>
            <w:tcW w:w="1694" w:type="dxa"/>
            <w:vAlign w:val="center"/>
          </w:tcPr>
          <w:p w14:paraId="5A2499DC" w14:textId="5926984A"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Methoxychlor</w:t>
            </w:r>
          </w:p>
        </w:tc>
        <w:tc>
          <w:tcPr>
            <w:tcW w:w="1186" w:type="dxa"/>
            <w:vAlign w:val="center"/>
          </w:tcPr>
          <w:p w14:paraId="6ACD6B33" w14:textId="03A1E7B2"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45D8900D" w14:textId="6596660E" w:rsidTr="00646AA3">
        <w:tc>
          <w:tcPr>
            <w:tcW w:w="402" w:type="dxa"/>
            <w:vAlign w:val="center"/>
          </w:tcPr>
          <w:p w14:paraId="1F0B197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21</w:t>
            </w:r>
          </w:p>
        </w:tc>
        <w:tc>
          <w:tcPr>
            <w:tcW w:w="2605" w:type="dxa"/>
            <w:vAlign w:val="center"/>
          </w:tcPr>
          <w:p w14:paraId="1718F9CF" w14:textId="4020D5DD"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Mirex</w:t>
            </w:r>
          </w:p>
        </w:tc>
        <w:tc>
          <w:tcPr>
            <w:tcW w:w="1079" w:type="dxa"/>
            <w:vAlign w:val="center"/>
          </w:tcPr>
          <w:p w14:paraId="3434280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4FF18138"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7EF71CE7"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691CC8C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104F1B57"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1411C691" w14:textId="0963952C"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Mirex</w:t>
            </w:r>
          </w:p>
        </w:tc>
        <w:tc>
          <w:tcPr>
            <w:tcW w:w="1694" w:type="dxa"/>
            <w:vAlign w:val="center"/>
          </w:tcPr>
          <w:p w14:paraId="6A9473C6" w14:textId="4C5E681D"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Mirex</w:t>
            </w:r>
          </w:p>
        </w:tc>
        <w:tc>
          <w:tcPr>
            <w:tcW w:w="1694" w:type="dxa"/>
            <w:vAlign w:val="center"/>
          </w:tcPr>
          <w:p w14:paraId="3B498FB8" w14:textId="5CCD040A"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Mirex</w:t>
            </w:r>
          </w:p>
        </w:tc>
        <w:tc>
          <w:tcPr>
            <w:tcW w:w="1186" w:type="dxa"/>
            <w:vAlign w:val="center"/>
          </w:tcPr>
          <w:p w14:paraId="55D621E4" w14:textId="754242AC"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7A2DA73E" w14:textId="12DF1CDF" w:rsidTr="00646AA3">
        <w:tc>
          <w:tcPr>
            <w:tcW w:w="402" w:type="dxa"/>
            <w:vAlign w:val="center"/>
          </w:tcPr>
          <w:p w14:paraId="201B2C7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22</w:t>
            </w:r>
          </w:p>
        </w:tc>
        <w:tc>
          <w:tcPr>
            <w:tcW w:w="2605" w:type="dxa"/>
            <w:vAlign w:val="center"/>
          </w:tcPr>
          <w:p w14:paraId="4D84F691" w14:textId="77777777"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 xml:space="preserve">Pentachlorobenzene </w:t>
            </w:r>
          </w:p>
        </w:tc>
        <w:tc>
          <w:tcPr>
            <w:tcW w:w="1079" w:type="dxa"/>
            <w:vAlign w:val="center"/>
          </w:tcPr>
          <w:p w14:paraId="00F3FAC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PeCB</w:t>
            </w:r>
          </w:p>
        </w:tc>
        <w:tc>
          <w:tcPr>
            <w:tcW w:w="757" w:type="dxa"/>
            <w:vAlign w:val="center"/>
          </w:tcPr>
          <w:p w14:paraId="2AE7B567" w14:textId="000A1620"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 C</w:t>
            </w:r>
          </w:p>
        </w:tc>
        <w:tc>
          <w:tcPr>
            <w:tcW w:w="674" w:type="dxa"/>
            <w:vAlign w:val="center"/>
          </w:tcPr>
          <w:p w14:paraId="1626EA7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2009</w:t>
            </w:r>
          </w:p>
        </w:tc>
        <w:tc>
          <w:tcPr>
            <w:tcW w:w="929" w:type="dxa"/>
            <w:vAlign w:val="center"/>
          </w:tcPr>
          <w:p w14:paraId="6DFE99F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SC-4/16</w:t>
            </w:r>
          </w:p>
        </w:tc>
        <w:tc>
          <w:tcPr>
            <w:tcW w:w="1705" w:type="dxa"/>
            <w:vAlign w:val="center"/>
          </w:tcPr>
          <w:p w14:paraId="5B662F33"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2D58DDDC" w14:textId="6796A480" w:rsidR="00735969" w:rsidRPr="00A4272B" w:rsidRDefault="00735969" w:rsidP="00735969">
            <w:pPr>
              <w:widowControl w:val="0"/>
              <w:kinsoku w:val="0"/>
              <w:overflowPunct w:val="0"/>
              <w:autoSpaceDE w:val="0"/>
              <w:autoSpaceDN w:val="0"/>
              <w:spacing w:before="20" w:after="20"/>
              <w:rPr>
                <w:sz w:val="18"/>
                <w:szCs w:val="18"/>
                <w:lang w:val="en-US"/>
              </w:rPr>
            </w:pPr>
            <w:r w:rsidRPr="00A4272B">
              <w:rPr>
                <w:noProof/>
                <w:sz w:val="18"/>
                <w:szCs w:val="18"/>
                <w:lang w:val="en-US"/>
              </w:rPr>
              <w:t>PeCB</w:t>
            </w:r>
          </w:p>
        </w:tc>
        <w:tc>
          <w:tcPr>
            <w:tcW w:w="1694" w:type="dxa"/>
            <w:vAlign w:val="center"/>
          </w:tcPr>
          <w:p w14:paraId="61568AA1" w14:textId="1931AEC6" w:rsidR="00735969" w:rsidRPr="00A4272B" w:rsidRDefault="00735969" w:rsidP="00735969">
            <w:pPr>
              <w:widowControl w:val="0"/>
              <w:kinsoku w:val="0"/>
              <w:overflowPunct w:val="0"/>
              <w:autoSpaceDE w:val="0"/>
              <w:autoSpaceDN w:val="0"/>
              <w:spacing w:before="20" w:after="20"/>
              <w:rPr>
                <w:sz w:val="18"/>
                <w:szCs w:val="18"/>
                <w:lang w:val="en-US"/>
              </w:rPr>
            </w:pPr>
            <w:r w:rsidRPr="00A4272B">
              <w:rPr>
                <w:noProof/>
                <w:sz w:val="18"/>
                <w:szCs w:val="18"/>
                <w:lang w:val="en-US"/>
              </w:rPr>
              <w:t>PeCB</w:t>
            </w:r>
          </w:p>
        </w:tc>
        <w:tc>
          <w:tcPr>
            <w:tcW w:w="1694" w:type="dxa"/>
            <w:vAlign w:val="center"/>
          </w:tcPr>
          <w:p w14:paraId="0360E333" w14:textId="220AA777" w:rsidR="00735969" w:rsidRPr="00A4272B" w:rsidRDefault="00735969" w:rsidP="00735969">
            <w:pPr>
              <w:widowControl w:val="0"/>
              <w:kinsoku w:val="0"/>
              <w:overflowPunct w:val="0"/>
              <w:autoSpaceDE w:val="0"/>
              <w:autoSpaceDN w:val="0"/>
              <w:spacing w:before="20" w:after="20"/>
              <w:rPr>
                <w:sz w:val="18"/>
                <w:szCs w:val="18"/>
                <w:lang w:val="en-US"/>
              </w:rPr>
            </w:pPr>
            <w:r w:rsidRPr="00A4272B">
              <w:rPr>
                <w:noProof/>
                <w:sz w:val="18"/>
                <w:szCs w:val="18"/>
                <w:lang w:val="en-US"/>
              </w:rPr>
              <w:t>PeCB</w:t>
            </w:r>
          </w:p>
        </w:tc>
        <w:tc>
          <w:tcPr>
            <w:tcW w:w="1186" w:type="dxa"/>
            <w:vAlign w:val="center"/>
          </w:tcPr>
          <w:p w14:paraId="14633FDA" w14:textId="0A04A45E"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25D93A0E" w14:textId="3E954172" w:rsidTr="00646AA3">
        <w:tc>
          <w:tcPr>
            <w:tcW w:w="402" w:type="dxa"/>
            <w:vAlign w:val="center"/>
          </w:tcPr>
          <w:p w14:paraId="4475EF0F"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23</w:t>
            </w:r>
          </w:p>
        </w:tc>
        <w:tc>
          <w:tcPr>
            <w:tcW w:w="2605" w:type="dxa"/>
            <w:vAlign w:val="center"/>
          </w:tcPr>
          <w:p w14:paraId="4E2DBD62" w14:textId="678C5615"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Pentachlorophenol and its salts and esters</w:t>
            </w:r>
          </w:p>
        </w:tc>
        <w:tc>
          <w:tcPr>
            <w:tcW w:w="1079" w:type="dxa"/>
            <w:vAlign w:val="center"/>
          </w:tcPr>
          <w:p w14:paraId="4BC74A1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PCP</w:t>
            </w:r>
          </w:p>
        </w:tc>
        <w:tc>
          <w:tcPr>
            <w:tcW w:w="757" w:type="dxa"/>
            <w:vAlign w:val="center"/>
          </w:tcPr>
          <w:p w14:paraId="377341D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5BB24A0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2015</w:t>
            </w:r>
          </w:p>
        </w:tc>
        <w:tc>
          <w:tcPr>
            <w:tcW w:w="929" w:type="dxa"/>
            <w:vAlign w:val="center"/>
          </w:tcPr>
          <w:p w14:paraId="61CF7FE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SC-7/13</w:t>
            </w:r>
          </w:p>
        </w:tc>
        <w:tc>
          <w:tcPr>
            <w:tcW w:w="1705" w:type="dxa"/>
            <w:vAlign w:val="center"/>
          </w:tcPr>
          <w:p w14:paraId="7069CC8D"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Single anionic compound</w:t>
            </w:r>
          </w:p>
        </w:tc>
        <w:tc>
          <w:tcPr>
            <w:tcW w:w="1694" w:type="dxa"/>
            <w:vAlign w:val="center"/>
          </w:tcPr>
          <w:p w14:paraId="5EBE13CA" w14:textId="58A3D7BC"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PCP, PCA</w:t>
            </w:r>
          </w:p>
        </w:tc>
        <w:tc>
          <w:tcPr>
            <w:tcW w:w="1694" w:type="dxa"/>
            <w:vAlign w:val="center"/>
          </w:tcPr>
          <w:p w14:paraId="3CF4031E" w14:textId="78E73F74"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PCA</w:t>
            </w:r>
          </w:p>
        </w:tc>
        <w:tc>
          <w:tcPr>
            <w:tcW w:w="1694" w:type="dxa"/>
            <w:vAlign w:val="center"/>
          </w:tcPr>
          <w:p w14:paraId="0469112D" w14:textId="5A7A43FE"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PCA</w:t>
            </w:r>
          </w:p>
        </w:tc>
        <w:tc>
          <w:tcPr>
            <w:tcW w:w="1186" w:type="dxa"/>
            <w:vAlign w:val="center"/>
          </w:tcPr>
          <w:p w14:paraId="7EFC958A" w14:textId="6F226291" w:rsidR="00735969" w:rsidRPr="00A4272B" w:rsidRDefault="00330A64" w:rsidP="00735969">
            <w:pPr>
              <w:widowControl w:val="0"/>
              <w:kinsoku w:val="0"/>
              <w:overflowPunct w:val="0"/>
              <w:autoSpaceDE w:val="0"/>
              <w:autoSpaceDN w:val="0"/>
              <w:spacing w:before="20" w:after="20"/>
              <w:rPr>
                <w:sz w:val="18"/>
                <w:szCs w:val="18"/>
                <w:lang w:val="en-US"/>
              </w:rPr>
            </w:pPr>
            <w:r w:rsidRPr="00A4272B">
              <w:rPr>
                <w:sz w:val="18"/>
                <w:szCs w:val="18"/>
                <w:lang w:val="en-US"/>
              </w:rPr>
              <w:t>N/A</w:t>
            </w:r>
          </w:p>
        </w:tc>
      </w:tr>
      <w:tr w:rsidR="00735969" w:rsidRPr="00A4272B" w14:paraId="57B2812B" w14:textId="3B01DB40" w:rsidTr="00646AA3">
        <w:tc>
          <w:tcPr>
            <w:tcW w:w="402" w:type="dxa"/>
            <w:vAlign w:val="center"/>
          </w:tcPr>
          <w:p w14:paraId="1994F63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24</w:t>
            </w:r>
          </w:p>
        </w:tc>
        <w:tc>
          <w:tcPr>
            <w:tcW w:w="2605" w:type="dxa"/>
            <w:vAlign w:val="center"/>
          </w:tcPr>
          <w:p w14:paraId="02B7631F" w14:textId="77777777"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Perfluorohexane sulfonic acid (PFHxS), its salts and PFHxS-related compounds</w:t>
            </w:r>
          </w:p>
        </w:tc>
        <w:tc>
          <w:tcPr>
            <w:tcW w:w="1079" w:type="dxa"/>
            <w:vAlign w:val="center"/>
          </w:tcPr>
          <w:p w14:paraId="5062516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PFHxS</w:t>
            </w:r>
          </w:p>
        </w:tc>
        <w:tc>
          <w:tcPr>
            <w:tcW w:w="757" w:type="dxa"/>
            <w:vAlign w:val="center"/>
          </w:tcPr>
          <w:p w14:paraId="66D9147D"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30F3E1D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2022</w:t>
            </w:r>
          </w:p>
        </w:tc>
        <w:tc>
          <w:tcPr>
            <w:tcW w:w="929" w:type="dxa"/>
            <w:vAlign w:val="center"/>
          </w:tcPr>
          <w:p w14:paraId="172CCF0D"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SC-10/13</w:t>
            </w:r>
          </w:p>
        </w:tc>
        <w:tc>
          <w:tcPr>
            <w:tcW w:w="1705" w:type="dxa"/>
            <w:vAlign w:val="center"/>
          </w:tcPr>
          <w:p w14:paraId="74F83CA8" w14:textId="77777777" w:rsidR="00AB4AF4" w:rsidRPr="00A4272B" w:rsidRDefault="00AB4AF4" w:rsidP="00AB4AF4">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Approximately 176 substances (UNEP/POPS/</w:t>
            </w:r>
          </w:p>
          <w:p w14:paraId="2D0FF18D" w14:textId="22FF31B7" w:rsidR="00735969" w:rsidRPr="00A4272B" w:rsidRDefault="00AB4AF4" w:rsidP="00AB4AF4">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POPRC.20/INF/13)</w:t>
            </w:r>
          </w:p>
        </w:tc>
        <w:tc>
          <w:tcPr>
            <w:tcW w:w="1694" w:type="dxa"/>
            <w:vAlign w:val="center"/>
          </w:tcPr>
          <w:p w14:paraId="467AB4E9" w14:textId="5BD4BABE" w:rsidR="00735969" w:rsidRPr="00A4272B" w:rsidRDefault="00357485" w:rsidP="00735969">
            <w:pPr>
              <w:widowControl w:val="0"/>
              <w:kinsoku w:val="0"/>
              <w:overflowPunct w:val="0"/>
              <w:autoSpaceDE w:val="0"/>
              <w:autoSpaceDN w:val="0"/>
              <w:spacing w:before="20" w:after="20"/>
              <w:rPr>
                <w:bCs/>
                <w:noProof/>
                <w:sz w:val="18"/>
                <w:szCs w:val="18"/>
                <w:lang w:val="en-US"/>
              </w:rPr>
            </w:pPr>
            <w:r w:rsidRPr="00A4272B">
              <w:rPr>
                <w:noProof/>
                <w:sz w:val="18"/>
                <w:szCs w:val="18"/>
                <w:lang w:val="en-US"/>
              </w:rPr>
              <w:t>[</w:t>
            </w:r>
            <w:r w:rsidR="00735969" w:rsidRPr="00A4272B">
              <w:rPr>
                <w:noProof/>
                <w:sz w:val="18"/>
                <w:szCs w:val="18"/>
                <w:lang w:val="en-US"/>
              </w:rPr>
              <w:t>PFHxS</w:t>
            </w:r>
            <w:r w:rsidRPr="00A4272B">
              <w:rPr>
                <w:noProof/>
                <w:sz w:val="18"/>
                <w:szCs w:val="18"/>
                <w:lang w:val="en-US"/>
              </w:rPr>
              <w:t>]</w:t>
            </w:r>
          </w:p>
        </w:tc>
        <w:tc>
          <w:tcPr>
            <w:tcW w:w="1694" w:type="dxa"/>
            <w:vAlign w:val="center"/>
          </w:tcPr>
          <w:p w14:paraId="4139C402" w14:textId="725AB072"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noProof/>
                <w:sz w:val="18"/>
                <w:szCs w:val="18"/>
                <w:lang w:val="en-US"/>
              </w:rPr>
              <w:t>PFHxS</w:t>
            </w:r>
          </w:p>
        </w:tc>
        <w:tc>
          <w:tcPr>
            <w:tcW w:w="1694" w:type="dxa"/>
            <w:vAlign w:val="center"/>
          </w:tcPr>
          <w:p w14:paraId="4BFC3F8C" w14:textId="1C2FEF71"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noProof/>
                <w:sz w:val="18"/>
                <w:szCs w:val="18"/>
                <w:lang w:val="en-US"/>
              </w:rPr>
              <w:t>PFHxS</w:t>
            </w:r>
          </w:p>
        </w:tc>
        <w:tc>
          <w:tcPr>
            <w:tcW w:w="1186" w:type="dxa"/>
            <w:vAlign w:val="center"/>
          </w:tcPr>
          <w:p w14:paraId="5144F380" w14:textId="7C1FEE16" w:rsidR="00735969" w:rsidRPr="00A4272B" w:rsidRDefault="00330A64"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PFHxS</w:t>
            </w:r>
          </w:p>
        </w:tc>
      </w:tr>
      <w:tr w:rsidR="00330A64" w:rsidRPr="00A4272B" w14:paraId="0DDB9FE9" w14:textId="5D3E59C1" w:rsidTr="00646AA3">
        <w:tc>
          <w:tcPr>
            <w:tcW w:w="402" w:type="dxa"/>
            <w:vAlign w:val="center"/>
          </w:tcPr>
          <w:p w14:paraId="76122B61" w14:textId="77777777" w:rsidR="00330A64" w:rsidRPr="00A4272B" w:rsidRDefault="00330A64" w:rsidP="00330A64">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25</w:t>
            </w:r>
          </w:p>
        </w:tc>
        <w:tc>
          <w:tcPr>
            <w:tcW w:w="2605" w:type="dxa"/>
            <w:vAlign w:val="center"/>
          </w:tcPr>
          <w:p w14:paraId="3217237F" w14:textId="77777777" w:rsidR="00330A64" w:rsidRPr="00A4272B" w:rsidRDefault="00330A64" w:rsidP="00330A64">
            <w:pPr>
              <w:widowControl w:val="0"/>
              <w:kinsoku w:val="0"/>
              <w:overflowPunct w:val="0"/>
              <w:autoSpaceDE w:val="0"/>
              <w:autoSpaceDN w:val="0"/>
              <w:spacing w:before="20" w:after="20"/>
              <w:rPr>
                <w:noProof/>
                <w:sz w:val="18"/>
                <w:szCs w:val="18"/>
                <w:lang w:val="en-US"/>
              </w:rPr>
            </w:pPr>
            <w:r w:rsidRPr="00A4272B">
              <w:rPr>
                <w:noProof/>
                <w:sz w:val="18"/>
                <w:szCs w:val="18"/>
                <w:lang w:val="en-US"/>
              </w:rPr>
              <w:t>Perfluorooctane sulfonic acid (PFOS), its salts and perfluorooctane sulfonyl fluoride (PFOSF)</w:t>
            </w:r>
          </w:p>
        </w:tc>
        <w:tc>
          <w:tcPr>
            <w:tcW w:w="1079" w:type="dxa"/>
            <w:vAlign w:val="center"/>
          </w:tcPr>
          <w:p w14:paraId="3CB99155" w14:textId="77777777" w:rsidR="00330A64" w:rsidRPr="00A4272B" w:rsidRDefault="00330A64" w:rsidP="00330A64">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PFOS</w:t>
            </w:r>
          </w:p>
        </w:tc>
        <w:tc>
          <w:tcPr>
            <w:tcW w:w="757" w:type="dxa"/>
            <w:vAlign w:val="center"/>
          </w:tcPr>
          <w:p w14:paraId="36094DAF" w14:textId="77777777" w:rsidR="00330A64" w:rsidRPr="00A4272B" w:rsidRDefault="00330A64" w:rsidP="00330A64">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B</w:t>
            </w:r>
          </w:p>
        </w:tc>
        <w:tc>
          <w:tcPr>
            <w:tcW w:w="674" w:type="dxa"/>
            <w:vAlign w:val="center"/>
          </w:tcPr>
          <w:p w14:paraId="1DF60A51" w14:textId="77777777" w:rsidR="00330A64" w:rsidRPr="00A4272B" w:rsidRDefault="00330A64" w:rsidP="00330A64">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2009, 2019</w:t>
            </w:r>
          </w:p>
        </w:tc>
        <w:tc>
          <w:tcPr>
            <w:tcW w:w="929" w:type="dxa"/>
            <w:vAlign w:val="center"/>
          </w:tcPr>
          <w:p w14:paraId="02F693CE" w14:textId="77777777" w:rsidR="00330A64" w:rsidRPr="00A4272B" w:rsidRDefault="00330A64" w:rsidP="00330A64">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SC-4/17, SC-9/4</w:t>
            </w:r>
          </w:p>
        </w:tc>
        <w:tc>
          <w:tcPr>
            <w:tcW w:w="1705" w:type="dxa"/>
            <w:vAlign w:val="center"/>
          </w:tcPr>
          <w:p w14:paraId="4890F929" w14:textId="77777777" w:rsidR="00330A64" w:rsidRPr="00A4272B" w:rsidRDefault="00330A64" w:rsidP="00330A64">
            <w:pPr>
              <w:widowControl w:val="0"/>
              <w:kinsoku w:val="0"/>
              <w:overflowPunct w:val="0"/>
              <w:autoSpaceDE w:val="0"/>
              <w:autoSpaceDN w:val="0"/>
              <w:spacing w:before="20" w:after="20"/>
              <w:rPr>
                <w:sz w:val="18"/>
                <w:szCs w:val="18"/>
                <w:lang w:val="en-US"/>
              </w:rPr>
            </w:pPr>
            <w:r w:rsidRPr="00A4272B">
              <w:rPr>
                <w:sz w:val="18"/>
                <w:szCs w:val="18"/>
                <w:lang w:val="en-US"/>
              </w:rPr>
              <w:t>Single anionic compound with one linear (L-PFOS) and many branched isomers</w:t>
            </w:r>
          </w:p>
          <w:p w14:paraId="7CB383FE" w14:textId="77777777" w:rsidR="00330A64" w:rsidRPr="00A4272B" w:rsidRDefault="00330A64" w:rsidP="00330A64">
            <w:pPr>
              <w:widowControl w:val="0"/>
              <w:kinsoku w:val="0"/>
              <w:overflowPunct w:val="0"/>
              <w:autoSpaceDE w:val="0"/>
              <w:autoSpaceDN w:val="0"/>
              <w:spacing w:before="20" w:after="20"/>
              <w:rPr>
                <w:bCs/>
                <w:noProof/>
                <w:sz w:val="18"/>
                <w:szCs w:val="18"/>
                <w:lang w:val="en-US"/>
              </w:rPr>
            </w:pPr>
            <w:r w:rsidRPr="00A4272B">
              <w:rPr>
                <w:bCs/>
                <w:sz w:val="18"/>
                <w:szCs w:val="18"/>
                <w:lang w:val="en-US"/>
              </w:rPr>
              <w:t>96 precursors</w:t>
            </w:r>
          </w:p>
        </w:tc>
        <w:tc>
          <w:tcPr>
            <w:tcW w:w="1694" w:type="dxa"/>
            <w:vAlign w:val="center"/>
          </w:tcPr>
          <w:p w14:paraId="4CB2E45F" w14:textId="41B224EA" w:rsidR="00330A64" w:rsidRPr="00A4272B" w:rsidRDefault="00357485" w:rsidP="00330A64">
            <w:pPr>
              <w:widowControl w:val="0"/>
              <w:kinsoku w:val="0"/>
              <w:overflowPunct w:val="0"/>
              <w:autoSpaceDE w:val="0"/>
              <w:autoSpaceDN w:val="0"/>
              <w:spacing w:before="20" w:after="20"/>
              <w:rPr>
                <w:sz w:val="18"/>
                <w:szCs w:val="18"/>
                <w:lang w:val="en-US"/>
              </w:rPr>
            </w:pPr>
            <w:r w:rsidRPr="00A4272B">
              <w:rPr>
                <w:sz w:val="18"/>
                <w:szCs w:val="18"/>
                <w:lang w:val="en-US"/>
              </w:rPr>
              <w:t>[</w:t>
            </w:r>
            <w:r w:rsidR="00330A64" w:rsidRPr="00A4272B">
              <w:rPr>
                <w:sz w:val="18"/>
                <w:szCs w:val="18"/>
                <w:lang w:val="en-US"/>
              </w:rPr>
              <w:t>PFOS, NMeFOSA, NEtFOSA, NMeFOSE, NEtFOSE (linear and branched)</w:t>
            </w:r>
            <w:r w:rsidRPr="00A4272B">
              <w:rPr>
                <w:sz w:val="18"/>
                <w:szCs w:val="18"/>
                <w:lang w:val="en-US"/>
              </w:rPr>
              <w:t>]</w:t>
            </w:r>
          </w:p>
        </w:tc>
        <w:tc>
          <w:tcPr>
            <w:tcW w:w="1694" w:type="dxa"/>
            <w:vAlign w:val="center"/>
          </w:tcPr>
          <w:p w14:paraId="77D35E6B" w14:textId="243F9EBD" w:rsidR="00330A64" w:rsidRPr="00A4272B" w:rsidRDefault="00330A64" w:rsidP="00330A64">
            <w:pPr>
              <w:widowControl w:val="0"/>
              <w:kinsoku w:val="0"/>
              <w:overflowPunct w:val="0"/>
              <w:autoSpaceDE w:val="0"/>
              <w:autoSpaceDN w:val="0"/>
              <w:spacing w:before="20" w:after="20"/>
              <w:rPr>
                <w:sz w:val="18"/>
                <w:szCs w:val="18"/>
                <w:lang w:val="en-US"/>
              </w:rPr>
            </w:pPr>
            <w:r w:rsidRPr="00A4272B">
              <w:rPr>
                <w:sz w:val="18"/>
                <w:szCs w:val="18"/>
                <w:lang w:val="en-US"/>
              </w:rPr>
              <w:t>PFOS (linear and branched)</w:t>
            </w:r>
          </w:p>
        </w:tc>
        <w:tc>
          <w:tcPr>
            <w:tcW w:w="1694" w:type="dxa"/>
            <w:vAlign w:val="center"/>
          </w:tcPr>
          <w:p w14:paraId="5F03009D" w14:textId="37B97820" w:rsidR="00330A64" w:rsidRPr="00A4272B" w:rsidRDefault="00330A64" w:rsidP="00330A64">
            <w:pPr>
              <w:widowControl w:val="0"/>
              <w:kinsoku w:val="0"/>
              <w:overflowPunct w:val="0"/>
              <w:autoSpaceDE w:val="0"/>
              <w:autoSpaceDN w:val="0"/>
              <w:spacing w:before="20" w:after="20"/>
              <w:rPr>
                <w:sz w:val="18"/>
                <w:szCs w:val="18"/>
                <w:lang w:val="en-US"/>
              </w:rPr>
            </w:pPr>
            <w:r w:rsidRPr="00A4272B">
              <w:rPr>
                <w:sz w:val="18"/>
                <w:szCs w:val="18"/>
                <w:lang w:val="en-US"/>
              </w:rPr>
              <w:t>PFOS (linear and branched)</w:t>
            </w:r>
          </w:p>
        </w:tc>
        <w:tc>
          <w:tcPr>
            <w:tcW w:w="1186" w:type="dxa"/>
            <w:vAlign w:val="center"/>
          </w:tcPr>
          <w:p w14:paraId="3C061C4D" w14:textId="614237B1" w:rsidR="00330A64" w:rsidRPr="00A4272B" w:rsidRDefault="00330A64" w:rsidP="00330A64">
            <w:pPr>
              <w:widowControl w:val="0"/>
              <w:kinsoku w:val="0"/>
              <w:overflowPunct w:val="0"/>
              <w:autoSpaceDE w:val="0"/>
              <w:autoSpaceDN w:val="0"/>
              <w:spacing w:before="20" w:after="20"/>
              <w:rPr>
                <w:sz w:val="18"/>
                <w:szCs w:val="18"/>
                <w:lang w:val="en-US"/>
              </w:rPr>
            </w:pPr>
            <w:r w:rsidRPr="00A4272B">
              <w:rPr>
                <w:sz w:val="18"/>
                <w:szCs w:val="18"/>
                <w:lang w:val="en-US"/>
              </w:rPr>
              <w:t>PFOS (linear and branched)</w:t>
            </w:r>
          </w:p>
        </w:tc>
      </w:tr>
      <w:tr w:rsidR="00735969" w:rsidRPr="00A4272B" w14:paraId="608FAAD3" w14:textId="517891FC" w:rsidTr="00646AA3">
        <w:tc>
          <w:tcPr>
            <w:tcW w:w="402" w:type="dxa"/>
            <w:vAlign w:val="center"/>
          </w:tcPr>
          <w:p w14:paraId="3D92723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26</w:t>
            </w:r>
          </w:p>
        </w:tc>
        <w:tc>
          <w:tcPr>
            <w:tcW w:w="2605" w:type="dxa"/>
            <w:vAlign w:val="center"/>
          </w:tcPr>
          <w:p w14:paraId="074E004A" w14:textId="77777777"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Perfluorooctanoic acid (PFOA), its salts and PFOA-related compounds</w:t>
            </w:r>
          </w:p>
        </w:tc>
        <w:tc>
          <w:tcPr>
            <w:tcW w:w="1079" w:type="dxa"/>
            <w:vAlign w:val="center"/>
          </w:tcPr>
          <w:p w14:paraId="566DC76F"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PFOA</w:t>
            </w:r>
          </w:p>
        </w:tc>
        <w:tc>
          <w:tcPr>
            <w:tcW w:w="757" w:type="dxa"/>
            <w:vAlign w:val="center"/>
          </w:tcPr>
          <w:p w14:paraId="4C88E223"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3A58395F"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2019</w:t>
            </w:r>
          </w:p>
        </w:tc>
        <w:tc>
          <w:tcPr>
            <w:tcW w:w="929" w:type="dxa"/>
            <w:vAlign w:val="center"/>
          </w:tcPr>
          <w:p w14:paraId="659DD77D"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SC-9/12</w:t>
            </w:r>
          </w:p>
        </w:tc>
        <w:tc>
          <w:tcPr>
            <w:tcW w:w="1705" w:type="dxa"/>
            <w:vAlign w:val="center"/>
          </w:tcPr>
          <w:p w14:paraId="100D0BB4" w14:textId="77777777" w:rsidR="00AB4AF4" w:rsidRPr="00A4272B" w:rsidRDefault="00AB4AF4"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Approximately 369 substances (UNEP/POPS/</w:t>
            </w:r>
          </w:p>
          <w:p w14:paraId="7360B86A" w14:textId="3F32845F" w:rsidR="00735969" w:rsidRPr="00A4272B" w:rsidRDefault="00AB4AF4"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POPRC.20/INF/12)</w:t>
            </w:r>
          </w:p>
        </w:tc>
        <w:tc>
          <w:tcPr>
            <w:tcW w:w="1694" w:type="dxa"/>
            <w:vAlign w:val="center"/>
          </w:tcPr>
          <w:p w14:paraId="6248B5FC" w14:textId="4B2FEAC9" w:rsidR="00735969" w:rsidRPr="00A4272B" w:rsidRDefault="00357485"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w:t>
            </w:r>
            <w:r w:rsidR="00330A64" w:rsidRPr="00A4272B">
              <w:rPr>
                <w:bCs/>
                <w:noProof/>
                <w:sz w:val="18"/>
                <w:szCs w:val="18"/>
                <w:lang w:val="en-US"/>
              </w:rPr>
              <w:t>PFOA</w:t>
            </w:r>
            <w:r w:rsidRPr="00A4272B">
              <w:rPr>
                <w:bCs/>
                <w:noProof/>
                <w:sz w:val="18"/>
                <w:szCs w:val="18"/>
                <w:lang w:val="en-US"/>
              </w:rPr>
              <w:t>]</w:t>
            </w:r>
          </w:p>
        </w:tc>
        <w:tc>
          <w:tcPr>
            <w:tcW w:w="1694" w:type="dxa"/>
            <w:vAlign w:val="center"/>
          </w:tcPr>
          <w:p w14:paraId="052A963A" w14:textId="6ACCBE8F" w:rsidR="00735969" w:rsidRPr="00A4272B" w:rsidRDefault="00330A64"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PFOA</w:t>
            </w:r>
          </w:p>
        </w:tc>
        <w:tc>
          <w:tcPr>
            <w:tcW w:w="1694" w:type="dxa"/>
            <w:vAlign w:val="center"/>
          </w:tcPr>
          <w:p w14:paraId="2E8FFC95" w14:textId="4BB77307" w:rsidR="00735969" w:rsidRPr="00A4272B" w:rsidRDefault="00330A64"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PFOA</w:t>
            </w:r>
          </w:p>
        </w:tc>
        <w:tc>
          <w:tcPr>
            <w:tcW w:w="1186" w:type="dxa"/>
            <w:vAlign w:val="center"/>
          </w:tcPr>
          <w:p w14:paraId="19854C7D" w14:textId="57C4AFC7" w:rsidR="00735969" w:rsidRPr="00A4272B" w:rsidRDefault="00330A64" w:rsidP="00735969">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PFOA</w:t>
            </w:r>
          </w:p>
        </w:tc>
      </w:tr>
      <w:tr w:rsidR="00BD537C" w:rsidRPr="00A4272B" w14:paraId="72427DF1" w14:textId="29D40604" w:rsidTr="00646AA3">
        <w:tc>
          <w:tcPr>
            <w:tcW w:w="402" w:type="dxa"/>
            <w:vMerge w:val="restart"/>
            <w:vAlign w:val="center"/>
          </w:tcPr>
          <w:p w14:paraId="02994549"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lastRenderedPageBreak/>
              <w:t>27</w:t>
            </w:r>
          </w:p>
        </w:tc>
        <w:tc>
          <w:tcPr>
            <w:tcW w:w="2605" w:type="dxa"/>
            <w:vMerge w:val="restart"/>
            <w:vAlign w:val="center"/>
          </w:tcPr>
          <w:p w14:paraId="4D03B2D2" w14:textId="77777777"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 xml:space="preserve">Polychlorinated biphenyls </w:t>
            </w:r>
          </w:p>
        </w:tc>
        <w:tc>
          <w:tcPr>
            <w:tcW w:w="1079" w:type="dxa"/>
            <w:vMerge w:val="restart"/>
            <w:vAlign w:val="center"/>
          </w:tcPr>
          <w:p w14:paraId="21F0101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PCBs</w:t>
            </w:r>
          </w:p>
        </w:tc>
        <w:tc>
          <w:tcPr>
            <w:tcW w:w="757" w:type="dxa"/>
            <w:vMerge w:val="restart"/>
            <w:vAlign w:val="center"/>
          </w:tcPr>
          <w:p w14:paraId="11A50444" w14:textId="6C49EA44"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 C</w:t>
            </w:r>
          </w:p>
        </w:tc>
        <w:tc>
          <w:tcPr>
            <w:tcW w:w="674" w:type="dxa"/>
            <w:vMerge w:val="restart"/>
            <w:vAlign w:val="center"/>
          </w:tcPr>
          <w:p w14:paraId="02A15F0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Merge w:val="restart"/>
            <w:vAlign w:val="center"/>
          </w:tcPr>
          <w:p w14:paraId="03C6429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Merge w:val="restart"/>
            <w:vAlign w:val="center"/>
          </w:tcPr>
          <w:p w14:paraId="67F6630B"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209 congeners</w:t>
            </w:r>
          </w:p>
        </w:tc>
        <w:tc>
          <w:tcPr>
            <w:tcW w:w="1694" w:type="dxa"/>
            <w:vAlign w:val="center"/>
          </w:tcPr>
          <w:p w14:paraId="63F108B8" w14:textId="3817EDA5"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ΣPCB</w:t>
            </w:r>
            <w:r w:rsidRPr="00A4272B">
              <w:rPr>
                <w:sz w:val="18"/>
                <w:szCs w:val="18"/>
                <w:vertAlign w:val="subscript"/>
                <w:lang w:val="en-US"/>
              </w:rPr>
              <w:t>6</w:t>
            </w:r>
            <w:r w:rsidRPr="00A4272B">
              <w:rPr>
                <w:sz w:val="18"/>
                <w:szCs w:val="18"/>
                <w:lang w:val="en-US"/>
              </w:rPr>
              <w:t xml:space="preserve"> (6 congeners): 28, 52, 101, 138, 153, and 180</w:t>
            </w:r>
          </w:p>
        </w:tc>
        <w:tc>
          <w:tcPr>
            <w:tcW w:w="1694" w:type="dxa"/>
            <w:vAlign w:val="center"/>
          </w:tcPr>
          <w:p w14:paraId="0582F955" w14:textId="10126C9D"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ΣPCB</w:t>
            </w:r>
            <w:r w:rsidRPr="00A4272B">
              <w:rPr>
                <w:sz w:val="18"/>
                <w:szCs w:val="18"/>
                <w:vertAlign w:val="subscript"/>
                <w:lang w:val="en-US"/>
              </w:rPr>
              <w:t>6</w:t>
            </w:r>
            <w:r w:rsidRPr="00A4272B">
              <w:rPr>
                <w:sz w:val="18"/>
                <w:szCs w:val="18"/>
                <w:lang w:val="en-US"/>
              </w:rPr>
              <w:t xml:space="preserve"> (6 congeners): 28, 52, 101, 138, 153, and 180</w:t>
            </w:r>
          </w:p>
        </w:tc>
        <w:tc>
          <w:tcPr>
            <w:tcW w:w="1694" w:type="dxa"/>
            <w:vAlign w:val="center"/>
          </w:tcPr>
          <w:p w14:paraId="64D9AB48" w14:textId="749495B6"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ΣPCB</w:t>
            </w:r>
            <w:r w:rsidRPr="00A4272B">
              <w:rPr>
                <w:sz w:val="18"/>
                <w:szCs w:val="18"/>
                <w:vertAlign w:val="subscript"/>
                <w:lang w:val="en-US"/>
              </w:rPr>
              <w:t>6</w:t>
            </w:r>
            <w:r w:rsidRPr="00A4272B">
              <w:rPr>
                <w:sz w:val="18"/>
                <w:szCs w:val="18"/>
                <w:lang w:val="en-US"/>
              </w:rPr>
              <w:t xml:space="preserve"> (6 congeners): 28, 52, 101, 138, 153, and 180</w:t>
            </w:r>
          </w:p>
        </w:tc>
        <w:tc>
          <w:tcPr>
            <w:tcW w:w="1186" w:type="dxa"/>
            <w:vAlign w:val="center"/>
          </w:tcPr>
          <w:p w14:paraId="45F7A08B" w14:textId="021CD2DD" w:rsidR="00735969" w:rsidRPr="00A4272B" w:rsidRDefault="00357485"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N/A</w:t>
            </w:r>
          </w:p>
        </w:tc>
      </w:tr>
      <w:tr w:rsidR="00BD537C" w:rsidRPr="00A4272B" w14:paraId="073EFCBD" w14:textId="77777777" w:rsidTr="00646AA3">
        <w:tc>
          <w:tcPr>
            <w:tcW w:w="402" w:type="dxa"/>
            <w:vMerge/>
            <w:vAlign w:val="center"/>
          </w:tcPr>
          <w:p w14:paraId="1A51B27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p>
        </w:tc>
        <w:tc>
          <w:tcPr>
            <w:tcW w:w="2605" w:type="dxa"/>
            <w:vMerge/>
            <w:vAlign w:val="center"/>
          </w:tcPr>
          <w:p w14:paraId="4B37F929" w14:textId="77777777" w:rsidR="00735969" w:rsidRPr="00A4272B" w:rsidRDefault="00735969" w:rsidP="00735969">
            <w:pPr>
              <w:widowControl w:val="0"/>
              <w:kinsoku w:val="0"/>
              <w:overflowPunct w:val="0"/>
              <w:autoSpaceDE w:val="0"/>
              <w:autoSpaceDN w:val="0"/>
              <w:spacing w:before="20" w:after="20"/>
              <w:rPr>
                <w:noProof/>
                <w:sz w:val="18"/>
                <w:szCs w:val="18"/>
                <w:lang w:val="en-US"/>
              </w:rPr>
            </w:pPr>
          </w:p>
        </w:tc>
        <w:tc>
          <w:tcPr>
            <w:tcW w:w="1079" w:type="dxa"/>
            <w:vMerge/>
            <w:vAlign w:val="center"/>
          </w:tcPr>
          <w:p w14:paraId="3D5E7EC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p>
        </w:tc>
        <w:tc>
          <w:tcPr>
            <w:tcW w:w="757" w:type="dxa"/>
            <w:vMerge/>
            <w:vAlign w:val="center"/>
          </w:tcPr>
          <w:p w14:paraId="6D3151F5"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p>
        </w:tc>
        <w:tc>
          <w:tcPr>
            <w:tcW w:w="674" w:type="dxa"/>
            <w:vMerge/>
            <w:vAlign w:val="center"/>
          </w:tcPr>
          <w:p w14:paraId="1822056A"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p>
        </w:tc>
        <w:tc>
          <w:tcPr>
            <w:tcW w:w="929" w:type="dxa"/>
            <w:vMerge/>
            <w:vAlign w:val="center"/>
          </w:tcPr>
          <w:p w14:paraId="6C366C1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p>
        </w:tc>
        <w:tc>
          <w:tcPr>
            <w:tcW w:w="1705" w:type="dxa"/>
            <w:vMerge/>
            <w:vAlign w:val="center"/>
          </w:tcPr>
          <w:p w14:paraId="7EDD1A6C" w14:textId="77777777" w:rsidR="00735969" w:rsidRPr="00A4272B" w:rsidRDefault="00735969" w:rsidP="00735969">
            <w:pPr>
              <w:widowControl w:val="0"/>
              <w:kinsoku w:val="0"/>
              <w:overflowPunct w:val="0"/>
              <w:autoSpaceDE w:val="0"/>
              <w:autoSpaceDN w:val="0"/>
              <w:spacing w:before="20" w:after="20"/>
              <w:rPr>
                <w:sz w:val="18"/>
                <w:szCs w:val="18"/>
                <w:lang w:val="en-US"/>
              </w:rPr>
            </w:pPr>
          </w:p>
        </w:tc>
        <w:tc>
          <w:tcPr>
            <w:tcW w:w="1694" w:type="dxa"/>
            <w:vAlign w:val="center"/>
          </w:tcPr>
          <w:p w14:paraId="034B9574" w14:textId="378D87B4"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PCBs with TEFs</w:t>
            </w:r>
            <w:r w:rsidRPr="00A4272B">
              <w:rPr>
                <w:rStyle w:val="FootnoteReference"/>
                <w:sz w:val="18"/>
                <w:lang w:val="en-US"/>
              </w:rPr>
              <w:footnoteReference w:id="10"/>
            </w:r>
            <w:r w:rsidRPr="00A4272B">
              <w:rPr>
                <w:sz w:val="18"/>
                <w:szCs w:val="18"/>
                <w:lang w:val="en-US"/>
              </w:rPr>
              <w:t xml:space="preserve"> (12 congeners): 77, 81, 105, 114, 118, 123, 126, 156, 157, 167, 169, and 189</w:t>
            </w:r>
          </w:p>
        </w:tc>
        <w:tc>
          <w:tcPr>
            <w:tcW w:w="1694" w:type="dxa"/>
            <w:vAlign w:val="center"/>
          </w:tcPr>
          <w:p w14:paraId="05B12C21" w14:textId="551E32FD"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PCBs with TEFs (12 congeners): 77, 81, 105, 114, 118, 123, 126, 156, 157, 167, 169, and 189</w:t>
            </w:r>
          </w:p>
        </w:tc>
        <w:tc>
          <w:tcPr>
            <w:tcW w:w="1694" w:type="dxa"/>
            <w:vAlign w:val="center"/>
          </w:tcPr>
          <w:p w14:paraId="78F6AF2D" w14:textId="02970308"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PCBs with TEFs (12 congeners): 77, 81, 105, 114, 118, 123, 126, 156, 157, 167, 169, and 189</w:t>
            </w:r>
          </w:p>
        </w:tc>
        <w:tc>
          <w:tcPr>
            <w:tcW w:w="1186" w:type="dxa"/>
            <w:vAlign w:val="center"/>
          </w:tcPr>
          <w:p w14:paraId="2AAB433B" w14:textId="24DB0A09" w:rsidR="00735969" w:rsidRPr="00A4272B" w:rsidRDefault="00357485"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N/A</w:t>
            </w:r>
          </w:p>
        </w:tc>
      </w:tr>
      <w:tr w:rsidR="00735969" w:rsidRPr="00A4272B" w14:paraId="5744DD4B" w14:textId="47D6CD36" w:rsidTr="00646AA3">
        <w:tc>
          <w:tcPr>
            <w:tcW w:w="402" w:type="dxa"/>
            <w:vAlign w:val="center"/>
          </w:tcPr>
          <w:p w14:paraId="7BE6791D"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28</w:t>
            </w:r>
          </w:p>
        </w:tc>
        <w:tc>
          <w:tcPr>
            <w:tcW w:w="2605" w:type="dxa"/>
            <w:vAlign w:val="center"/>
          </w:tcPr>
          <w:p w14:paraId="53C14365" w14:textId="77777777" w:rsidR="00735969" w:rsidRPr="00A4272B" w:rsidRDefault="00735969" w:rsidP="00735969">
            <w:pPr>
              <w:widowControl w:val="0"/>
              <w:kinsoku w:val="0"/>
              <w:overflowPunct w:val="0"/>
              <w:autoSpaceDE w:val="0"/>
              <w:autoSpaceDN w:val="0"/>
              <w:spacing w:before="20" w:after="20"/>
              <w:rPr>
                <w:noProof/>
                <w:sz w:val="18"/>
                <w:szCs w:val="18"/>
                <w:lang w:val="en-US"/>
              </w:rPr>
            </w:pPr>
            <w:r w:rsidRPr="00A4272B">
              <w:rPr>
                <w:noProof/>
                <w:sz w:val="18"/>
                <w:szCs w:val="18"/>
                <w:lang w:val="en-US"/>
              </w:rPr>
              <w:t>Polychlorinated dibenzo-</w:t>
            </w:r>
            <w:r w:rsidRPr="00A4272B">
              <w:rPr>
                <w:i/>
                <w:noProof/>
                <w:sz w:val="18"/>
                <w:szCs w:val="18"/>
                <w:lang w:val="en-US"/>
              </w:rPr>
              <w:t>p</w:t>
            </w:r>
            <w:r w:rsidRPr="00A4272B">
              <w:rPr>
                <w:noProof/>
                <w:sz w:val="18"/>
                <w:szCs w:val="18"/>
                <w:lang w:val="en-US"/>
              </w:rPr>
              <w:t xml:space="preserve">-dioxins </w:t>
            </w:r>
          </w:p>
        </w:tc>
        <w:tc>
          <w:tcPr>
            <w:tcW w:w="1079" w:type="dxa"/>
            <w:vAlign w:val="center"/>
          </w:tcPr>
          <w:p w14:paraId="38436F4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PCDDs</w:t>
            </w:r>
          </w:p>
        </w:tc>
        <w:tc>
          <w:tcPr>
            <w:tcW w:w="757" w:type="dxa"/>
            <w:vAlign w:val="center"/>
          </w:tcPr>
          <w:p w14:paraId="0E0FEA3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C</w:t>
            </w:r>
          </w:p>
        </w:tc>
        <w:tc>
          <w:tcPr>
            <w:tcW w:w="674" w:type="dxa"/>
            <w:vAlign w:val="center"/>
          </w:tcPr>
          <w:p w14:paraId="1399963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06240849"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2F5E7F42"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75 congeners</w:t>
            </w:r>
          </w:p>
        </w:tc>
        <w:tc>
          <w:tcPr>
            <w:tcW w:w="1694" w:type="dxa"/>
            <w:vAlign w:val="center"/>
          </w:tcPr>
          <w:p w14:paraId="613B533D" w14:textId="5ADB738C"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2,3,7,8-substituted PCDD (17 congeners)</w:t>
            </w:r>
          </w:p>
        </w:tc>
        <w:tc>
          <w:tcPr>
            <w:tcW w:w="1694" w:type="dxa"/>
            <w:vAlign w:val="center"/>
          </w:tcPr>
          <w:p w14:paraId="0937C7FD" w14:textId="26039256"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2,3,7,8-substituted PCDD (17 congeners)</w:t>
            </w:r>
          </w:p>
        </w:tc>
        <w:tc>
          <w:tcPr>
            <w:tcW w:w="1694" w:type="dxa"/>
            <w:vAlign w:val="center"/>
          </w:tcPr>
          <w:p w14:paraId="0D8CCA1E" w14:textId="2AE1F269"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2,3,7,8-substituted PCDD (17 congeners)</w:t>
            </w:r>
          </w:p>
        </w:tc>
        <w:tc>
          <w:tcPr>
            <w:tcW w:w="1186" w:type="dxa"/>
            <w:vAlign w:val="center"/>
          </w:tcPr>
          <w:p w14:paraId="168B6CDB" w14:textId="4DD2A399" w:rsidR="00735969" w:rsidRPr="00A4272B" w:rsidRDefault="00357485"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N/A</w:t>
            </w:r>
          </w:p>
        </w:tc>
      </w:tr>
      <w:tr w:rsidR="00735969" w:rsidRPr="00A4272B" w14:paraId="6CE8F895" w14:textId="7DDBD809" w:rsidTr="00646AA3">
        <w:tc>
          <w:tcPr>
            <w:tcW w:w="402" w:type="dxa"/>
            <w:vAlign w:val="center"/>
          </w:tcPr>
          <w:p w14:paraId="07EA69A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29</w:t>
            </w:r>
          </w:p>
        </w:tc>
        <w:tc>
          <w:tcPr>
            <w:tcW w:w="2605" w:type="dxa"/>
            <w:vAlign w:val="center"/>
          </w:tcPr>
          <w:p w14:paraId="57692E27" w14:textId="70D98556" w:rsidR="00735969" w:rsidRPr="00A4272B" w:rsidRDefault="00735969" w:rsidP="00735969">
            <w:pPr>
              <w:spacing w:before="20" w:after="20"/>
              <w:rPr>
                <w:noProof/>
                <w:sz w:val="18"/>
                <w:szCs w:val="18"/>
                <w:lang w:val="en-US"/>
              </w:rPr>
            </w:pPr>
            <w:r w:rsidRPr="00A4272B">
              <w:rPr>
                <w:noProof/>
                <w:sz w:val="18"/>
                <w:szCs w:val="18"/>
                <w:lang w:val="en-US"/>
              </w:rPr>
              <w:t xml:space="preserve">Polychlorinated dibenzofurans </w:t>
            </w:r>
          </w:p>
        </w:tc>
        <w:tc>
          <w:tcPr>
            <w:tcW w:w="1079" w:type="dxa"/>
            <w:vAlign w:val="center"/>
          </w:tcPr>
          <w:p w14:paraId="791C65F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PCDFs</w:t>
            </w:r>
          </w:p>
        </w:tc>
        <w:tc>
          <w:tcPr>
            <w:tcW w:w="757" w:type="dxa"/>
            <w:vAlign w:val="center"/>
          </w:tcPr>
          <w:p w14:paraId="518149E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C</w:t>
            </w:r>
          </w:p>
        </w:tc>
        <w:tc>
          <w:tcPr>
            <w:tcW w:w="674" w:type="dxa"/>
            <w:vAlign w:val="center"/>
          </w:tcPr>
          <w:p w14:paraId="67FC8578"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5D993E09"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5AEDB942"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135 congeners</w:t>
            </w:r>
          </w:p>
        </w:tc>
        <w:tc>
          <w:tcPr>
            <w:tcW w:w="1694" w:type="dxa"/>
            <w:vAlign w:val="center"/>
          </w:tcPr>
          <w:p w14:paraId="476DF91A" w14:textId="391D7E30"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2,3,7,8-substituted PCDF (17 congeners)</w:t>
            </w:r>
          </w:p>
        </w:tc>
        <w:tc>
          <w:tcPr>
            <w:tcW w:w="1694" w:type="dxa"/>
            <w:vAlign w:val="center"/>
          </w:tcPr>
          <w:p w14:paraId="6520DD03" w14:textId="3B7EBB53"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2,3,7,8-substituted PCDF (17 congeners)</w:t>
            </w:r>
          </w:p>
        </w:tc>
        <w:tc>
          <w:tcPr>
            <w:tcW w:w="1694" w:type="dxa"/>
            <w:vAlign w:val="center"/>
          </w:tcPr>
          <w:p w14:paraId="6D329605" w14:textId="07E5285C"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2,3,7,8-substituted PCDF (17 congeners)</w:t>
            </w:r>
          </w:p>
        </w:tc>
        <w:tc>
          <w:tcPr>
            <w:tcW w:w="1186" w:type="dxa"/>
            <w:vAlign w:val="center"/>
          </w:tcPr>
          <w:p w14:paraId="75FBC03C" w14:textId="5339071C" w:rsidR="00735969" w:rsidRPr="00A4272B" w:rsidRDefault="00357485"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N/A</w:t>
            </w:r>
          </w:p>
        </w:tc>
      </w:tr>
      <w:tr w:rsidR="00735969" w:rsidRPr="00A4272B" w14:paraId="021AB075" w14:textId="560ABE73" w:rsidTr="00646AA3">
        <w:tc>
          <w:tcPr>
            <w:tcW w:w="402" w:type="dxa"/>
            <w:vAlign w:val="center"/>
          </w:tcPr>
          <w:p w14:paraId="409563A4"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30</w:t>
            </w:r>
          </w:p>
        </w:tc>
        <w:tc>
          <w:tcPr>
            <w:tcW w:w="2605" w:type="dxa"/>
            <w:vAlign w:val="center"/>
          </w:tcPr>
          <w:p w14:paraId="3E1C59A1" w14:textId="77777777" w:rsidR="00735969" w:rsidRPr="00A4272B" w:rsidRDefault="00735969" w:rsidP="00735969">
            <w:pPr>
              <w:spacing w:before="20" w:after="20"/>
              <w:rPr>
                <w:noProof/>
                <w:sz w:val="18"/>
                <w:szCs w:val="18"/>
                <w:lang w:val="en-US"/>
              </w:rPr>
            </w:pPr>
            <w:r w:rsidRPr="00A4272B">
              <w:rPr>
                <w:noProof/>
                <w:sz w:val="18"/>
                <w:szCs w:val="18"/>
                <w:lang w:val="en-US"/>
              </w:rPr>
              <w:t>Polychlorinated naphthalenes (</w:t>
            </w:r>
            <w:r w:rsidRPr="00A4272B">
              <w:rPr>
                <w:sz w:val="18"/>
                <w:szCs w:val="18"/>
                <w:lang w:val="en-US"/>
              </w:rPr>
              <w:t>di-, tri-, tetra-, penta-, hexa-, hepta-chlorinated naphthalenes and octa-chlorinated naphthalene)</w:t>
            </w:r>
          </w:p>
        </w:tc>
        <w:tc>
          <w:tcPr>
            <w:tcW w:w="1079" w:type="dxa"/>
            <w:vAlign w:val="center"/>
          </w:tcPr>
          <w:p w14:paraId="60A7412A"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PCNs</w:t>
            </w:r>
          </w:p>
        </w:tc>
        <w:tc>
          <w:tcPr>
            <w:tcW w:w="757" w:type="dxa"/>
            <w:vAlign w:val="center"/>
          </w:tcPr>
          <w:p w14:paraId="0B7BD3A2" w14:textId="2C724EFD"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 C</w:t>
            </w:r>
          </w:p>
        </w:tc>
        <w:tc>
          <w:tcPr>
            <w:tcW w:w="674" w:type="dxa"/>
            <w:vAlign w:val="center"/>
          </w:tcPr>
          <w:p w14:paraId="2872AC7E"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2015</w:t>
            </w:r>
          </w:p>
        </w:tc>
        <w:tc>
          <w:tcPr>
            <w:tcW w:w="929" w:type="dxa"/>
            <w:vAlign w:val="center"/>
          </w:tcPr>
          <w:p w14:paraId="525031EB"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SC-7/14</w:t>
            </w:r>
          </w:p>
        </w:tc>
        <w:tc>
          <w:tcPr>
            <w:tcW w:w="1705" w:type="dxa"/>
            <w:vAlign w:val="center"/>
          </w:tcPr>
          <w:p w14:paraId="6997DD89"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73 congeners (di- to octachlorinated)</w:t>
            </w:r>
          </w:p>
        </w:tc>
        <w:tc>
          <w:tcPr>
            <w:tcW w:w="1694" w:type="dxa"/>
            <w:vAlign w:val="center"/>
          </w:tcPr>
          <w:p w14:paraId="79EE239A" w14:textId="679C55DF"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CN27/30, CN52/60, CN66/67 and CN73</w:t>
            </w:r>
          </w:p>
        </w:tc>
        <w:tc>
          <w:tcPr>
            <w:tcW w:w="1694" w:type="dxa"/>
            <w:vAlign w:val="center"/>
          </w:tcPr>
          <w:p w14:paraId="78403ABB" w14:textId="73974CBD"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CN27/30, CN52/60, CN66/67 and CN73</w:t>
            </w:r>
          </w:p>
        </w:tc>
        <w:tc>
          <w:tcPr>
            <w:tcW w:w="1694" w:type="dxa"/>
            <w:vAlign w:val="center"/>
          </w:tcPr>
          <w:p w14:paraId="48B235B4" w14:textId="0E67D637"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CN27/30, CN52/60, CN66/67 and CN73</w:t>
            </w:r>
          </w:p>
        </w:tc>
        <w:tc>
          <w:tcPr>
            <w:tcW w:w="1186" w:type="dxa"/>
            <w:vAlign w:val="center"/>
          </w:tcPr>
          <w:p w14:paraId="753916F8" w14:textId="7738A5AE" w:rsidR="00735969" w:rsidRPr="00A4272B" w:rsidRDefault="00357485"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N/A</w:t>
            </w:r>
          </w:p>
        </w:tc>
      </w:tr>
      <w:tr w:rsidR="00735969" w:rsidRPr="00A4272B" w14:paraId="1701DF39" w14:textId="2A331617" w:rsidTr="00646AA3">
        <w:tc>
          <w:tcPr>
            <w:tcW w:w="402" w:type="dxa"/>
            <w:vAlign w:val="center"/>
          </w:tcPr>
          <w:p w14:paraId="54F02A41"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31</w:t>
            </w:r>
          </w:p>
        </w:tc>
        <w:tc>
          <w:tcPr>
            <w:tcW w:w="2605" w:type="dxa"/>
            <w:vAlign w:val="center"/>
          </w:tcPr>
          <w:p w14:paraId="25D0F778" w14:textId="1DE09656" w:rsidR="00735969" w:rsidRPr="00A4272B" w:rsidRDefault="00735969" w:rsidP="00735969">
            <w:pPr>
              <w:spacing w:before="20" w:after="20"/>
              <w:rPr>
                <w:noProof/>
                <w:sz w:val="18"/>
                <w:szCs w:val="18"/>
                <w:lang w:val="en-US"/>
              </w:rPr>
            </w:pPr>
            <w:r w:rsidRPr="00A4272B">
              <w:rPr>
                <w:noProof/>
                <w:sz w:val="18"/>
                <w:szCs w:val="18"/>
                <w:lang w:val="en-US"/>
              </w:rPr>
              <w:t xml:space="preserve">Short-chain chlorinated paraffins </w:t>
            </w:r>
            <w:r w:rsidRPr="00A4272B">
              <w:rPr>
                <w:sz w:val="18"/>
                <w:szCs w:val="18"/>
                <w:lang w:val="en-US"/>
              </w:rPr>
              <w:t>(with chain lengths ranging from C</w:t>
            </w:r>
            <w:r w:rsidRPr="00A4272B">
              <w:rPr>
                <w:sz w:val="18"/>
                <w:szCs w:val="18"/>
                <w:vertAlign w:val="subscript"/>
                <w:lang w:val="en-US"/>
              </w:rPr>
              <w:t>10</w:t>
            </w:r>
            <w:r w:rsidRPr="00A4272B">
              <w:rPr>
                <w:sz w:val="18"/>
                <w:szCs w:val="18"/>
                <w:lang w:val="en-US"/>
              </w:rPr>
              <w:t xml:space="preserve"> to C</w:t>
            </w:r>
            <w:r w:rsidRPr="00A4272B">
              <w:rPr>
                <w:sz w:val="18"/>
                <w:szCs w:val="18"/>
                <w:vertAlign w:val="subscript"/>
                <w:lang w:val="en-US"/>
              </w:rPr>
              <w:t>13</w:t>
            </w:r>
            <w:r w:rsidRPr="00A4272B">
              <w:rPr>
                <w:sz w:val="18"/>
                <w:szCs w:val="18"/>
                <w:lang w:val="en-US"/>
              </w:rPr>
              <w:t xml:space="preserve"> and a content of chlorine greater than 48 per cent by weight)</w:t>
            </w:r>
          </w:p>
        </w:tc>
        <w:tc>
          <w:tcPr>
            <w:tcW w:w="1079" w:type="dxa"/>
            <w:vAlign w:val="center"/>
          </w:tcPr>
          <w:p w14:paraId="5CB27322"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SCCPs</w:t>
            </w:r>
          </w:p>
        </w:tc>
        <w:tc>
          <w:tcPr>
            <w:tcW w:w="757" w:type="dxa"/>
            <w:vAlign w:val="center"/>
          </w:tcPr>
          <w:p w14:paraId="44F7D690"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72EF2BC6"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2017</w:t>
            </w:r>
          </w:p>
        </w:tc>
        <w:tc>
          <w:tcPr>
            <w:tcW w:w="929" w:type="dxa"/>
            <w:vAlign w:val="center"/>
          </w:tcPr>
          <w:p w14:paraId="5C6F467C" w14:textId="77777777" w:rsidR="00735969" w:rsidRPr="00A4272B" w:rsidRDefault="00735969" w:rsidP="00735969">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SC-8/11</w:t>
            </w:r>
          </w:p>
        </w:tc>
        <w:tc>
          <w:tcPr>
            <w:tcW w:w="1705" w:type="dxa"/>
            <w:vAlign w:val="center"/>
          </w:tcPr>
          <w:p w14:paraId="33EFF11E" w14:textId="77777777" w:rsidR="00735969" w:rsidRPr="00A4272B" w:rsidRDefault="00735969" w:rsidP="00735969">
            <w:pPr>
              <w:widowControl w:val="0"/>
              <w:kinsoku w:val="0"/>
              <w:overflowPunct w:val="0"/>
              <w:autoSpaceDE w:val="0"/>
              <w:autoSpaceDN w:val="0"/>
              <w:spacing w:before="20" w:after="20"/>
              <w:rPr>
                <w:bCs/>
                <w:noProof/>
                <w:sz w:val="18"/>
                <w:szCs w:val="18"/>
                <w:lang w:val="en-US"/>
              </w:rPr>
            </w:pPr>
            <w:r w:rsidRPr="00A4272B">
              <w:rPr>
                <w:sz w:val="18"/>
                <w:szCs w:val="18"/>
                <w:lang w:val="en-US"/>
              </w:rPr>
              <w:t>Four homolog groups with skeleton of linear C</w:t>
            </w:r>
            <w:r w:rsidRPr="00A4272B">
              <w:rPr>
                <w:sz w:val="18"/>
                <w:szCs w:val="18"/>
                <w:vertAlign w:val="subscript"/>
                <w:lang w:val="en-US"/>
              </w:rPr>
              <w:t>10</w:t>
            </w:r>
            <w:r w:rsidRPr="00A4272B">
              <w:rPr>
                <w:sz w:val="18"/>
                <w:szCs w:val="18"/>
                <w:lang w:val="en-US"/>
              </w:rPr>
              <w:t>, C</w:t>
            </w:r>
            <w:r w:rsidRPr="00A4272B">
              <w:rPr>
                <w:sz w:val="18"/>
                <w:szCs w:val="18"/>
                <w:vertAlign w:val="subscript"/>
                <w:lang w:val="en-US"/>
              </w:rPr>
              <w:t>11</w:t>
            </w:r>
            <w:r w:rsidRPr="00A4272B">
              <w:rPr>
                <w:sz w:val="18"/>
                <w:szCs w:val="18"/>
                <w:lang w:val="en-US"/>
              </w:rPr>
              <w:t>, C</w:t>
            </w:r>
            <w:r w:rsidRPr="00A4272B">
              <w:rPr>
                <w:sz w:val="18"/>
                <w:szCs w:val="18"/>
                <w:vertAlign w:val="subscript"/>
                <w:lang w:val="en-US"/>
              </w:rPr>
              <w:t>12</w:t>
            </w:r>
            <w:r w:rsidRPr="00A4272B">
              <w:rPr>
                <w:sz w:val="18"/>
                <w:szCs w:val="18"/>
                <w:lang w:val="en-US"/>
              </w:rPr>
              <w:t xml:space="preserve"> or C</w:t>
            </w:r>
            <w:r w:rsidRPr="00A4272B">
              <w:rPr>
                <w:sz w:val="18"/>
                <w:szCs w:val="18"/>
                <w:vertAlign w:val="subscript"/>
                <w:lang w:val="en-US"/>
              </w:rPr>
              <w:t>13</w:t>
            </w:r>
            <w:r w:rsidRPr="00A4272B">
              <w:rPr>
                <w:sz w:val="18"/>
                <w:szCs w:val="18"/>
                <w:lang w:val="en-US"/>
              </w:rPr>
              <w:t>; and varying degrees of chlorination; several thousand congeners (theoretically)</w:t>
            </w:r>
          </w:p>
        </w:tc>
        <w:tc>
          <w:tcPr>
            <w:tcW w:w="1694" w:type="dxa"/>
            <w:vAlign w:val="center"/>
          </w:tcPr>
          <w:p w14:paraId="7A0A8D27" w14:textId="6502E96D"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SCCPs</w:t>
            </w:r>
            <w:r w:rsidRPr="00A4272B">
              <w:rPr>
                <w:rStyle w:val="FootnoteReference"/>
                <w:sz w:val="18"/>
                <w:lang w:val="en-US"/>
              </w:rPr>
              <w:footnoteReference w:id="11"/>
            </w:r>
          </w:p>
        </w:tc>
        <w:tc>
          <w:tcPr>
            <w:tcW w:w="1694" w:type="dxa"/>
            <w:vAlign w:val="center"/>
          </w:tcPr>
          <w:p w14:paraId="27BE6F43" w14:textId="52E5A93C"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SCCPs</w:t>
            </w:r>
          </w:p>
        </w:tc>
        <w:tc>
          <w:tcPr>
            <w:tcW w:w="1694" w:type="dxa"/>
            <w:vAlign w:val="center"/>
          </w:tcPr>
          <w:p w14:paraId="77C305D7" w14:textId="250BF01B" w:rsidR="00735969" w:rsidRPr="00A4272B" w:rsidRDefault="00735969" w:rsidP="00735969">
            <w:pPr>
              <w:widowControl w:val="0"/>
              <w:kinsoku w:val="0"/>
              <w:overflowPunct w:val="0"/>
              <w:autoSpaceDE w:val="0"/>
              <w:autoSpaceDN w:val="0"/>
              <w:spacing w:before="20" w:after="20"/>
              <w:rPr>
                <w:sz w:val="18"/>
                <w:szCs w:val="18"/>
                <w:lang w:val="en-US"/>
              </w:rPr>
            </w:pPr>
            <w:r w:rsidRPr="00A4272B">
              <w:rPr>
                <w:sz w:val="18"/>
                <w:szCs w:val="18"/>
                <w:lang w:val="en-US"/>
              </w:rPr>
              <w:t>SCCPs</w:t>
            </w:r>
          </w:p>
        </w:tc>
        <w:tc>
          <w:tcPr>
            <w:tcW w:w="1186" w:type="dxa"/>
            <w:vAlign w:val="center"/>
          </w:tcPr>
          <w:p w14:paraId="04E33CB6" w14:textId="7D531424" w:rsidR="00735969" w:rsidRPr="00A4272B" w:rsidRDefault="00357485" w:rsidP="00735969">
            <w:pPr>
              <w:widowControl w:val="0"/>
              <w:kinsoku w:val="0"/>
              <w:overflowPunct w:val="0"/>
              <w:autoSpaceDE w:val="0"/>
              <w:autoSpaceDN w:val="0"/>
              <w:spacing w:before="20" w:after="20"/>
              <w:rPr>
                <w:sz w:val="18"/>
                <w:szCs w:val="18"/>
                <w:lang w:val="en-US"/>
              </w:rPr>
            </w:pPr>
            <w:r w:rsidRPr="00A4272B">
              <w:rPr>
                <w:bCs/>
                <w:noProof/>
                <w:sz w:val="18"/>
                <w:szCs w:val="18"/>
                <w:lang w:val="en-US"/>
              </w:rPr>
              <w:t>N/A</w:t>
            </w:r>
          </w:p>
        </w:tc>
      </w:tr>
      <w:tr w:rsidR="00646AA3" w:rsidRPr="00A4272B" w14:paraId="0DE5FE59" w14:textId="1C9CC91E" w:rsidTr="00646AA3">
        <w:tc>
          <w:tcPr>
            <w:tcW w:w="402" w:type="dxa"/>
            <w:vAlign w:val="center"/>
          </w:tcPr>
          <w:p w14:paraId="3DDD4095"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32</w:t>
            </w:r>
          </w:p>
        </w:tc>
        <w:tc>
          <w:tcPr>
            <w:tcW w:w="2605" w:type="dxa"/>
            <w:vAlign w:val="center"/>
          </w:tcPr>
          <w:p w14:paraId="5C8A1EA6" w14:textId="10092C9B" w:rsidR="00646AA3" w:rsidRPr="00A4272B" w:rsidRDefault="00646AA3" w:rsidP="00646AA3">
            <w:pPr>
              <w:spacing w:before="20" w:after="20"/>
              <w:rPr>
                <w:noProof/>
                <w:sz w:val="18"/>
                <w:szCs w:val="18"/>
                <w:lang w:val="en-US"/>
              </w:rPr>
            </w:pPr>
            <w:r w:rsidRPr="00A4272B">
              <w:rPr>
                <w:noProof/>
                <w:sz w:val="18"/>
                <w:szCs w:val="18"/>
                <w:lang w:val="en-US"/>
              </w:rPr>
              <w:t>Tetrabromodiphenyl ether and pentabromodiphenyl ether</w:t>
            </w:r>
          </w:p>
        </w:tc>
        <w:tc>
          <w:tcPr>
            <w:tcW w:w="1079" w:type="dxa"/>
            <w:vAlign w:val="center"/>
          </w:tcPr>
          <w:p w14:paraId="39C6B7F9"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sz w:val="18"/>
                <w:szCs w:val="18"/>
                <w:lang w:val="en-US"/>
              </w:rPr>
              <w:t>c-Penta BDE</w:t>
            </w:r>
          </w:p>
        </w:tc>
        <w:tc>
          <w:tcPr>
            <w:tcW w:w="757" w:type="dxa"/>
            <w:vAlign w:val="center"/>
          </w:tcPr>
          <w:p w14:paraId="178C93FE"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A</w:t>
            </w:r>
          </w:p>
        </w:tc>
        <w:tc>
          <w:tcPr>
            <w:tcW w:w="674" w:type="dxa"/>
            <w:vAlign w:val="center"/>
          </w:tcPr>
          <w:p w14:paraId="07162429"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noProof/>
                <w:sz w:val="18"/>
                <w:szCs w:val="18"/>
                <w:lang w:val="en-US"/>
              </w:rPr>
              <w:t>2009</w:t>
            </w:r>
          </w:p>
        </w:tc>
        <w:tc>
          <w:tcPr>
            <w:tcW w:w="929" w:type="dxa"/>
            <w:vAlign w:val="center"/>
          </w:tcPr>
          <w:p w14:paraId="7775E4CD"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SC-4/18</w:t>
            </w:r>
          </w:p>
        </w:tc>
        <w:tc>
          <w:tcPr>
            <w:tcW w:w="1705" w:type="dxa"/>
            <w:vAlign w:val="center"/>
          </w:tcPr>
          <w:p w14:paraId="00D77740" w14:textId="77777777" w:rsidR="00646AA3" w:rsidRPr="00A4272B" w:rsidRDefault="00646AA3" w:rsidP="0023432F">
            <w:pPr>
              <w:pStyle w:val="BodyText"/>
            </w:pPr>
            <w:r w:rsidRPr="00A4272B">
              <w:t>Two homolog groups:</w:t>
            </w:r>
          </w:p>
          <w:p w14:paraId="65067F94" w14:textId="77777777" w:rsidR="00646AA3" w:rsidRPr="00A4272B" w:rsidRDefault="00646AA3" w:rsidP="0023432F">
            <w:pPr>
              <w:pStyle w:val="BodyText"/>
            </w:pPr>
            <w:r w:rsidRPr="00A4272B">
              <w:t>42 tetrabrominated isomers</w:t>
            </w:r>
          </w:p>
          <w:p w14:paraId="45594CD9"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 xml:space="preserve">46 pentabrominated </w:t>
            </w:r>
            <w:r w:rsidRPr="00A4272B">
              <w:rPr>
                <w:sz w:val="18"/>
                <w:szCs w:val="18"/>
                <w:lang w:val="en-US"/>
              </w:rPr>
              <w:lastRenderedPageBreak/>
              <w:t>isomers</w:t>
            </w:r>
          </w:p>
        </w:tc>
        <w:tc>
          <w:tcPr>
            <w:tcW w:w="1694" w:type="dxa"/>
            <w:vAlign w:val="center"/>
          </w:tcPr>
          <w:p w14:paraId="0C459C9C" w14:textId="5D2F77C8" w:rsidR="00646AA3" w:rsidRPr="00A4272B" w:rsidRDefault="00646AA3" w:rsidP="0023432F">
            <w:pPr>
              <w:pStyle w:val="BodyText"/>
            </w:pPr>
            <w:r w:rsidRPr="00A4272B">
              <w:lastRenderedPageBreak/>
              <w:t xml:space="preserve">BDE-47, 85, 99, 100, 153, 154. </w:t>
            </w:r>
            <w:r w:rsidRPr="00A4272B">
              <w:rPr>
                <w:rStyle w:val="cf01"/>
                <w:rFonts w:ascii="Times New Roman" w:hAnsi="Times New Roman" w:cs="Times New Roman"/>
              </w:rPr>
              <w:t xml:space="preserve">It should be reported with its degradation product BDE-17 </w:t>
            </w:r>
            <w:r w:rsidR="00F10022" w:rsidRPr="00A4272B">
              <w:t xml:space="preserve">and </w:t>
            </w:r>
            <w:r w:rsidRPr="00A4272B">
              <w:rPr>
                <w:rStyle w:val="cf01"/>
                <w:rFonts w:ascii="Times New Roman" w:hAnsi="Times New Roman" w:cs="Times New Roman"/>
              </w:rPr>
              <w:t>28</w:t>
            </w:r>
            <w:r w:rsidR="00F10022" w:rsidRPr="00A4272B">
              <w:rPr>
                <w:rStyle w:val="cf01"/>
                <w:rFonts w:ascii="Times New Roman" w:hAnsi="Times New Roman" w:cs="Times New Roman"/>
              </w:rPr>
              <w:t>.</w:t>
            </w:r>
          </w:p>
        </w:tc>
        <w:tc>
          <w:tcPr>
            <w:tcW w:w="1694" w:type="dxa"/>
            <w:vAlign w:val="center"/>
          </w:tcPr>
          <w:p w14:paraId="723C7957" w14:textId="411BF8DE" w:rsidR="00646AA3" w:rsidRPr="00A4272B" w:rsidRDefault="00F10022" w:rsidP="0023432F">
            <w:pPr>
              <w:pStyle w:val="BodyText"/>
            </w:pPr>
            <w:r w:rsidRPr="00A4272B">
              <w:t xml:space="preserve">BDE-47, 85, 99, 100, 153, 154. </w:t>
            </w:r>
            <w:r w:rsidRPr="00A4272B">
              <w:rPr>
                <w:rStyle w:val="cf01"/>
                <w:rFonts w:ascii="Times New Roman" w:hAnsi="Times New Roman" w:cs="Times New Roman"/>
              </w:rPr>
              <w:t xml:space="preserve">It should be reported with its degradation product BDE-17 </w:t>
            </w:r>
            <w:r w:rsidRPr="00A4272B">
              <w:t xml:space="preserve">and </w:t>
            </w:r>
            <w:r w:rsidRPr="00A4272B">
              <w:rPr>
                <w:rStyle w:val="cf01"/>
                <w:rFonts w:ascii="Times New Roman" w:hAnsi="Times New Roman" w:cs="Times New Roman"/>
              </w:rPr>
              <w:t>28.</w:t>
            </w:r>
          </w:p>
        </w:tc>
        <w:tc>
          <w:tcPr>
            <w:tcW w:w="1694" w:type="dxa"/>
            <w:vAlign w:val="center"/>
          </w:tcPr>
          <w:p w14:paraId="0FC405F0" w14:textId="20CF662B" w:rsidR="00646AA3" w:rsidRPr="00A4272B" w:rsidRDefault="00F10022" w:rsidP="0023432F">
            <w:pPr>
              <w:pStyle w:val="BodyText"/>
            </w:pPr>
            <w:r w:rsidRPr="00A4272B">
              <w:t xml:space="preserve">BDE-47, 85, 99, 100, 153, 154. </w:t>
            </w:r>
            <w:r w:rsidRPr="00A4272B">
              <w:rPr>
                <w:rStyle w:val="cf01"/>
                <w:rFonts w:ascii="Times New Roman" w:hAnsi="Times New Roman" w:cs="Times New Roman"/>
              </w:rPr>
              <w:t xml:space="preserve">It should be reported with its degradation product BDE-17 </w:t>
            </w:r>
            <w:r w:rsidRPr="00A4272B">
              <w:t xml:space="preserve">and </w:t>
            </w:r>
            <w:r w:rsidRPr="00A4272B">
              <w:rPr>
                <w:rStyle w:val="cf01"/>
                <w:rFonts w:ascii="Times New Roman" w:hAnsi="Times New Roman" w:cs="Times New Roman"/>
              </w:rPr>
              <w:t>28.</w:t>
            </w:r>
          </w:p>
        </w:tc>
        <w:tc>
          <w:tcPr>
            <w:tcW w:w="1186" w:type="dxa"/>
            <w:vAlign w:val="center"/>
          </w:tcPr>
          <w:p w14:paraId="45DC43D0" w14:textId="17178B98" w:rsidR="00646AA3" w:rsidRPr="00A4272B" w:rsidRDefault="00646AA3" w:rsidP="0023432F">
            <w:pPr>
              <w:pStyle w:val="BodyText"/>
            </w:pPr>
            <w:r w:rsidRPr="00A4272B">
              <w:rPr>
                <w:noProof/>
              </w:rPr>
              <w:t>N/A</w:t>
            </w:r>
          </w:p>
        </w:tc>
      </w:tr>
      <w:tr w:rsidR="00646AA3" w:rsidRPr="00A4272B" w14:paraId="73B5FDF4" w14:textId="2E225A15" w:rsidTr="00646AA3">
        <w:tc>
          <w:tcPr>
            <w:tcW w:w="402" w:type="dxa"/>
            <w:vAlign w:val="center"/>
          </w:tcPr>
          <w:p w14:paraId="4B5B43D2"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33</w:t>
            </w:r>
          </w:p>
        </w:tc>
        <w:tc>
          <w:tcPr>
            <w:tcW w:w="2605" w:type="dxa"/>
            <w:vAlign w:val="center"/>
          </w:tcPr>
          <w:p w14:paraId="14E0DAE6" w14:textId="5885BE41" w:rsidR="00646AA3" w:rsidRPr="00A4272B" w:rsidRDefault="00646AA3" w:rsidP="00646AA3">
            <w:pPr>
              <w:spacing w:before="20" w:after="20"/>
              <w:rPr>
                <w:noProof/>
                <w:sz w:val="18"/>
                <w:szCs w:val="18"/>
                <w:lang w:val="en-US"/>
              </w:rPr>
            </w:pPr>
            <w:r w:rsidRPr="00A4272B">
              <w:rPr>
                <w:noProof/>
                <w:sz w:val="18"/>
                <w:szCs w:val="18"/>
                <w:lang w:val="en-US"/>
              </w:rPr>
              <w:t>Toxaphene</w:t>
            </w:r>
          </w:p>
        </w:tc>
        <w:tc>
          <w:tcPr>
            <w:tcW w:w="1079" w:type="dxa"/>
            <w:vAlign w:val="center"/>
          </w:tcPr>
          <w:p w14:paraId="113A6234"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07D624A9"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3D490A9C"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2004</w:t>
            </w:r>
          </w:p>
        </w:tc>
        <w:tc>
          <w:tcPr>
            <w:tcW w:w="929" w:type="dxa"/>
            <w:vAlign w:val="center"/>
          </w:tcPr>
          <w:p w14:paraId="3628EAC0"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Initial POPs</w:t>
            </w:r>
          </w:p>
        </w:tc>
        <w:tc>
          <w:tcPr>
            <w:tcW w:w="1705" w:type="dxa"/>
            <w:vAlign w:val="center"/>
          </w:tcPr>
          <w:p w14:paraId="5AC286B0"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Technical mixtures of chlorinated bornanes and chlorinated camphenes (about 16,000 congeners or isomers)</w:t>
            </w:r>
          </w:p>
        </w:tc>
        <w:tc>
          <w:tcPr>
            <w:tcW w:w="1694" w:type="dxa"/>
            <w:vAlign w:val="center"/>
          </w:tcPr>
          <w:p w14:paraId="3DF36F38" w14:textId="104C75AD" w:rsidR="00646AA3" w:rsidRPr="00A4272B" w:rsidRDefault="00646AA3" w:rsidP="00646AA3">
            <w:pPr>
              <w:widowControl w:val="0"/>
              <w:kinsoku w:val="0"/>
              <w:overflowPunct w:val="0"/>
              <w:autoSpaceDE w:val="0"/>
              <w:autoSpaceDN w:val="0"/>
              <w:spacing w:before="20" w:after="20"/>
              <w:rPr>
                <w:sz w:val="18"/>
                <w:szCs w:val="18"/>
                <w:lang w:val="en-US"/>
              </w:rPr>
            </w:pPr>
            <w:r w:rsidRPr="00A4272B">
              <w:rPr>
                <w:sz w:val="18"/>
                <w:szCs w:val="18"/>
                <w:lang w:val="en-US"/>
              </w:rPr>
              <w:t>Congeners P26, P50, P62</w:t>
            </w:r>
          </w:p>
        </w:tc>
        <w:tc>
          <w:tcPr>
            <w:tcW w:w="1694" w:type="dxa"/>
            <w:vAlign w:val="center"/>
          </w:tcPr>
          <w:p w14:paraId="6FD270D7" w14:textId="604B1D0D" w:rsidR="00646AA3" w:rsidRPr="00A4272B" w:rsidRDefault="00646AA3" w:rsidP="00646AA3">
            <w:pPr>
              <w:widowControl w:val="0"/>
              <w:kinsoku w:val="0"/>
              <w:overflowPunct w:val="0"/>
              <w:autoSpaceDE w:val="0"/>
              <w:autoSpaceDN w:val="0"/>
              <w:spacing w:before="20" w:after="20"/>
              <w:rPr>
                <w:sz w:val="18"/>
                <w:szCs w:val="18"/>
                <w:lang w:val="en-US"/>
              </w:rPr>
            </w:pPr>
            <w:r w:rsidRPr="00A4272B">
              <w:rPr>
                <w:sz w:val="18"/>
                <w:szCs w:val="18"/>
                <w:lang w:val="en-US"/>
              </w:rPr>
              <w:t>Congeners P26, P50, P62</w:t>
            </w:r>
          </w:p>
        </w:tc>
        <w:tc>
          <w:tcPr>
            <w:tcW w:w="1694" w:type="dxa"/>
            <w:vAlign w:val="center"/>
          </w:tcPr>
          <w:p w14:paraId="6E249357" w14:textId="3CA66632" w:rsidR="00646AA3" w:rsidRPr="00A4272B" w:rsidRDefault="00646AA3" w:rsidP="00646AA3">
            <w:pPr>
              <w:widowControl w:val="0"/>
              <w:kinsoku w:val="0"/>
              <w:overflowPunct w:val="0"/>
              <w:autoSpaceDE w:val="0"/>
              <w:autoSpaceDN w:val="0"/>
              <w:spacing w:before="20" w:after="20"/>
              <w:rPr>
                <w:sz w:val="18"/>
                <w:szCs w:val="18"/>
                <w:lang w:val="en-US"/>
              </w:rPr>
            </w:pPr>
            <w:r w:rsidRPr="00A4272B">
              <w:rPr>
                <w:sz w:val="18"/>
                <w:szCs w:val="18"/>
                <w:lang w:val="en-US"/>
              </w:rPr>
              <w:t>Congeners P26, P50, P62</w:t>
            </w:r>
          </w:p>
        </w:tc>
        <w:tc>
          <w:tcPr>
            <w:tcW w:w="1186" w:type="dxa"/>
            <w:vAlign w:val="center"/>
          </w:tcPr>
          <w:p w14:paraId="76E69119" w14:textId="611FAC08" w:rsidR="00646AA3" w:rsidRPr="00A4272B" w:rsidRDefault="00646AA3" w:rsidP="00646AA3">
            <w:pPr>
              <w:widowControl w:val="0"/>
              <w:kinsoku w:val="0"/>
              <w:overflowPunct w:val="0"/>
              <w:autoSpaceDE w:val="0"/>
              <w:autoSpaceDN w:val="0"/>
              <w:spacing w:before="20" w:after="20"/>
              <w:rPr>
                <w:sz w:val="18"/>
                <w:szCs w:val="18"/>
                <w:lang w:val="en-US"/>
              </w:rPr>
            </w:pPr>
            <w:r w:rsidRPr="00A4272B">
              <w:rPr>
                <w:bCs/>
                <w:noProof/>
                <w:sz w:val="18"/>
                <w:szCs w:val="18"/>
                <w:lang w:val="en-US"/>
              </w:rPr>
              <w:t>N/A</w:t>
            </w:r>
          </w:p>
        </w:tc>
      </w:tr>
      <w:tr w:rsidR="00646AA3" w:rsidRPr="00A4272B" w14:paraId="7DC3A50A" w14:textId="06595223" w:rsidTr="00646AA3">
        <w:tc>
          <w:tcPr>
            <w:tcW w:w="402" w:type="dxa"/>
            <w:vAlign w:val="center"/>
          </w:tcPr>
          <w:p w14:paraId="27DC68B0"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34</w:t>
            </w:r>
          </w:p>
        </w:tc>
        <w:tc>
          <w:tcPr>
            <w:tcW w:w="2605" w:type="dxa"/>
            <w:vAlign w:val="center"/>
          </w:tcPr>
          <w:p w14:paraId="4DA8E2E8" w14:textId="77777777" w:rsidR="00646AA3" w:rsidRPr="00A4272B" w:rsidRDefault="00646AA3" w:rsidP="00646AA3">
            <w:pPr>
              <w:spacing w:before="20" w:after="20"/>
              <w:rPr>
                <w:noProof/>
                <w:sz w:val="18"/>
                <w:szCs w:val="18"/>
                <w:lang w:val="en-US"/>
              </w:rPr>
            </w:pPr>
            <w:r w:rsidRPr="00A4272B">
              <w:rPr>
                <w:noProof/>
                <w:sz w:val="18"/>
                <w:szCs w:val="18"/>
                <w:lang w:val="en-US"/>
              </w:rPr>
              <w:t>UV-328</w:t>
            </w:r>
          </w:p>
        </w:tc>
        <w:tc>
          <w:tcPr>
            <w:tcW w:w="1079" w:type="dxa"/>
            <w:vAlign w:val="center"/>
          </w:tcPr>
          <w:p w14:paraId="6315B63F"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52FD722A"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A</w:t>
            </w:r>
          </w:p>
        </w:tc>
        <w:tc>
          <w:tcPr>
            <w:tcW w:w="674" w:type="dxa"/>
            <w:vAlign w:val="center"/>
          </w:tcPr>
          <w:p w14:paraId="6011A8F2"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2023</w:t>
            </w:r>
          </w:p>
        </w:tc>
        <w:tc>
          <w:tcPr>
            <w:tcW w:w="929" w:type="dxa"/>
            <w:vAlign w:val="center"/>
          </w:tcPr>
          <w:p w14:paraId="208B3724"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SC-11/11</w:t>
            </w:r>
          </w:p>
        </w:tc>
        <w:tc>
          <w:tcPr>
            <w:tcW w:w="1705" w:type="dxa"/>
            <w:vAlign w:val="center"/>
          </w:tcPr>
          <w:p w14:paraId="17CF10C9" w14:textId="77689685"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Single compound</w:t>
            </w:r>
          </w:p>
        </w:tc>
        <w:tc>
          <w:tcPr>
            <w:tcW w:w="1694" w:type="dxa"/>
            <w:vAlign w:val="center"/>
          </w:tcPr>
          <w:p w14:paraId="4720093B" w14:textId="4492EE60"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UV-328</w:t>
            </w:r>
          </w:p>
        </w:tc>
        <w:tc>
          <w:tcPr>
            <w:tcW w:w="1694" w:type="dxa"/>
            <w:vAlign w:val="center"/>
          </w:tcPr>
          <w:p w14:paraId="69BD10A6" w14:textId="53CFB8A2"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UV-328</w:t>
            </w:r>
          </w:p>
        </w:tc>
        <w:tc>
          <w:tcPr>
            <w:tcW w:w="1694" w:type="dxa"/>
            <w:vAlign w:val="center"/>
          </w:tcPr>
          <w:p w14:paraId="0C355191" w14:textId="62EAFDEF"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UV-328</w:t>
            </w:r>
          </w:p>
        </w:tc>
        <w:tc>
          <w:tcPr>
            <w:tcW w:w="1186" w:type="dxa"/>
            <w:vAlign w:val="center"/>
          </w:tcPr>
          <w:p w14:paraId="2BB0CB7A" w14:textId="209DCF1F"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N/A</w:t>
            </w:r>
          </w:p>
        </w:tc>
      </w:tr>
      <w:tr w:rsidR="00646AA3" w:rsidRPr="00A4272B" w14:paraId="6081F5DF" w14:textId="387ADB17" w:rsidTr="00646AA3">
        <w:tc>
          <w:tcPr>
            <w:tcW w:w="8151" w:type="dxa"/>
            <w:gridSpan w:val="7"/>
            <w:shd w:val="clear" w:color="auto" w:fill="F2F2F2" w:themeFill="background1" w:themeFillShade="F2"/>
            <w:vAlign w:val="center"/>
          </w:tcPr>
          <w:p w14:paraId="559F6F69" w14:textId="77777777" w:rsidR="00646AA3" w:rsidRPr="00A4272B" w:rsidRDefault="00646AA3" w:rsidP="00646AA3">
            <w:pPr>
              <w:widowControl w:val="0"/>
              <w:kinsoku w:val="0"/>
              <w:overflowPunct w:val="0"/>
              <w:autoSpaceDE w:val="0"/>
              <w:autoSpaceDN w:val="0"/>
              <w:spacing w:before="20" w:after="20"/>
              <w:rPr>
                <w:b/>
                <w:noProof/>
                <w:sz w:val="18"/>
                <w:szCs w:val="18"/>
                <w:lang w:val="en-US"/>
              </w:rPr>
            </w:pPr>
            <w:r w:rsidRPr="00A4272B">
              <w:rPr>
                <w:b/>
                <w:noProof/>
                <w:sz w:val="18"/>
                <w:szCs w:val="18"/>
                <w:lang w:val="en-US"/>
              </w:rPr>
              <w:t>Chemicals under review</w:t>
            </w:r>
          </w:p>
        </w:tc>
        <w:tc>
          <w:tcPr>
            <w:tcW w:w="1694" w:type="dxa"/>
            <w:shd w:val="clear" w:color="auto" w:fill="F2F2F2" w:themeFill="background1" w:themeFillShade="F2"/>
          </w:tcPr>
          <w:p w14:paraId="5D810A54" w14:textId="77777777" w:rsidR="00646AA3" w:rsidRPr="00A4272B" w:rsidRDefault="00646AA3" w:rsidP="00646AA3">
            <w:pPr>
              <w:widowControl w:val="0"/>
              <w:kinsoku w:val="0"/>
              <w:overflowPunct w:val="0"/>
              <w:autoSpaceDE w:val="0"/>
              <w:autoSpaceDN w:val="0"/>
              <w:spacing w:before="20" w:after="20"/>
              <w:rPr>
                <w:b/>
                <w:noProof/>
                <w:sz w:val="18"/>
                <w:szCs w:val="18"/>
                <w:lang w:val="en-US"/>
              </w:rPr>
            </w:pPr>
          </w:p>
        </w:tc>
        <w:tc>
          <w:tcPr>
            <w:tcW w:w="1694" w:type="dxa"/>
            <w:shd w:val="clear" w:color="auto" w:fill="F2F2F2" w:themeFill="background1" w:themeFillShade="F2"/>
          </w:tcPr>
          <w:p w14:paraId="1E4AE098" w14:textId="77777777" w:rsidR="00646AA3" w:rsidRPr="00A4272B" w:rsidRDefault="00646AA3" w:rsidP="00646AA3">
            <w:pPr>
              <w:widowControl w:val="0"/>
              <w:kinsoku w:val="0"/>
              <w:overflowPunct w:val="0"/>
              <w:autoSpaceDE w:val="0"/>
              <w:autoSpaceDN w:val="0"/>
              <w:spacing w:before="20" w:after="20"/>
              <w:rPr>
                <w:b/>
                <w:noProof/>
                <w:sz w:val="18"/>
                <w:szCs w:val="18"/>
                <w:lang w:val="en-US"/>
              </w:rPr>
            </w:pPr>
          </w:p>
        </w:tc>
        <w:tc>
          <w:tcPr>
            <w:tcW w:w="1694" w:type="dxa"/>
            <w:shd w:val="clear" w:color="auto" w:fill="F2F2F2" w:themeFill="background1" w:themeFillShade="F2"/>
          </w:tcPr>
          <w:p w14:paraId="7486DCF2" w14:textId="77777777" w:rsidR="00646AA3" w:rsidRPr="00A4272B" w:rsidRDefault="00646AA3" w:rsidP="00646AA3">
            <w:pPr>
              <w:widowControl w:val="0"/>
              <w:kinsoku w:val="0"/>
              <w:overflowPunct w:val="0"/>
              <w:autoSpaceDE w:val="0"/>
              <w:autoSpaceDN w:val="0"/>
              <w:spacing w:before="20" w:after="20"/>
              <w:rPr>
                <w:b/>
                <w:noProof/>
                <w:sz w:val="18"/>
                <w:szCs w:val="18"/>
                <w:lang w:val="en-US"/>
              </w:rPr>
            </w:pPr>
          </w:p>
        </w:tc>
        <w:tc>
          <w:tcPr>
            <w:tcW w:w="1186" w:type="dxa"/>
            <w:shd w:val="clear" w:color="auto" w:fill="F2F2F2" w:themeFill="background1" w:themeFillShade="F2"/>
          </w:tcPr>
          <w:p w14:paraId="5C33DE0A" w14:textId="596C2505" w:rsidR="00646AA3" w:rsidRPr="00A4272B" w:rsidRDefault="00646AA3" w:rsidP="00646AA3">
            <w:pPr>
              <w:widowControl w:val="0"/>
              <w:kinsoku w:val="0"/>
              <w:overflowPunct w:val="0"/>
              <w:autoSpaceDE w:val="0"/>
              <w:autoSpaceDN w:val="0"/>
              <w:spacing w:before="20" w:after="20"/>
              <w:rPr>
                <w:b/>
                <w:noProof/>
                <w:sz w:val="18"/>
                <w:szCs w:val="18"/>
                <w:lang w:val="en-US"/>
              </w:rPr>
            </w:pPr>
          </w:p>
        </w:tc>
      </w:tr>
      <w:tr w:rsidR="00646AA3" w:rsidRPr="00A4272B" w14:paraId="66BF930A" w14:textId="4CDA19EC" w:rsidTr="00646AA3">
        <w:tc>
          <w:tcPr>
            <w:tcW w:w="402" w:type="dxa"/>
            <w:vAlign w:val="center"/>
          </w:tcPr>
          <w:p w14:paraId="74C246F9"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bookmarkStart w:id="40" w:name="_Hlk184377505"/>
            <w:r w:rsidRPr="00A4272B">
              <w:rPr>
                <w:bCs/>
                <w:noProof/>
                <w:sz w:val="18"/>
                <w:szCs w:val="18"/>
                <w:lang w:val="en-US"/>
              </w:rPr>
              <w:t>1</w:t>
            </w:r>
          </w:p>
        </w:tc>
        <w:tc>
          <w:tcPr>
            <w:tcW w:w="2605" w:type="dxa"/>
            <w:vAlign w:val="center"/>
          </w:tcPr>
          <w:p w14:paraId="5C29ABED" w14:textId="77777777" w:rsidR="00646AA3" w:rsidRPr="00A4272B" w:rsidRDefault="00646AA3" w:rsidP="00646AA3">
            <w:pPr>
              <w:spacing w:before="20" w:after="20"/>
              <w:rPr>
                <w:noProof/>
                <w:sz w:val="18"/>
                <w:szCs w:val="18"/>
                <w:lang w:val="en-US"/>
              </w:rPr>
            </w:pPr>
            <w:r w:rsidRPr="00A4272B">
              <w:rPr>
                <w:sz w:val="18"/>
                <w:szCs w:val="18"/>
                <w:lang w:val="en-US" w:eastAsia="ja-JP"/>
              </w:rPr>
              <w:t>Chlorinated paraffins with carbon chain lengths in the range C</w:t>
            </w:r>
            <w:r w:rsidRPr="00A4272B">
              <w:rPr>
                <w:sz w:val="18"/>
                <w:szCs w:val="18"/>
                <w:vertAlign w:val="subscript"/>
                <w:lang w:val="en-US" w:eastAsia="ja-JP"/>
              </w:rPr>
              <w:t>14-17</w:t>
            </w:r>
            <w:r w:rsidRPr="00A4272B">
              <w:rPr>
                <w:sz w:val="18"/>
                <w:szCs w:val="18"/>
                <w:lang w:val="en-US" w:eastAsia="ja-JP"/>
              </w:rPr>
              <w:t xml:space="preserve"> and chlorination levels at or exceeding 45% chlorine by weight</w:t>
            </w:r>
          </w:p>
        </w:tc>
        <w:tc>
          <w:tcPr>
            <w:tcW w:w="1079" w:type="dxa"/>
            <w:vAlign w:val="center"/>
          </w:tcPr>
          <w:p w14:paraId="45B58B79"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MCCPs</w:t>
            </w:r>
          </w:p>
        </w:tc>
        <w:tc>
          <w:tcPr>
            <w:tcW w:w="757" w:type="dxa"/>
            <w:vAlign w:val="center"/>
          </w:tcPr>
          <w:p w14:paraId="60B47BC5"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674" w:type="dxa"/>
            <w:vAlign w:val="center"/>
          </w:tcPr>
          <w:p w14:paraId="06FD141B"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929" w:type="dxa"/>
            <w:vAlign w:val="center"/>
          </w:tcPr>
          <w:p w14:paraId="35F8F3A0"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1705" w:type="dxa"/>
            <w:vAlign w:val="center"/>
          </w:tcPr>
          <w:p w14:paraId="2AA71439"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p>
        </w:tc>
        <w:tc>
          <w:tcPr>
            <w:tcW w:w="1694" w:type="dxa"/>
            <w:vAlign w:val="center"/>
          </w:tcPr>
          <w:p w14:paraId="6031ED24" w14:textId="24503783"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MCCPs</w:t>
            </w:r>
          </w:p>
        </w:tc>
        <w:tc>
          <w:tcPr>
            <w:tcW w:w="1694" w:type="dxa"/>
            <w:vAlign w:val="center"/>
          </w:tcPr>
          <w:p w14:paraId="6EF9C62C" w14:textId="346E7070"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MCCPs</w:t>
            </w:r>
          </w:p>
        </w:tc>
        <w:tc>
          <w:tcPr>
            <w:tcW w:w="1694" w:type="dxa"/>
            <w:vAlign w:val="center"/>
          </w:tcPr>
          <w:p w14:paraId="74D735BC" w14:textId="0BDC35FB"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MCCPs</w:t>
            </w:r>
          </w:p>
        </w:tc>
        <w:tc>
          <w:tcPr>
            <w:tcW w:w="1186" w:type="dxa"/>
            <w:vAlign w:val="center"/>
          </w:tcPr>
          <w:p w14:paraId="662148FA" w14:textId="600935CB"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N/A</w:t>
            </w:r>
          </w:p>
        </w:tc>
      </w:tr>
      <w:tr w:rsidR="00646AA3" w:rsidRPr="00A4272B" w14:paraId="7F50447E" w14:textId="25F97B49" w:rsidTr="00646AA3">
        <w:tc>
          <w:tcPr>
            <w:tcW w:w="402" w:type="dxa"/>
            <w:vAlign w:val="center"/>
          </w:tcPr>
          <w:p w14:paraId="5E78D9A5"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2</w:t>
            </w:r>
          </w:p>
        </w:tc>
        <w:tc>
          <w:tcPr>
            <w:tcW w:w="2605" w:type="dxa"/>
            <w:vAlign w:val="center"/>
          </w:tcPr>
          <w:p w14:paraId="5D42882D" w14:textId="7A9D2AC6" w:rsidR="00646AA3" w:rsidRPr="00A4272B" w:rsidRDefault="00646AA3" w:rsidP="00646AA3">
            <w:pPr>
              <w:spacing w:before="20" w:after="20"/>
              <w:rPr>
                <w:noProof/>
                <w:sz w:val="18"/>
                <w:szCs w:val="18"/>
                <w:lang w:val="en-US"/>
              </w:rPr>
            </w:pPr>
            <w:r w:rsidRPr="00A4272B">
              <w:rPr>
                <w:sz w:val="18"/>
                <w:szCs w:val="18"/>
                <w:lang w:val="en-US" w:eastAsia="ja-JP"/>
              </w:rPr>
              <w:t>Long-chain perfluorocarboxylic acids (LC-PFCAs), their salts and related compounds</w:t>
            </w:r>
          </w:p>
        </w:tc>
        <w:tc>
          <w:tcPr>
            <w:tcW w:w="1079" w:type="dxa"/>
            <w:vAlign w:val="center"/>
          </w:tcPr>
          <w:p w14:paraId="5C6EFC24" w14:textId="0319F213"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LC- PFCAs</w:t>
            </w:r>
          </w:p>
        </w:tc>
        <w:tc>
          <w:tcPr>
            <w:tcW w:w="757" w:type="dxa"/>
            <w:vAlign w:val="center"/>
          </w:tcPr>
          <w:p w14:paraId="28CBCA18"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674" w:type="dxa"/>
            <w:vAlign w:val="center"/>
          </w:tcPr>
          <w:p w14:paraId="2D14CC78"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929" w:type="dxa"/>
            <w:vAlign w:val="center"/>
          </w:tcPr>
          <w:p w14:paraId="11F4D197"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1705" w:type="dxa"/>
            <w:vAlign w:val="center"/>
          </w:tcPr>
          <w:p w14:paraId="781957F5"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p>
        </w:tc>
        <w:tc>
          <w:tcPr>
            <w:tcW w:w="1694" w:type="dxa"/>
            <w:vAlign w:val="center"/>
          </w:tcPr>
          <w:p w14:paraId="5E5E4AF4" w14:textId="7FCEDFB0"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[LC-PFCAs]</w:t>
            </w:r>
          </w:p>
        </w:tc>
        <w:tc>
          <w:tcPr>
            <w:tcW w:w="1694" w:type="dxa"/>
            <w:vAlign w:val="center"/>
          </w:tcPr>
          <w:p w14:paraId="1CDEB342" w14:textId="7B38874D"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LC-PFCAs</w:t>
            </w:r>
          </w:p>
        </w:tc>
        <w:tc>
          <w:tcPr>
            <w:tcW w:w="1694" w:type="dxa"/>
            <w:vAlign w:val="center"/>
          </w:tcPr>
          <w:p w14:paraId="7F355704" w14:textId="4175DFD7"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LC-PFCAs</w:t>
            </w:r>
          </w:p>
        </w:tc>
        <w:tc>
          <w:tcPr>
            <w:tcW w:w="1186" w:type="dxa"/>
            <w:vAlign w:val="center"/>
          </w:tcPr>
          <w:p w14:paraId="6EFB588A" w14:textId="319CDD9E"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rPr>
              <w:t>LC-PFCAs</w:t>
            </w:r>
          </w:p>
        </w:tc>
      </w:tr>
      <w:tr w:rsidR="00646AA3" w:rsidRPr="00A4272B" w14:paraId="46976500" w14:textId="3B8088BD" w:rsidTr="00646AA3">
        <w:tc>
          <w:tcPr>
            <w:tcW w:w="402" w:type="dxa"/>
            <w:vAlign w:val="center"/>
          </w:tcPr>
          <w:p w14:paraId="45608498"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3</w:t>
            </w:r>
          </w:p>
        </w:tc>
        <w:tc>
          <w:tcPr>
            <w:tcW w:w="2605" w:type="dxa"/>
            <w:vAlign w:val="center"/>
          </w:tcPr>
          <w:p w14:paraId="22CB8793" w14:textId="77777777" w:rsidR="00646AA3" w:rsidRPr="00A4272B" w:rsidRDefault="00646AA3" w:rsidP="00646AA3">
            <w:pPr>
              <w:spacing w:before="20" w:after="20"/>
              <w:rPr>
                <w:noProof/>
                <w:sz w:val="18"/>
                <w:szCs w:val="18"/>
                <w:lang w:val="en-US"/>
              </w:rPr>
            </w:pPr>
            <w:r w:rsidRPr="00A4272B">
              <w:rPr>
                <w:sz w:val="18"/>
                <w:szCs w:val="18"/>
                <w:lang w:val="en-US" w:eastAsia="ja-JP"/>
              </w:rPr>
              <w:t>Chlorpyrifos</w:t>
            </w:r>
          </w:p>
        </w:tc>
        <w:tc>
          <w:tcPr>
            <w:tcW w:w="1079" w:type="dxa"/>
            <w:vAlign w:val="center"/>
          </w:tcPr>
          <w:p w14:paraId="751CC966"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
                <w:noProof/>
                <w:sz w:val="18"/>
                <w:szCs w:val="18"/>
                <w:lang w:val="en-US"/>
              </w:rPr>
              <w:t>–</w:t>
            </w:r>
          </w:p>
        </w:tc>
        <w:tc>
          <w:tcPr>
            <w:tcW w:w="757" w:type="dxa"/>
            <w:vAlign w:val="center"/>
          </w:tcPr>
          <w:p w14:paraId="6C673454"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674" w:type="dxa"/>
            <w:vAlign w:val="center"/>
          </w:tcPr>
          <w:p w14:paraId="4E4F7878"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929" w:type="dxa"/>
            <w:vAlign w:val="center"/>
          </w:tcPr>
          <w:p w14:paraId="59CD7A78"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1705" w:type="dxa"/>
            <w:vAlign w:val="center"/>
          </w:tcPr>
          <w:p w14:paraId="3AE0367E"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p>
        </w:tc>
        <w:tc>
          <w:tcPr>
            <w:tcW w:w="1694" w:type="dxa"/>
          </w:tcPr>
          <w:p w14:paraId="3D535287" w14:textId="665D799B"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eastAsia="ja-JP"/>
              </w:rPr>
              <w:t>Chlorpyrifos</w:t>
            </w:r>
          </w:p>
        </w:tc>
        <w:tc>
          <w:tcPr>
            <w:tcW w:w="1694" w:type="dxa"/>
          </w:tcPr>
          <w:p w14:paraId="6E1DA10D" w14:textId="2B0F130A"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eastAsia="ja-JP"/>
              </w:rPr>
              <w:t>Chlorpyrifos</w:t>
            </w:r>
          </w:p>
        </w:tc>
        <w:tc>
          <w:tcPr>
            <w:tcW w:w="1694" w:type="dxa"/>
          </w:tcPr>
          <w:p w14:paraId="3C58400C" w14:textId="7C5A3767"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sz w:val="18"/>
                <w:szCs w:val="18"/>
                <w:lang w:val="en-US" w:eastAsia="ja-JP"/>
              </w:rPr>
              <w:t>Chlorpyrifos</w:t>
            </w:r>
          </w:p>
        </w:tc>
        <w:tc>
          <w:tcPr>
            <w:tcW w:w="1186" w:type="dxa"/>
          </w:tcPr>
          <w:p w14:paraId="4D0A95FF" w14:textId="17A414BC" w:rsidR="00646AA3" w:rsidRPr="00A4272B" w:rsidRDefault="00646AA3" w:rsidP="00646AA3">
            <w:pPr>
              <w:widowControl w:val="0"/>
              <w:kinsoku w:val="0"/>
              <w:overflowPunct w:val="0"/>
              <w:autoSpaceDE w:val="0"/>
              <w:autoSpaceDN w:val="0"/>
              <w:spacing w:before="20" w:after="20"/>
              <w:rPr>
                <w:bCs/>
                <w:noProof/>
                <w:sz w:val="18"/>
                <w:szCs w:val="18"/>
                <w:lang w:val="en-US"/>
              </w:rPr>
            </w:pPr>
          </w:p>
        </w:tc>
      </w:tr>
      <w:tr w:rsidR="00646AA3" w:rsidRPr="00A4272B" w14:paraId="4B91C3EA" w14:textId="2A294196" w:rsidTr="00646AA3">
        <w:tc>
          <w:tcPr>
            <w:tcW w:w="402" w:type="dxa"/>
            <w:vAlign w:val="center"/>
          </w:tcPr>
          <w:p w14:paraId="523AB699"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r w:rsidRPr="00A4272B">
              <w:rPr>
                <w:bCs/>
                <w:noProof/>
                <w:sz w:val="18"/>
                <w:szCs w:val="18"/>
                <w:lang w:val="en-US"/>
              </w:rPr>
              <w:t>4</w:t>
            </w:r>
          </w:p>
        </w:tc>
        <w:tc>
          <w:tcPr>
            <w:tcW w:w="2605" w:type="dxa"/>
            <w:vAlign w:val="center"/>
          </w:tcPr>
          <w:p w14:paraId="317BEC2A" w14:textId="77777777" w:rsidR="00646AA3" w:rsidRPr="00A4272B" w:rsidRDefault="00646AA3" w:rsidP="00646AA3">
            <w:pPr>
              <w:spacing w:before="20" w:after="20"/>
              <w:rPr>
                <w:sz w:val="18"/>
                <w:szCs w:val="18"/>
                <w:lang w:val="en-US" w:eastAsia="ja-JP"/>
              </w:rPr>
            </w:pPr>
            <w:r w:rsidRPr="00A4272B">
              <w:rPr>
                <w:sz w:val="18"/>
                <w:szCs w:val="18"/>
                <w:lang w:val="en-US" w:eastAsia="ja-JP"/>
              </w:rPr>
              <w:t>Polybrominated dibenzo-</w:t>
            </w:r>
            <w:r w:rsidRPr="00A4272B">
              <w:rPr>
                <w:i/>
                <w:iCs/>
                <w:sz w:val="18"/>
                <w:szCs w:val="18"/>
                <w:lang w:val="en-US" w:eastAsia="ja-JP"/>
              </w:rPr>
              <w:t>p</w:t>
            </w:r>
            <w:r w:rsidRPr="00A4272B">
              <w:rPr>
                <w:sz w:val="18"/>
                <w:szCs w:val="18"/>
                <w:lang w:val="en-US" w:eastAsia="ja-JP"/>
              </w:rPr>
              <w:t>-dioxins and dibenzofurans (PBDD/Fs) and mixed polybrominated/chlorinated dibenzo-</w:t>
            </w:r>
            <w:r w:rsidRPr="00A4272B">
              <w:rPr>
                <w:i/>
                <w:iCs/>
                <w:sz w:val="18"/>
                <w:szCs w:val="18"/>
                <w:lang w:val="en-US" w:eastAsia="ja-JP"/>
              </w:rPr>
              <w:t>p</w:t>
            </w:r>
            <w:r w:rsidRPr="00A4272B">
              <w:rPr>
                <w:sz w:val="18"/>
                <w:szCs w:val="18"/>
                <w:lang w:val="en-US" w:eastAsia="ja-JP"/>
              </w:rPr>
              <w:t>-dioxins and dibenzofurans</w:t>
            </w:r>
          </w:p>
        </w:tc>
        <w:tc>
          <w:tcPr>
            <w:tcW w:w="1079" w:type="dxa"/>
            <w:vAlign w:val="center"/>
          </w:tcPr>
          <w:p w14:paraId="7A1FE643" w14:textId="77777777" w:rsidR="00646AA3" w:rsidRPr="00A4272B" w:rsidRDefault="00646AA3" w:rsidP="00646AA3">
            <w:pPr>
              <w:widowControl w:val="0"/>
              <w:kinsoku w:val="0"/>
              <w:overflowPunct w:val="0"/>
              <w:autoSpaceDE w:val="0"/>
              <w:autoSpaceDN w:val="0"/>
              <w:spacing w:before="20" w:after="20"/>
              <w:jc w:val="center"/>
              <w:rPr>
                <w:b/>
                <w:noProof/>
                <w:sz w:val="18"/>
                <w:szCs w:val="18"/>
                <w:lang w:val="en-US"/>
              </w:rPr>
            </w:pPr>
            <w:r w:rsidRPr="00A4272B">
              <w:rPr>
                <w:sz w:val="18"/>
                <w:szCs w:val="18"/>
                <w:lang w:val="en-US" w:eastAsia="ja-JP"/>
              </w:rPr>
              <w:t>PBDD/Fs and PBCDD/Fs</w:t>
            </w:r>
          </w:p>
        </w:tc>
        <w:tc>
          <w:tcPr>
            <w:tcW w:w="757" w:type="dxa"/>
            <w:vAlign w:val="center"/>
          </w:tcPr>
          <w:p w14:paraId="34D1A4D5"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674" w:type="dxa"/>
            <w:vAlign w:val="center"/>
          </w:tcPr>
          <w:p w14:paraId="69AD4908"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929" w:type="dxa"/>
            <w:vAlign w:val="center"/>
          </w:tcPr>
          <w:p w14:paraId="37D7A6F3" w14:textId="77777777" w:rsidR="00646AA3" w:rsidRPr="00A4272B" w:rsidRDefault="00646AA3" w:rsidP="00646AA3">
            <w:pPr>
              <w:widowControl w:val="0"/>
              <w:kinsoku w:val="0"/>
              <w:overflowPunct w:val="0"/>
              <w:autoSpaceDE w:val="0"/>
              <w:autoSpaceDN w:val="0"/>
              <w:spacing w:before="20" w:after="20"/>
              <w:jc w:val="center"/>
              <w:rPr>
                <w:bCs/>
                <w:noProof/>
                <w:sz w:val="18"/>
                <w:szCs w:val="18"/>
                <w:lang w:val="en-US"/>
              </w:rPr>
            </w:pPr>
          </w:p>
        </w:tc>
        <w:tc>
          <w:tcPr>
            <w:tcW w:w="1705" w:type="dxa"/>
            <w:vAlign w:val="center"/>
          </w:tcPr>
          <w:p w14:paraId="672C9975"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p>
        </w:tc>
        <w:tc>
          <w:tcPr>
            <w:tcW w:w="1694" w:type="dxa"/>
          </w:tcPr>
          <w:p w14:paraId="361DA16A"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p>
        </w:tc>
        <w:tc>
          <w:tcPr>
            <w:tcW w:w="1694" w:type="dxa"/>
          </w:tcPr>
          <w:p w14:paraId="1BB06897"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p>
        </w:tc>
        <w:tc>
          <w:tcPr>
            <w:tcW w:w="1694" w:type="dxa"/>
          </w:tcPr>
          <w:p w14:paraId="209DCF1F" w14:textId="77777777" w:rsidR="00646AA3" w:rsidRPr="00A4272B" w:rsidRDefault="00646AA3" w:rsidP="00646AA3">
            <w:pPr>
              <w:widowControl w:val="0"/>
              <w:kinsoku w:val="0"/>
              <w:overflowPunct w:val="0"/>
              <w:autoSpaceDE w:val="0"/>
              <w:autoSpaceDN w:val="0"/>
              <w:spacing w:before="20" w:after="20"/>
              <w:rPr>
                <w:bCs/>
                <w:noProof/>
                <w:sz w:val="18"/>
                <w:szCs w:val="18"/>
                <w:lang w:val="en-US"/>
              </w:rPr>
            </w:pPr>
          </w:p>
        </w:tc>
        <w:tc>
          <w:tcPr>
            <w:tcW w:w="1186" w:type="dxa"/>
            <w:vAlign w:val="center"/>
          </w:tcPr>
          <w:p w14:paraId="0BC5EB31" w14:textId="3C58400C" w:rsidR="00646AA3" w:rsidRPr="00A4272B" w:rsidRDefault="00646AA3" w:rsidP="00646AA3">
            <w:pPr>
              <w:widowControl w:val="0"/>
              <w:kinsoku w:val="0"/>
              <w:overflowPunct w:val="0"/>
              <w:autoSpaceDE w:val="0"/>
              <w:autoSpaceDN w:val="0"/>
              <w:spacing w:before="20" w:after="20"/>
              <w:rPr>
                <w:bCs/>
                <w:noProof/>
                <w:sz w:val="18"/>
                <w:szCs w:val="18"/>
                <w:lang w:val="en-US"/>
              </w:rPr>
            </w:pPr>
            <w:r w:rsidRPr="00A4272B">
              <w:rPr>
                <w:bCs/>
                <w:noProof/>
                <w:sz w:val="18"/>
                <w:szCs w:val="18"/>
                <w:lang w:val="en-US"/>
              </w:rPr>
              <w:t>N/A</w:t>
            </w:r>
          </w:p>
        </w:tc>
      </w:tr>
    </w:tbl>
    <w:bookmarkEnd w:id="40"/>
    <w:p w14:paraId="5B474742" w14:textId="1C9AE6F5" w:rsidR="003C2CA2" w:rsidRPr="00A4272B" w:rsidRDefault="003C2CA2" w:rsidP="00E34A10">
      <w:pPr>
        <w:tabs>
          <w:tab w:val="left" w:pos="3600"/>
        </w:tabs>
        <w:spacing w:before="60" w:after="60"/>
        <w:rPr>
          <w:b/>
          <w:bCs/>
          <w:sz w:val="18"/>
          <w:szCs w:val="18"/>
          <w:lang w:val="en-US"/>
        </w:rPr>
      </w:pPr>
      <w:r w:rsidRPr="00A4272B">
        <w:rPr>
          <w:b/>
          <w:bCs/>
          <w:sz w:val="18"/>
          <w:szCs w:val="18"/>
          <w:lang w:val="en-US"/>
        </w:rPr>
        <w:t xml:space="preserve">*Note: </w:t>
      </w:r>
      <w:r w:rsidRPr="00A4272B">
        <w:rPr>
          <w:sz w:val="18"/>
          <w:szCs w:val="18"/>
          <w:lang w:val="en-US"/>
        </w:rPr>
        <w:t>N/A indicates "not recommended" or "not to be analyzed."</w:t>
      </w:r>
    </w:p>
    <w:p w14:paraId="0606EC5D" w14:textId="64B05204" w:rsidR="00E34A10" w:rsidRPr="00A4272B" w:rsidRDefault="00E34A10" w:rsidP="00E34A10">
      <w:pPr>
        <w:tabs>
          <w:tab w:val="left" w:pos="3600"/>
        </w:tabs>
        <w:spacing w:before="60" w:after="60"/>
        <w:rPr>
          <w:b/>
          <w:bCs/>
          <w:sz w:val="18"/>
          <w:szCs w:val="18"/>
          <w:lang w:val="en-US"/>
        </w:rPr>
      </w:pPr>
      <w:r w:rsidRPr="00A4272B">
        <w:rPr>
          <w:b/>
          <w:bCs/>
          <w:sz w:val="18"/>
          <w:szCs w:val="18"/>
          <w:lang w:val="en-US"/>
        </w:rPr>
        <w:t>Chemical name</w:t>
      </w:r>
      <w:r w:rsidRPr="00A4272B">
        <w:rPr>
          <w:b/>
          <w:bCs/>
          <w:sz w:val="18"/>
          <w:szCs w:val="18"/>
          <w:lang w:val="en-US"/>
        </w:rPr>
        <w:tab/>
        <w:t>Acronyms</w:t>
      </w:r>
    </w:p>
    <w:p w14:paraId="3C650274" w14:textId="0DCF5885" w:rsidR="00E34A10" w:rsidRPr="00A4272B" w:rsidRDefault="00E34A10" w:rsidP="00E34A10">
      <w:pPr>
        <w:tabs>
          <w:tab w:val="left" w:pos="3600"/>
        </w:tabs>
        <w:spacing w:before="60" w:after="60"/>
        <w:rPr>
          <w:sz w:val="18"/>
          <w:szCs w:val="18"/>
          <w:lang w:val="en-US"/>
        </w:rPr>
      </w:pPr>
      <w:r w:rsidRPr="00A4272B">
        <w:rPr>
          <w:sz w:val="18"/>
          <w:szCs w:val="18"/>
          <w:lang w:val="en-US"/>
        </w:rPr>
        <w:t>Perfluorooctane sulfonamide</w:t>
      </w:r>
      <w:r w:rsidRPr="00A4272B">
        <w:rPr>
          <w:sz w:val="18"/>
          <w:szCs w:val="18"/>
          <w:lang w:val="en-US"/>
        </w:rPr>
        <w:tab/>
        <w:t>PFOSA</w:t>
      </w:r>
    </w:p>
    <w:p w14:paraId="0A1BE559" w14:textId="77777777" w:rsidR="00E34A10" w:rsidRPr="00A4272B" w:rsidRDefault="00E34A10" w:rsidP="00E34A10">
      <w:pPr>
        <w:tabs>
          <w:tab w:val="left" w:pos="3600"/>
        </w:tabs>
        <w:spacing w:before="60" w:after="60"/>
        <w:rPr>
          <w:sz w:val="18"/>
          <w:szCs w:val="18"/>
          <w:lang w:val="en-US"/>
        </w:rPr>
      </w:pPr>
      <w:r w:rsidRPr="00A4272B">
        <w:rPr>
          <w:i/>
          <w:iCs/>
          <w:sz w:val="18"/>
          <w:szCs w:val="18"/>
          <w:lang w:val="en-US"/>
        </w:rPr>
        <w:t>N</w:t>
      </w:r>
      <w:r w:rsidRPr="00A4272B">
        <w:rPr>
          <w:sz w:val="18"/>
          <w:szCs w:val="18"/>
          <w:lang w:val="en-US"/>
        </w:rPr>
        <w:t xml:space="preserve">-methyl perfluorooctane sulfonamide </w:t>
      </w:r>
      <w:r w:rsidRPr="00A4272B">
        <w:rPr>
          <w:sz w:val="18"/>
          <w:szCs w:val="18"/>
          <w:lang w:val="en-US"/>
        </w:rPr>
        <w:tab/>
        <w:t xml:space="preserve">NMeFOSA </w:t>
      </w:r>
    </w:p>
    <w:p w14:paraId="6B3A4C90" w14:textId="77777777" w:rsidR="00E34A10" w:rsidRPr="00A4272B" w:rsidRDefault="00E34A10" w:rsidP="00E34A10">
      <w:pPr>
        <w:tabs>
          <w:tab w:val="left" w:pos="3600"/>
        </w:tabs>
        <w:spacing w:before="60" w:after="60"/>
        <w:rPr>
          <w:sz w:val="18"/>
          <w:szCs w:val="18"/>
          <w:lang w:val="en-US"/>
        </w:rPr>
      </w:pPr>
      <w:r w:rsidRPr="00A4272B">
        <w:rPr>
          <w:i/>
          <w:iCs/>
          <w:sz w:val="18"/>
          <w:szCs w:val="18"/>
          <w:lang w:val="en-US"/>
        </w:rPr>
        <w:t>N</w:t>
      </w:r>
      <w:r w:rsidRPr="00A4272B">
        <w:rPr>
          <w:sz w:val="18"/>
          <w:szCs w:val="18"/>
          <w:lang w:val="en-US"/>
        </w:rPr>
        <w:t xml:space="preserve">-ethyl perfluorooctane sulfonamide </w:t>
      </w:r>
      <w:r w:rsidRPr="00A4272B">
        <w:rPr>
          <w:sz w:val="18"/>
          <w:szCs w:val="18"/>
          <w:lang w:val="en-US"/>
        </w:rPr>
        <w:tab/>
        <w:t xml:space="preserve">NEtFOSA </w:t>
      </w:r>
    </w:p>
    <w:p w14:paraId="36982A39" w14:textId="77777777" w:rsidR="00E34A10" w:rsidRPr="00A4272B" w:rsidRDefault="00E34A10" w:rsidP="00E34A10">
      <w:pPr>
        <w:tabs>
          <w:tab w:val="left" w:pos="3600"/>
        </w:tabs>
        <w:spacing w:before="60" w:after="60"/>
        <w:rPr>
          <w:sz w:val="18"/>
          <w:szCs w:val="18"/>
          <w:lang w:val="en-US"/>
        </w:rPr>
      </w:pPr>
      <w:r w:rsidRPr="00A4272B">
        <w:rPr>
          <w:i/>
          <w:iCs/>
          <w:sz w:val="18"/>
          <w:szCs w:val="18"/>
          <w:lang w:val="en-US"/>
        </w:rPr>
        <w:t>N</w:t>
      </w:r>
      <w:r w:rsidRPr="00A4272B">
        <w:rPr>
          <w:sz w:val="18"/>
          <w:szCs w:val="18"/>
          <w:lang w:val="en-US"/>
        </w:rPr>
        <w:t xml:space="preserve">-methyl perfluorooctane sulfonamidoethanol </w:t>
      </w:r>
      <w:r w:rsidRPr="00A4272B">
        <w:rPr>
          <w:sz w:val="18"/>
          <w:szCs w:val="18"/>
          <w:lang w:val="en-US"/>
        </w:rPr>
        <w:tab/>
        <w:t xml:space="preserve">NMeFOSE </w:t>
      </w:r>
    </w:p>
    <w:p w14:paraId="06989491" w14:textId="77777777" w:rsidR="00E34A10" w:rsidRPr="00A4272B" w:rsidRDefault="00E34A10" w:rsidP="00E34A10">
      <w:pPr>
        <w:tabs>
          <w:tab w:val="left" w:pos="3600"/>
        </w:tabs>
        <w:spacing w:before="60" w:after="60"/>
        <w:rPr>
          <w:sz w:val="18"/>
          <w:szCs w:val="18"/>
          <w:lang w:val="en-US"/>
        </w:rPr>
      </w:pPr>
      <w:r w:rsidRPr="00A4272B">
        <w:rPr>
          <w:i/>
          <w:iCs/>
          <w:sz w:val="18"/>
          <w:szCs w:val="18"/>
          <w:lang w:val="en-US"/>
        </w:rPr>
        <w:t>N</w:t>
      </w:r>
      <w:r w:rsidRPr="00A4272B">
        <w:rPr>
          <w:sz w:val="18"/>
          <w:szCs w:val="18"/>
          <w:lang w:val="en-US"/>
        </w:rPr>
        <w:t xml:space="preserve">-ethyl perfluorooctane sulfonamidoethanol </w:t>
      </w:r>
      <w:r w:rsidRPr="00A4272B">
        <w:rPr>
          <w:sz w:val="18"/>
          <w:szCs w:val="18"/>
          <w:lang w:val="en-US"/>
        </w:rPr>
        <w:tab/>
        <w:t>NEtFOSE</w:t>
      </w:r>
    </w:p>
    <w:p w14:paraId="3215C5BF" w14:textId="08FB1E41" w:rsidR="00577066" w:rsidRPr="00A4272B" w:rsidRDefault="00E34A10" w:rsidP="00E34A10">
      <w:pPr>
        <w:tabs>
          <w:tab w:val="left" w:pos="3600"/>
        </w:tabs>
        <w:spacing w:before="60" w:after="60"/>
        <w:rPr>
          <w:sz w:val="18"/>
          <w:szCs w:val="18"/>
          <w:lang w:val="en-US"/>
        </w:rPr>
      </w:pPr>
      <w:r w:rsidRPr="00A4272B">
        <w:rPr>
          <w:sz w:val="18"/>
          <w:szCs w:val="18"/>
          <w:lang w:val="en-US"/>
        </w:rPr>
        <w:t xml:space="preserve">Pentachloroanisole </w:t>
      </w:r>
      <w:r w:rsidRPr="00A4272B">
        <w:rPr>
          <w:sz w:val="18"/>
          <w:szCs w:val="18"/>
          <w:lang w:val="en-US"/>
        </w:rPr>
        <w:tab/>
        <w:t>PCA</w:t>
      </w:r>
    </w:p>
    <w:p w14:paraId="1DEE80C4" w14:textId="77777777" w:rsidR="00E34A10" w:rsidRPr="00A4272B" w:rsidRDefault="00E34A10" w:rsidP="00E34A10">
      <w:pPr>
        <w:tabs>
          <w:tab w:val="left" w:pos="3600"/>
        </w:tabs>
        <w:spacing w:before="60" w:after="60"/>
        <w:rPr>
          <w:sz w:val="18"/>
          <w:szCs w:val="18"/>
          <w:lang w:val="en-US"/>
        </w:rPr>
      </w:pPr>
    </w:p>
    <w:p w14:paraId="6F47CC04" w14:textId="0F48B860" w:rsidR="0026080B" w:rsidRPr="00A4272B" w:rsidRDefault="00192CEA" w:rsidP="00BD537C">
      <w:pPr>
        <w:keepNext/>
        <w:keepLines/>
        <w:autoSpaceDE w:val="0"/>
        <w:autoSpaceDN w:val="0"/>
        <w:adjustRightInd w:val="0"/>
        <w:rPr>
          <w:b/>
          <w:lang w:val="en-US"/>
        </w:rPr>
      </w:pPr>
      <w:r w:rsidRPr="00A4272B">
        <w:rPr>
          <w:b/>
          <w:lang w:val="en-US"/>
        </w:rPr>
        <w:lastRenderedPageBreak/>
        <w:t xml:space="preserve">Table 2.2: Recommended Priorities for POPs Background Monitoring in Core Matrices for the Global Monitoring Plan. </w:t>
      </w:r>
      <w:r w:rsidRPr="00A4272B">
        <w:rPr>
          <w:bCs/>
          <w:lang w:val="en-US"/>
        </w:rPr>
        <w:t>(Core matrices include air, human milk, and human blood; water is recommended for monitoring water-soluble POPs such as PFOS.)</w:t>
      </w:r>
    </w:p>
    <w:tbl>
      <w:tblPr>
        <w:tblStyle w:val="TableGrid"/>
        <w:tblW w:w="5000" w:type="pct"/>
        <w:tblLook w:val="04A0" w:firstRow="1" w:lastRow="0" w:firstColumn="1" w:lastColumn="0" w:noHBand="0" w:noVBand="1"/>
      </w:tblPr>
      <w:tblGrid>
        <w:gridCol w:w="1613"/>
        <w:gridCol w:w="4425"/>
        <w:gridCol w:w="2928"/>
        <w:gridCol w:w="2607"/>
        <w:gridCol w:w="2846"/>
      </w:tblGrid>
      <w:tr w:rsidR="00577066" w:rsidRPr="00A4272B" w14:paraId="5513BE4A" w14:textId="77777777" w:rsidTr="00330A64">
        <w:tc>
          <w:tcPr>
            <w:tcW w:w="559" w:type="pct"/>
            <w:vMerge w:val="restart"/>
            <w:shd w:val="clear" w:color="auto" w:fill="D9D9D9" w:themeFill="background1" w:themeFillShade="D9"/>
            <w:vAlign w:val="center"/>
          </w:tcPr>
          <w:p w14:paraId="2A38F7B9" w14:textId="77777777" w:rsidR="00577066" w:rsidRPr="00A4272B" w:rsidRDefault="00577066" w:rsidP="000179B6">
            <w:pPr>
              <w:keepNext/>
              <w:keepLines/>
              <w:autoSpaceDE w:val="0"/>
              <w:autoSpaceDN w:val="0"/>
              <w:adjustRightInd w:val="0"/>
              <w:spacing w:before="40" w:after="40"/>
              <w:rPr>
                <w:rStyle w:val="Strong"/>
                <w:sz w:val="18"/>
                <w:szCs w:val="18"/>
                <w:lang w:val="en-US"/>
              </w:rPr>
            </w:pPr>
            <w:r w:rsidRPr="00A4272B">
              <w:rPr>
                <w:rStyle w:val="Strong"/>
                <w:sz w:val="18"/>
                <w:szCs w:val="18"/>
                <w:lang w:val="en-US"/>
              </w:rPr>
              <w:t>Observation</w:t>
            </w:r>
          </w:p>
        </w:tc>
        <w:tc>
          <w:tcPr>
            <w:tcW w:w="1534" w:type="pct"/>
            <w:vMerge w:val="restart"/>
            <w:shd w:val="clear" w:color="auto" w:fill="D9D9D9" w:themeFill="background1" w:themeFillShade="D9"/>
            <w:vAlign w:val="center"/>
          </w:tcPr>
          <w:p w14:paraId="66844474" w14:textId="77777777" w:rsidR="00577066" w:rsidRPr="00A4272B" w:rsidRDefault="00577066" w:rsidP="000179B6">
            <w:pPr>
              <w:keepNext/>
              <w:keepLines/>
              <w:autoSpaceDE w:val="0"/>
              <w:autoSpaceDN w:val="0"/>
              <w:adjustRightInd w:val="0"/>
              <w:spacing w:before="40" w:after="40"/>
              <w:rPr>
                <w:rStyle w:val="Strong"/>
                <w:sz w:val="18"/>
                <w:szCs w:val="18"/>
                <w:lang w:val="en-US"/>
              </w:rPr>
            </w:pPr>
            <w:r w:rsidRPr="00A4272B">
              <w:rPr>
                <w:rStyle w:val="Strong"/>
                <w:sz w:val="18"/>
                <w:szCs w:val="18"/>
                <w:lang w:val="en-US"/>
              </w:rPr>
              <w:t>Criteria</w:t>
            </w:r>
          </w:p>
        </w:tc>
        <w:tc>
          <w:tcPr>
            <w:tcW w:w="2906" w:type="pct"/>
            <w:gridSpan w:val="3"/>
            <w:shd w:val="clear" w:color="auto" w:fill="D9D9D9" w:themeFill="background1" w:themeFillShade="D9"/>
            <w:vAlign w:val="center"/>
          </w:tcPr>
          <w:p w14:paraId="7B430495" w14:textId="77777777" w:rsidR="00577066" w:rsidRPr="00A4272B" w:rsidRDefault="00577066" w:rsidP="000179B6">
            <w:pPr>
              <w:keepNext/>
              <w:keepLines/>
              <w:autoSpaceDE w:val="0"/>
              <w:autoSpaceDN w:val="0"/>
              <w:adjustRightInd w:val="0"/>
              <w:spacing w:before="40" w:after="40"/>
              <w:rPr>
                <w:rStyle w:val="Strong"/>
                <w:sz w:val="18"/>
                <w:szCs w:val="18"/>
                <w:lang w:val="en-US"/>
              </w:rPr>
            </w:pPr>
            <w:r w:rsidRPr="00A4272B">
              <w:rPr>
                <w:rStyle w:val="Strong"/>
                <w:sz w:val="18"/>
                <w:szCs w:val="18"/>
                <w:lang w:val="en-US"/>
              </w:rPr>
              <w:t>Recommendations</w:t>
            </w:r>
          </w:p>
        </w:tc>
      </w:tr>
      <w:tr w:rsidR="00577066" w:rsidRPr="00A4272B" w14:paraId="393956C2" w14:textId="77777777" w:rsidTr="00330A64">
        <w:tc>
          <w:tcPr>
            <w:tcW w:w="559" w:type="pct"/>
            <w:vMerge/>
            <w:shd w:val="clear" w:color="auto" w:fill="D9D9D9" w:themeFill="background1" w:themeFillShade="D9"/>
            <w:vAlign w:val="center"/>
          </w:tcPr>
          <w:p w14:paraId="717807F4" w14:textId="77777777" w:rsidR="00577066" w:rsidRPr="00A4272B" w:rsidRDefault="00577066" w:rsidP="00BD537C">
            <w:pPr>
              <w:keepNext/>
              <w:keepLines/>
              <w:autoSpaceDE w:val="0"/>
              <w:autoSpaceDN w:val="0"/>
              <w:adjustRightInd w:val="0"/>
              <w:spacing w:before="40" w:after="40"/>
              <w:rPr>
                <w:sz w:val="18"/>
                <w:szCs w:val="18"/>
                <w:lang w:val="en-US"/>
              </w:rPr>
            </w:pPr>
          </w:p>
        </w:tc>
        <w:tc>
          <w:tcPr>
            <w:tcW w:w="1534" w:type="pct"/>
            <w:vMerge/>
            <w:shd w:val="clear" w:color="auto" w:fill="D9D9D9" w:themeFill="background1" w:themeFillShade="D9"/>
            <w:vAlign w:val="center"/>
          </w:tcPr>
          <w:p w14:paraId="24D60B23" w14:textId="77777777" w:rsidR="00577066" w:rsidRPr="00A4272B" w:rsidRDefault="00577066" w:rsidP="00BD537C">
            <w:pPr>
              <w:keepNext/>
              <w:keepLines/>
              <w:autoSpaceDE w:val="0"/>
              <w:autoSpaceDN w:val="0"/>
              <w:adjustRightInd w:val="0"/>
              <w:spacing w:before="40" w:after="40"/>
              <w:rPr>
                <w:rStyle w:val="Strong"/>
                <w:sz w:val="18"/>
                <w:szCs w:val="18"/>
                <w:lang w:val="en-US"/>
              </w:rPr>
            </w:pPr>
          </w:p>
        </w:tc>
        <w:tc>
          <w:tcPr>
            <w:tcW w:w="1015" w:type="pct"/>
            <w:shd w:val="clear" w:color="auto" w:fill="D9D9D9" w:themeFill="background1" w:themeFillShade="D9"/>
            <w:vAlign w:val="center"/>
          </w:tcPr>
          <w:p w14:paraId="4275FBFB" w14:textId="77777777" w:rsidR="00577066" w:rsidRPr="00A4272B" w:rsidRDefault="00577066" w:rsidP="00BD537C">
            <w:pPr>
              <w:keepNext/>
              <w:keepLines/>
              <w:autoSpaceDE w:val="0"/>
              <w:autoSpaceDN w:val="0"/>
              <w:adjustRightInd w:val="0"/>
              <w:spacing w:before="40" w:after="40"/>
              <w:rPr>
                <w:rStyle w:val="Strong"/>
                <w:sz w:val="18"/>
                <w:szCs w:val="18"/>
                <w:lang w:val="en-US"/>
              </w:rPr>
            </w:pPr>
            <w:r w:rsidRPr="00A4272B">
              <w:rPr>
                <w:rStyle w:val="Strong"/>
                <w:sz w:val="18"/>
                <w:szCs w:val="18"/>
                <w:lang w:val="en-US"/>
              </w:rPr>
              <w:t>Air</w:t>
            </w:r>
          </w:p>
        </w:tc>
        <w:tc>
          <w:tcPr>
            <w:tcW w:w="904" w:type="pct"/>
            <w:shd w:val="clear" w:color="auto" w:fill="D9D9D9" w:themeFill="background1" w:themeFillShade="D9"/>
            <w:vAlign w:val="center"/>
          </w:tcPr>
          <w:p w14:paraId="4350A3DA" w14:textId="77777777" w:rsidR="00577066" w:rsidRPr="00A4272B" w:rsidRDefault="00577066" w:rsidP="00BD537C">
            <w:pPr>
              <w:keepNext/>
              <w:keepLines/>
              <w:autoSpaceDE w:val="0"/>
              <w:autoSpaceDN w:val="0"/>
              <w:adjustRightInd w:val="0"/>
              <w:spacing w:before="40" w:after="40"/>
              <w:rPr>
                <w:rStyle w:val="Strong"/>
                <w:sz w:val="18"/>
                <w:szCs w:val="18"/>
                <w:lang w:val="en-US"/>
              </w:rPr>
            </w:pPr>
            <w:r w:rsidRPr="00A4272B">
              <w:rPr>
                <w:rStyle w:val="Strong"/>
                <w:sz w:val="18"/>
                <w:szCs w:val="18"/>
                <w:lang w:val="en-US"/>
              </w:rPr>
              <w:t>Human milk/blood</w:t>
            </w:r>
          </w:p>
        </w:tc>
        <w:tc>
          <w:tcPr>
            <w:tcW w:w="987" w:type="pct"/>
            <w:shd w:val="clear" w:color="auto" w:fill="D9D9D9" w:themeFill="background1" w:themeFillShade="D9"/>
            <w:vAlign w:val="center"/>
          </w:tcPr>
          <w:p w14:paraId="07AAA99B" w14:textId="77777777" w:rsidR="00577066" w:rsidRPr="00A4272B" w:rsidRDefault="00577066" w:rsidP="00BD537C">
            <w:pPr>
              <w:keepNext/>
              <w:keepLines/>
              <w:autoSpaceDE w:val="0"/>
              <w:autoSpaceDN w:val="0"/>
              <w:adjustRightInd w:val="0"/>
              <w:spacing w:before="40" w:after="40"/>
              <w:rPr>
                <w:rStyle w:val="Strong"/>
                <w:sz w:val="18"/>
                <w:szCs w:val="18"/>
                <w:lang w:val="en-US"/>
              </w:rPr>
            </w:pPr>
            <w:r w:rsidRPr="00A4272B">
              <w:rPr>
                <w:rStyle w:val="Strong"/>
                <w:sz w:val="18"/>
                <w:szCs w:val="18"/>
                <w:lang w:val="en-US"/>
              </w:rPr>
              <w:t>Water</w:t>
            </w:r>
          </w:p>
        </w:tc>
      </w:tr>
      <w:tr w:rsidR="00577066" w:rsidRPr="00A4272B" w14:paraId="7B2A4DE2" w14:textId="77777777" w:rsidTr="00577066">
        <w:tc>
          <w:tcPr>
            <w:tcW w:w="559" w:type="pct"/>
          </w:tcPr>
          <w:p w14:paraId="67C213D6" w14:textId="77777777" w:rsidR="00577066" w:rsidRPr="00A4272B" w:rsidRDefault="00577066" w:rsidP="00BD537C">
            <w:pPr>
              <w:keepNext/>
              <w:keepLines/>
              <w:autoSpaceDE w:val="0"/>
              <w:autoSpaceDN w:val="0"/>
              <w:adjustRightInd w:val="0"/>
              <w:spacing w:before="40" w:after="40"/>
              <w:jc w:val="both"/>
              <w:rPr>
                <w:sz w:val="18"/>
                <w:szCs w:val="18"/>
                <w:lang w:val="en-US"/>
              </w:rPr>
            </w:pPr>
            <w:r w:rsidRPr="00A4272B">
              <w:rPr>
                <w:sz w:val="18"/>
                <w:szCs w:val="18"/>
                <w:lang w:val="en-US"/>
              </w:rPr>
              <w:t xml:space="preserve">High priority </w:t>
            </w:r>
          </w:p>
        </w:tc>
        <w:tc>
          <w:tcPr>
            <w:tcW w:w="1534" w:type="pct"/>
          </w:tcPr>
          <w:p w14:paraId="1B7FDDE6" w14:textId="409EBC4D" w:rsidR="00577066" w:rsidRPr="00A4272B" w:rsidRDefault="00577066" w:rsidP="00BD537C">
            <w:pPr>
              <w:keepNext/>
              <w:keepLines/>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Eleveted levels of POPs detected.</w:t>
            </w:r>
          </w:p>
          <w:p w14:paraId="13707C47" w14:textId="24AAAF37" w:rsidR="00577066" w:rsidRPr="00A4272B" w:rsidRDefault="00577066" w:rsidP="00BD537C">
            <w:pPr>
              <w:keepNext/>
              <w:keepLines/>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 xml:space="preserve">Significant data gaps exist. </w:t>
            </w:r>
          </w:p>
          <w:p w14:paraId="3B030F21" w14:textId="43109145" w:rsidR="00577066" w:rsidRPr="00A4272B" w:rsidRDefault="00577066" w:rsidP="00BD537C">
            <w:pPr>
              <w:keepNext/>
              <w:keepLines/>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 xml:space="preserve">High importance and representativeness in filling the data gap for global background monitoring. </w:t>
            </w:r>
          </w:p>
        </w:tc>
        <w:tc>
          <w:tcPr>
            <w:tcW w:w="1015" w:type="pct"/>
          </w:tcPr>
          <w:p w14:paraId="7F68360F" w14:textId="77777777" w:rsidR="00577066" w:rsidRPr="00A4272B" w:rsidRDefault="00577066" w:rsidP="00BD537C">
            <w:pPr>
              <w:keepNext/>
              <w:keepLines/>
              <w:autoSpaceDE w:val="0"/>
              <w:autoSpaceDN w:val="0"/>
              <w:adjustRightInd w:val="0"/>
              <w:spacing w:before="40" w:after="40"/>
              <w:rPr>
                <w:sz w:val="18"/>
                <w:szCs w:val="18"/>
                <w:lang w:val="en-US"/>
              </w:rPr>
            </w:pPr>
            <w:r w:rsidRPr="00A4272B">
              <w:rPr>
                <w:sz w:val="18"/>
                <w:szCs w:val="18"/>
                <w:lang w:val="en-US"/>
              </w:rPr>
              <w:t xml:space="preserve">Regular monitoring data at the background sites is highly welcomed by the GMP. Monitoring data at hotspots or emission sources can be considered. </w:t>
            </w:r>
          </w:p>
        </w:tc>
        <w:tc>
          <w:tcPr>
            <w:tcW w:w="904" w:type="pct"/>
          </w:tcPr>
          <w:p w14:paraId="5BEECBD1" w14:textId="77777777" w:rsidR="00577066" w:rsidRPr="00A4272B" w:rsidRDefault="00577066" w:rsidP="00BD537C">
            <w:pPr>
              <w:keepNext/>
              <w:keepLines/>
              <w:autoSpaceDE w:val="0"/>
              <w:autoSpaceDN w:val="0"/>
              <w:adjustRightInd w:val="0"/>
              <w:spacing w:before="40" w:after="40"/>
              <w:rPr>
                <w:sz w:val="18"/>
                <w:szCs w:val="18"/>
                <w:lang w:val="en-US"/>
              </w:rPr>
            </w:pPr>
            <w:r w:rsidRPr="00A4272B">
              <w:rPr>
                <w:sz w:val="18"/>
                <w:szCs w:val="18"/>
                <w:lang w:val="en-US"/>
              </w:rPr>
              <w:t xml:space="preserve">Data from regular human exposure study is highly welcomed, including surveys of vunerable groups.     </w:t>
            </w:r>
          </w:p>
        </w:tc>
        <w:tc>
          <w:tcPr>
            <w:tcW w:w="987" w:type="pct"/>
          </w:tcPr>
          <w:p w14:paraId="730E0031" w14:textId="77777777" w:rsidR="00577066" w:rsidRPr="00A4272B" w:rsidRDefault="00577066" w:rsidP="00BD537C">
            <w:pPr>
              <w:keepNext/>
              <w:keepLines/>
              <w:autoSpaceDE w:val="0"/>
              <w:autoSpaceDN w:val="0"/>
              <w:adjustRightInd w:val="0"/>
              <w:spacing w:before="40" w:after="40"/>
              <w:rPr>
                <w:sz w:val="18"/>
                <w:szCs w:val="18"/>
                <w:lang w:val="en-US"/>
              </w:rPr>
            </w:pPr>
            <w:r w:rsidRPr="00A4272B">
              <w:rPr>
                <w:sz w:val="18"/>
                <w:szCs w:val="18"/>
                <w:lang w:val="en-US"/>
              </w:rPr>
              <w:t>Regular monitoring data at the background sites is highly welcomed by the GMP. Monitoring data at hotspots or emission sources in the aquatic ecosystems including in aquatic animals is encouraged can be considered.</w:t>
            </w:r>
          </w:p>
        </w:tc>
      </w:tr>
      <w:tr w:rsidR="00577066" w:rsidRPr="00A4272B" w14:paraId="775D867F" w14:textId="77777777" w:rsidTr="00577066">
        <w:tc>
          <w:tcPr>
            <w:tcW w:w="559" w:type="pct"/>
          </w:tcPr>
          <w:p w14:paraId="20FAE17F" w14:textId="77777777" w:rsidR="00577066" w:rsidRPr="00A4272B" w:rsidRDefault="00577066" w:rsidP="00577066">
            <w:pPr>
              <w:autoSpaceDE w:val="0"/>
              <w:autoSpaceDN w:val="0"/>
              <w:adjustRightInd w:val="0"/>
              <w:spacing w:before="40" w:after="40"/>
              <w:jc w:val="both"/>
              <w:rPr>
                <w:sz w:val="18"/>
                <w:szCs w:val="18"/>
                <w:lang w:val="en-US"/>
              </w:rPr>
            </w:pPr>
            <w:r w:rsidRPr="00A4272B">
              <w:rPr>
                <w:sz w:val="18"/>
                <w:szCs w:val="18"/>
                <w:lang w:val="en-US"/>
              </w:rPr>
              <w:t>Medium priority</w:t>
            </w:r>
          </w:p>
        </w:tc>
        <w:tc>
          <w:tcPr>
            <w:tcW w:w="1534" w:type="pct"/>
          </w:tcPr>
          <w:p w14:paraId="53A98B7E" w14:textId="6DA1D80F" w:rsidR="00577066" w:rsidRPr="00A4272B" w:rsidRDefault="00577066" w:rsidP="00577066">
            <w:pPr>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Levels of POPs detected above LOQ/LOD.</w:t>
            </w:r>
          </w:p>
          <w:p w14:paraId="2A59501E" w14:textId="74EAA90A" w:rsidR="00577066" w:rsidRPr="00A4272B" w:rsidRDefault="00577066" w:rsidP="00577066">
            <w:pPr>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 xml:space="preserve">Data gaps exist. </w:t>
            </w:r>
          </w:p>
          <w:p w14:paraId="3F636597" w14:textId="6963CC8E" w:rsidR="00577066" w:rsidRPr="00A4272B" w:rsidRDefault="00577066" w:rsidP="00577066">
            <w:pPr>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Relatively high importance and representativeness in filling the data gap for global background monitoring</w:t>
            </w:r>
          </w:p>
        </w:tc>
        <w:tc>
          <w:tcPr>
            <w:tcW w:w="1015" w:type="pct"/>
          </w:tcPr>
          <w:p w14:paraId="633D31C3" w14:textId="77777777" w:rsidR="00577066" w:rsidRPr="00A4272B" w:rsidRDefault="00577066" w:rsidP="00577066">
            <w:pPr>
              <w:autoSpaceDE w:val="0"/>
              <w:autoSpaceDN w:val="0"/>
              <w:adjustRightInd w:val="0"/>
              <w:spacing w:before="40" w:after="40"/>
              <w:rPr>
                <w:b/>
                <w:bCs/>
                <w:sz w:val="18"/>
                <w:szCs w:val="18"/>
                <w:lang w:val="en-US"/>
              </w:rPr>
            </w:pPr>
            <w:r w:rsidRPr="00A4272B">
              <w:rPr>
                <w:sz w:val="18"/>
                <w:szCs w:val="18"/>
                <w:lang w:val="en-US"/>
              </w:rPr>
              <w:t>Regular monitoring at the background sites is welcomed by the GMP. Follow-up monitoring at hotspots or emission sources can be considered.</w:t>
            </w:r>
          </w:p>
        </w:tc>
        <w:tc>
          <w:tcPr>
            <w:tcW w:w="904" w:type="pct"/>
          </w:tcPr>
          <w:p w14:paraId="3DAAF2DC" w14:textId="77777777" w:rsidR="00577066" w:rsidRPr="00A4272B" w:rsidRDefault="00577066" w:rsidP="00577066">
            <w:pPr>
              <w:autoSpaceDE w:val="0"/>
              <w:autoSpaceDN w:val="0"/>
              <w:adjustRightInd w:val="0"/>
              <w:spacing w:before="40" w:after="40"/>
              <w:rPr>
                <w:b/>
                <w:bCs/>
                <w:sz w:val="18"/>
                <w:szCs w:val="18"/>
                <w:lang w:val="en-US"/>
              </w:rPr>
            </w:pPr>
            <w:r w:rsidRPr="00A4272B">
              <w:rPr>
                <w:sz w:val="18"/>
                <w:szCs w:val="18"/>
                <w:lang w:val="en-US"/>
              </w:rPr>
              <w:t>Continuing large scale human exposure study at reduced invervals is recommended. Regular survey of vunerable groups is encouraged.</w:t>
            </w:r>
          </w:p>
        </w:tc>
        <w:tc>
          <w:tcPr>
            <w:tcW w:w="987" w:type="pct"/>
          </w:tcPr>
          <w:p w14:paraId="6233C6C6" w14:textId="77777777" w:rsidR="00577066" w:rsidRPr="00A4272B" w:rsidRDefault="00577066" w:rsidP="00577066">
            <w:pPr>
              <w:autoSpaceDE w:val="0"/>
              <w:autoSpaceDN w:val="0"/>
              <w:adjustRightInd w:val="0"/>
              <w:spacing w:before="40" w:after="40"/>
              <w:rPr>
                <w:b/>
                <w:bCs/>
                <w:sz w:val="18"/>
                <w:szCs w:val="18"/>
                <w:lang w:val="en-US"/>
              </w:rPr>
            </w:pPr>
            <w:r w:rsidRPr="00A4272B">
              <w:rPr>
                <w:sz w:val="18"/>
                <w:szCs w:val="18"/>
                <w:lang w:val="en-US"/>
              </w:rPr>
              <w:t>Regular monitoring data at the background sites is welcomed by the GMP. Monitoring data at hotspots or emission sources in the aquatic ecosystems including in aquatic animals can be considered.</w:t>
            </w:r>
          </w:p>
        </w:tc>
      </w:tr>
      <w:tr w:rsidR="00577066" w:rsidRPr="00A4272B" w14:paraId="2882B772" w14:textId="77777777" w:rsidTr="00577066">
        <w:tc>
          <w:tcPr>
            <w:tcW w:w="559" w:type="pct"/>
          </w:tcPr>
          <w:p w14:paraId="59FDBDE8" w14:textId="77777777" w:rsidR="00577066" w:rsidRPr="00A4272B" w:rsidRDefault="00577066" w:rsidP="00577066">
            <w:pPr>
              <w:autoSpaceDE w:val="0"/>
              <w:autoSpaceDN w:val="0"/>
              <w:adjustRightInd w:val="0"/>
              <w:spacing w:before="40" w:after="40"/>
              <w:jc w:val="both"/>
              <w:rPr>
                <w:sz w:val="18"/>
                <w:szCs w:val="18"/>
                <w:lang w:val="en-US"/>
              </w:rPr>
            </w:pPr>
            <w:r w:rsidRPr="00A4272B">
              <w:rPr>
                <w:sz w:val="18"/>
                <w:szCs w:val="18"/>
                <w:lang w:val="en-US"/>
              </w:rPr>
              <w:t xml:space="preserve">Low priority </w:t>
            </w:r>
          </w:p>
        </w:tc>
        <w:tc>
          <w:tcPr>
            <w:tcW w:w="1534" w:type="pct"/>
          </w:tcPr>
          <w:p w14:paraId="766B4C36" w14:textId="34AB6164" w:rsidR="00577066" w:rsidRPr="00A4272B" w:rsidRDefault="00577066" w:rsidP="00577066">
            <w:pPr>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Levels and historical trends remain low and constant over ten years.</w:t>
            </w:r>
          </w:p>
          <w:p w14:paraId="0D57B925" w14:textId="2DC41232" w:rsidR="00577066" w:rsidRPr="00A4272B" w:rsidRDefault="00577066" w:rsidP="00577066">
            <w:pPr>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 xml:space="preserve">Considerable amount of data available for background monitoring. </w:t>
            </w:r>
          </w:p>
          <w:p w14:paraId="796667ED" w14:textId="55FACBF9" w:rsidR="00577066" w:rsidRPr="00A4272B" w:rsidRDefault="00577066" w:rsidP="00577066">
            <w:pPr>
              <w:autoSpaceDE w:val="0"/>
              <w:autoSpaceDN w:val="0"/>
              <w:adjustRightInd w:val="0"/>
              <w:spacing w:before="40" w:after="40"/>
              <w:rPr>
                <w:sz w:val="18"/>
                <w:szCs w:val="18"/>
                <w:lang w:val="en-US"/>
              </w:rPr>
            </w:pPr>
            <w:r w:rsidRPr="00A4272B">
              <w:rPr>
                <w:sz w:val="18"/>
                <w:szCs w:val="18"/>
                <w:lang w:val="en-US"/>
              </w:rPr>
              <w:t>-</w:t>
            </w:r>
            <w:r w:rsidR="005748BC" w:rsidRPr="00A4272B">
              <w:rPr>
                <w:sz w:val="18"/>
                <w:szCs w:val="18"/>
                <w:lang w:val="en-US"/>
              </w:rPr>
              <w:t xml:space="preserve"> </w:t>
            </w:r>
            <w:r w:rsidRPr="00A4272B">
              <w:rPr>
                <w:sz w:val="18"/>
                <w:szCs w:val="18"/>
                <w:lang w:val="en-US"/>
              </w:rPr>
              <w:t xml:space="preserve">Low importance in filling the data gap for global background monitoring. </w:t>
            </w:r>
          </w:p>
        </w:tc>
        <w:tc>
          <w:tcPr>
            <w:tcW w:w="1015" w:type="pct"/>
            <w:vAlign w:val="center"/>
          </w:tcPr>
          <w:p w14:paraId="68ADE4BC" w14:textId="77777777" w:rsidR="00577066" w:rsidRPr="00A4272B" w:rsidRDefault="00577066" w:rsidP="00577066">
            <w:pPr>
              <w:autoSpaceDE w:val="0"/>
              <w:autoSpaceDN w:val="0"/>
              <w:adjustRightInd w:val="0"/>
              <w:spacing w:before="40" w:after="40"/>
              <w:rPr>
                <w:sz w:val="18"/>
                <w:szCs w:val="18"/>
                <w:lang w:val="en-US"/>
              </w:rPr>
            </w:pPr>
            <w:r w:rsidRPr="00A4272B">
              <w:rPr>
                <w:sz w:val="18"/>
                <w:szCs w:val="18"/>
                <w:lang w:val="en-US"/>
              </w:rPr>
              <w:t xml:space="preserve">In consultation with the ROG and GCG, regular monitoring data at background sites may not be required by the GMP. </w:t>
            </w:r>
          </w:p>
        </w:tc>
        <w:tc>
          <w:tcPr>
            <w:tcW w:w="904" w:type="pct"/>
            <w:vAlign w:val="center"/>
          </w:tcPr>
          <w:p w14:paraId="722CE107" w14:textId="77777777" w:rsidR="00577066" w:rsidRPr="00A4272B" w:rsidRDefault="00577066" w:rsidP="00577066">
            <w:pPr>
              <w:autoSpaceDE w:val="0"/>
              <w:autoSpaceDN w:val="0"/>
              <w:adjustRightInd w:val="0"/>
              <w:spacing w:before="40" w:after="40"/>
              <w:rPr>
                <w:sz w:val="18"/>
                <w:szCs w:val="18"/>
                <w:lang w:val="en-US"/>
              </w:rPr>
            </w:pPr>
            <w:r w:rsidRPr="00A4272B">
              <w:rPr>
                <w:sz w:val="18"/>
                <w:szCs w:val="18"/>
                <w:lang w:val="en-US"/>
              </w:rPr>
              <w:t xml:space="preserve">In consultation with the ROG and GCG, regular monitoring data at background sites may not be required by the GMP  </w:t>
            </w:r>
          </w:p>
        </w:tc>
        <w:tc>
          <w:tcPr>
            <w:tcW w:w="987" w:type="pct"/>
            <w:vAlign w:val="center"/>
          </w:tcPr>
          <w:p w14:paraId="3EC1B67D" w14:textId="77777777" w:rsidR="00577066" w:rsidRPr="00A4272B" w:rsidRDefault="00577066" w:rsidP="00577066">
            <w:pPr>
              <w:autoSpaceDE w:val="0"/>
              <w:autoSpaceDN w:val="0"/>
              <w:adjustRightInd w:val="0"/>
              <w:spacing w:before="40" w:after="40"/>
              <w:rPr>
                <w:b/>
                <w:bCs/>
                <w:sz w:val="18"/>
                <w:szCs w:val="18"/>
                <w:lang w:val="en-US"/>
              </w:rPr>
            </w:pPr>
            <w:r w:rsidRPr="00A4272B">
              <w:rPr>
                <w:sz w:val="18"/>
                <w:szCs w:val="18"/>
                <w:lang w:val="en-US"/>
              </w:rPr>
              <w:t xml:space="preserve">In consultation with the ROG and GCG, regular monitoring data at background sites may not be required by the GMP  </w:t>
            </w:r>
          </w:p>
        </w:tc>
      </w:tr>
    </w:tbl>
    <w:p w14:paraId="571587C4" w14:textId="77777777" w:rsidR="00577066" w:rsidRPr="00A4272B" w:rsidRDefault="00577066" w:rsidP="0026080B">
      <w:pPr>
        <w:autoSpaceDE w:val="0"/>
        <w:autoSpaceDN w:val="0"/>
        <w:adjustRightInd w:val="0"/>
        <w:spacing w:before="120"/>
        <w:rPr>
          <w:lang w:val="en-US"/>
        </w:rPr>
      </w:pPr>
      <w:r w:rsidRPr="00A4272B">
        <w:rPr>
          <w:lang w:val="en-US"/>
        </w:rPr>
        <w:t xml:space="preserve"> </w:t>
      </w:r>
    </w:p>
    <w:p w14:paraId="045F4994" w14:textId="77777777" w:rsidR="00F3536C" w:rsidRPr="00A4272B" w:rsidRDefault="00F3536C" w:rsidP="00F3536C">
      <w:pPr>
        <w:spacing w:before="120"/>
        <w:rPr>
          <w:lang w:val="en-US"/>
        </w:rPr>
        <w:sectPr w:rsidR="00F3536C" w:rsidRPr="00A4272B" w:rsidSect="0060600C">
          <w:headerReference w:type="first" r:id="rId10"/>
          <w:footerReference w:type="first" r:id="rId11"/>
          <w:pgSz w:w="16834" w:h="11909" w:orient="landscape" w:code="9"/>
          <w:pgMar w:top="907" w:right="994" w:bottom="1411" w:left="1411" w:header="533" w:footer="979" w:gutter="0"/>
          <w:cols w:space="720"/>
        </w:sectPr>
      </w:pPr>
    </w:p>
    <w:p w14:paraId="5696680A" w14:textId="2523BCE1" w:rsidR="00F3536C" w:rsidRPr="00A4272B" w:rsidRDefault="0026080B" w:rsidP="006E024F">
      <w:pPr>
        <w:pStyle w:val="GMPHeading2"/>
        <w:tabs>
          <w:tab w:val="clear" w:pos="360"/>
          <w:tab w:val="clear" w:pos="450"/>
          <w:tab w:val="clear" w:pos="540"/>
          <w:tab w:val="clear" w:pos="630"/>
        </w:tabs>
        <w:rPr>
          <w:rFonts w:hint="eastAsia"/>
        </w:rPr>
      </w:pPr>
      <w:bookmarkStart w:id="41" w:name="_Toc346702090"/>
      <w:bookmarkStart w:id="42" w:name="_Toc187270472"/>
      <w:bookmarkStart w:id="43" w:name="_Toc75140774"/>
      <w:r w:rsidRPr="00A4272B">
        <w:lastRenderedPageBreak/>
        <w:t>2.</w:t>
      </w:r>
      <w:r w:rsidR="00192CEA" w:rsidRPr="00A4272B">
        <w:t>2</w:t>
      </w:r>
      <w:r w:rsidRPr="00A4272B">
        <w:tab/>
      </w:r>
      <w:r w:rsidR="00F3536C" w:rsidRPr="00A4272B">
        <w:t>Recommended reporting format</w:t>
      </w:r>
      <w:bookmarkEnd w:id="41"/>
      <w:bookmarkEnd w:id="42"/>
    </w:p>
    <w:p w14:paraId="4BDE498C" w14:textId="0C6EBEF2" w:rsidR="00A7361E" w:rsidRPr="00A4272B" w:rsidRDefault="00A7361E" w:rsidP="00A7361E">
      <w:pPr>
        <w:rPr>
          <w:lang w:val="en-US" w:eastAsia="zh-CN"/>
        </w:rPr>
      </w:pPr>
      <w:r w:rsidRPr="00A4272B">
        <w:rPr>
          <w:lang w:val="en-US" w:eastAsia="zh-CN"/>
        </w:rPr>
        <w:t xml:space="preserve">Spreadsheets to report analytical data are available in Excel format at </w:t>
      </w:r>
      <w:hyperlink r:id="rId12" w:tgtFrame="_new" w:history="1">
        <w:r w:rsidR="000F2780" w:rsidRPr="00A4272B">
          <w:rPr>
            <w:rStyle w:val="Hyperlink0"/>
            <w:rFonts w:eastAsia="MS Mincho"/>
            <w:lang w:val="en-US"/>
          </w:rPr>
          <w:t>http://www.pops-gmp.org</w:t>
        </w:r>
      </w:hyperlink>
      <w:r w:rsidRPr="00A4272B">
        <w:rPr>
          <w:lang w:val="en-US" w:eastAsia="zh-CN"/>
        </w:rPr>
        <w:t>. These sheets include individual analytes (Table 2.2) and sum parameters for groups or mixtures of POPs. Key recommendations for reporting concentrations are as follows:</w:t>
      </w:r>
    </w:p>
    <w:p w14:paraId="29B85AAD" w14:textId="507CDDA4" w:rsidR="00A7361E" w:rsidRPr="00A4272B" w:rsidRDefault="00A7361E">
      <w:pPr>
        <w:numPr>
          <w:ilvl w:val="0"/>
          <w:numId w:val="21"/>
        </w:numPr>
        <w:rPr>
          <w:lang w:val="en-US" w:eastAsia="zh-CN"/>
        </w:rPr>
      </w:pPr>
      <w:r w:rsidRPr="00A4272B">
        <w:rPr>
          <w:b/>
          <w:bCs/>
          <w:lang w:val="en-US" w:eastAsia="zh-CN"/>
        </w:rPr>
        <w:t>PCBs</w:t>
      </w:r>
      <w:r w:rsidRPr="00A4272B">
        <w:rPr>
          <w:lang w:val="en-US" w:eastAsia="zh-CN"/>
        </w:rPr>
        <w:t>: Analyze and report six PCB congeners individually, allowing calculation of the sum (ΣPCB(6))</w:t>
      </w:r>
      <w:r w:rsidR="003F50B4" w:rsidRPr="00A4272B">
        <w:rPr>
          <w:lang w:val="en-US" w:eastAsia="zh-CN"/>
        </w:rPr>
        <w:t>;</w:t>
      </w:r>
    </w:p>
    <w:p w14:paraId="207B5805" w14:textId="4DADCF28" w:rsidR="00A7361E" w:rsidRPr="00A4272B" w:rsidRDefault="00A7361E">
      <w:pPr>
        <w:numPr>
          <w:ilvl w:val="0"/>
          <w:numId w:val="21"/>
        </w:numPr>
        <w:rPr>
          <w:lang w:val="en-US" w:eastAsia="zh-CN"/>
        </w:rPr>
      </w:pPr>
      <w:r w:rsidRPr="00A4272B">
        <w:rPr>
          <w:b/>
          <w:bCs/>
          <w:lang w:val="en-US" w:eastAsia="zh-CN"/>
        </w:rPr>
        <w:t>PFOS</w:t>
      </w:r>
      <w:r w:rsidRPr="00A4272B">
        <w:rPr>
          <w:lang w:val="en-US" w:eastAsia="zh-CN"/>
        </w:rPr>
        <w:t>: Report concentrations of the linear PFOS (L-PFOS) anion and the sum of branched PFOS (br-PFOS) anions, then combine them for total PFOS (ΣPFOStotal) (UNEP 2014)</w:t>
      </w:r>
      <w:r w:rsidR="003F50B4" w:rsidRPr="00A4272B">
        <w:rPr>
          <w:lang w:val="en-US" w:eastAsia="zh-CN"/>
        </w:rPr>
        <w:t>;</w:t>
      </w:r>
    </w:p>
    <w:p w14:paraId="36EC81FF" w14:textId="6CD96C0C" w:rsidR="00A7361E" w:rsidRPr="00A4272B" w:rsidRDefault="00A7361E">
      <w:pPr>
        <w:numPr>
          <w:ilvl w:val="0"/>
          <w:numId w:val="21"/>
        </w:numPr>
        <w:rPr>
          <w:lang w:val="en-US" w:eastAsia="zh-CN"/>
        </w:rPr>
      </w:pPr>
      <w:r w:rsidRPr="00A4272B">
        <w:rPr>
          <w:b/>
          <w:bCs/>
          <w:lang w:val="en-US" w:eastAsia="zh-CN"/>
        </w:rPr>
        <w:t>PBDEs</w:t>
      </w:r>
      <w:r w:rsidRPr="00A4272B">
        <w:rPr>
          <w:lang w:val="en-US" w:eastAsia="zh-CN"/>
        </w:rPr>
        <w:t>: Analyze congeners for each listing (c-penta, c-octa, deca</w:t>
      </w:r>
      <w:r w:rsidR="00646AA3" w:rsidRPr="00A4272B">
        <w:rPr>
          <w:lang w:val="en-US" w:eastAsia="zh-CN"/>
        </w:rPr>
        <w:t>BDE</w:t>
      </w:r>
      <w:r w:rsidRPr="00A4272B">
        <w:rPr>
          <w:lang w:val="en-US" w:eastAsia="zh-CN"/>
        </w:rPr>
        <w:t xml:space="preserve">) and report </w:t>
      </w:r>
      <w:r w:rsidR="00646AA3" w:rsidRPr="00A4272B">
        <w:rPr>
          <w:rStyle w:val="dn"/>
          <w:lang w:val="en-US"/>
        </w:rPr>
        <w:t xml:space="preserve">them individually as well as </w:t>
      </w:r>
      <w:r w:rsidRPr="00A4272B">
        <w:rPr>
          <w:lang w:val="en-US" w:eastAsia="zh-CN"/>
        </w:rPr>
        <w:t>their sum</w:t>
      </w:r>
      <w:r w:rsidR="003F50B4" w:rsidRPr="00A4272B">
        <w:rPr>
          <w:lang w:val="en-US" w:eastAsia="zh-CN"/>
        </w:rPr>
        <w:t>;</w:t>
      </w:r>
    </w:p>
    <w:p w14:paraId="58F174DA" w14:textId="707EE283" w:rsidR="00646AA3" w:rsidRPr="00A4272B" w:rsidRDefault="00646AA3">
      <w:pPr>
        <w:numPr>
          <w:ilvl w:val="1"/>
          <w:numId w:val="21"/>
        </w:numPr>
        <w:rPr>
          <w:lang w:val="en-US" w:eastAsia="zh-CN"/>
        </w:rPr>
      </w:pPr>
      <w:r w:rsidRPr="00A4272B">
        <w:rPr>
          <w:b/>
          <w:bCs/>
          <w:lang w:val="en-US" w:eastAsia="zh-CN"/>
        </w:rPr>
        <w:t>Commercial pentaBDE</w:t>
      </w:r>
      <w:r w:rsidRPr="00A4272B">
        <w:rPr>
          <w:lang w:val="en-US" w:eastAsia="zh-CN"/>
        </w:rPr>
        <w:t xml:space="preserve"> is a sum of BDE-47, 85, 99, 100, 153 and 154, </w:t>
      </w:r>
      <w:r w:rsidRPr="00A4272B">
        <w:rPr>
          <w:rStyle w:val="cf01"/>
          <w:rFonts w:ascii="Times New Roman" w:hAnsi="Times New Roman" w:cs="Times New Roman"/>
          <w:sz w:val="20"/>
          <w:szCs w:val="20"/>
          <w:lang w:val="en-US"/>
        </w:rPr>
        <w:t>and it should be reported including its degradation product congeners BDE-17 and 28</w:t>
      </w:r>
      <w:r w:rsidRPr="00A4272B">
        <w:rPr>
          <w:lang w:val="en-US" w:eastAsia="zh-CN"/>
        </w:rPr>
        <w:t>;</w:t>
      </w:r>
    </w:p>
    <w:p w14:paraId="5819C594" w14:textId="502059D8" w:rsidR="00646AA3" w:rsidRPr="00A4272B" w:rsidRDefault="00646AA3">
      <w:pPr>
        <w:numPr>
          <w:ilvl w:val="1"/>
          <w:numId w:val="21"/>
        </w:numPr>
        <w:rPr>
          <w:rStyle w:val="cf01"/>
          <w:rFonts w:ascii="Times New Roman" w:hAnsi="Times New Roman" w:cs="Times New Roman"/>
          <w:sz w:val="20"/>
          <w:szCs w:val="20"/>
          <w:lang w:val="en-US" w:eastAsia="zh-CN"/>
        </w:rPr>
      </w:pPr>
      <w:r w:rsidRPr="00A4272B">
        <w:rPr>
          <w:b/>
          <w:bCs/>
          <w:lang w:val="en-US" w:eastAsia="zh-CN"/>
        </w:rPr>
        <w:t>Commercial octaBDE</w:t>
      </w:r>
      <w:r w:rsidRPr="00A4272B">
        <w:rPr>
          <w:lang w:val="en-US" w:eastAsia="zh-CN"/>
        </w:rPr>
        <w:t xml:space="preserve"> is a sum of </w:t>
      </w:r>
      <w:r w:rsidRPr="00A4272B">
        <w:rPr>
          <w:rStyle w:val="cf01"/>
          <w:rFonts w:ascii="Times New Roman" w:hAnsi="Times New Roman" w:cs="Times New Roman"/>
          <w:sz w:val="20"/>
          <w:szCs w:val="20"/>
          <w:lang w:val="en-US"/>
        </w:rPr>
        <w:t>BDE-153, 154, 171, 180, 183, 196, 197, 203, 206, 207, 209;</w:t>
      </w:r>
    </w:p>
    <w:p w14:paraId="642FF304" w14:textId="15A1D697" w:rsidR="00646AA3" w:rsidRPr="00A4272B" w:rsidRDefault="00646AA3">
      <w:pPr>
        <w:numPr>
          <w:ilvl w:val="1"/>
          <w:numId w:val="21"/>
        </w:numPr>
        <w:rPr>
          <w:lang w:val="en-US" w:eastAsia="zh-CN"/>
        </w:rPr>
      </w:pPr>
      <w:r w:rsidRPr="00A4272B">
        <w:rPr>
          <w:b/>
          <w:bCs/>
          <w:lang w:val="en-US" w:eastAsia="zh-CN"/>
        </w:rPr>
        <w:t>Commercial decaBDE</w:t>
      </w:r>
      <w:r w:rsidRPr="00A4272B">
        <w:rPr>
          <w:lang w:val="en-US" w:eastAsia="zh-CN"/>
        </w:rPr>
        <w:t xml:space="preserve"> is </w:t>
      </w:r>
      <w:r w:rsidRPr="00A4272B">
        <w:rPr>
          <w:rStyle w:val="cf01"/>
          <w:rFonts w:ascii="Times New Roman" w:hAnsi="Times New Roman" w:cs="Times New Roman"/>
          <w:sz w:val="20"/>
          <w:szCs w:val="20"/>
          <w:lang w:val="en-US"/>
        </w:rPr>
        <w:t>BDE-209;</w:t>
      </w:r>
    </w:p>
    <w:p w14:paraId="2A43E6BC" w14:textId="02FD5DBB" w:rsidR="00A7361E" w:rsidRPr="00A4272B" w:rsidRDefault="00A7361E">
      <w:pPr>
        <w:numPr>
          <w:ilvl w:val="0"/>
          <w:numId w:val="21"/>
        </w:numPr>
        <w:rPr>
          <w:lang w:val="en-US" w:eastAsia="zh-CN"/>
        </w:rPr>
      </w:pPr>
      <w:r w:rsidRPr="00A4272B">
        <w:rPr>
          <w:b/>
          <w:bCs/>
          <w:lang w:val="en-US" w:eastAsia="zh-CN"/>
        </w:rPr>
        <w:t>HCHs</w:t>
      </w:r>
      <w:r w:rsidRPr="00A4272B">
        <w:rPr>
          <w:lang w:val="en-US" w:eastAsia="zh-CN"/>
        </w:rPr>
        <w:t>: Though listed separately, report the sum of the three isomers (</w:t>
      </w:r>
      <w:r w:rsidR="002A6D39" w:rsidRPr="00A4272B">
        <w:rPr>
          <w:lang w:val="en-US" w:eastAsia="zh-CN"/>
        </w:rPr>
        <w:t>alpha-</w:t>
      </w:r>
      <w:r w:rsidRPr="00A4272B">
        <w:rPr>
          <w:lang w:val="en-US" w:eastAsia="zh-CN"/>
        </w:rPr>
        <w:t xml:space="preserve">HCH, </w:t>
      </w:r>
      <w:r w:rsidR="002A6D39" w:rsidRPr="00A4272B">
        <w:rPr>
          <w:lang w:val="en-US" w:eastAsia="zh-CN"/>
        </w:rPr>
        <w:t>beta</w:t>
      </w:r>
      <w:r w:rsidRPr="00A4272B">
        <w:rPr>
          <w:lang w:val="en-US" w:eastAsia="zh-CN"/>
        </w:rPr>
        <w:t>-HCH, lindane) as ΣHCH(3).</w:t>
      </w:r>
    </w:p>
    <w:p w14:paraId="09F77EA3" w14:textId="24AEED9B" w:rsidR="00A7361E" w:rsidRPr="00A4272B" w:rsidRDefault="00A7361E">
      <w:pPr>
        <w:numPr>
          <w:ilvl w:val="0"/>
          <w:numId w:val="21"/>
        </w:numPr>
        <w:rPr>
          <w:lang w:val="en-US" w:eastAsia="zh-CN"/>
        </w:rPr>
      </w:pPr>
      <w:r w:rsidRPr="00A4272B">
        <w:rPr>
          <w:b/>
          <w:bCs/>
          <w:lang w:val="en-US" w:eastAsia="zh-CN"/>
        </w:rPr>
        <w:t>Endosulfan</w:t>
      </w:r>
      <w:r w:rsidRPr="00A4272B">
        <w:rPr>
          <w:lang w:val="en-US" w:eastAsia="zh-CN"/>
        </w:rPr>
        <w:t xml:space="preserve">: Report </w:t>
      </w:r>
      <w:r w:rsidR="002A6D39" w:rsidRPr="00A4272B">
        <w:rPr>
          <w:lang w:val="en-US" w:eastAsia="zh-CN"/>
        </w:rPr>
        <w:t>alpha-</w:t>
      </w:r>
      <w:r w:rsidRPr="00A4272B">
        <w:rPr>
          <w:lang w:val="en-US" w:eastAsia="zh-CN"/>
        </w:rPr>
        <w:t xml:space="preserve"> and </w:t>
      </w:r>
      <w:r w:rsidR="002A6D39" w:rsidRPr="00A4272B">
        <w:rPr>
          <w:lang w:val="en-US" w:eastAsia="zh-CN"/>
        </w:rPr>
        <w:t>beta</w:t>
      </w:r>
      <w:r w:rsidRPr="00A4272B">
        <w:rPr>
          <w:lang w:val="en-US" w:eastAsia="zh-CN"/>
        </w:rPr>
        <w:t>-isomers and sulfate with their total (Σ</w:t>
      </w:r>
      <w:r w:rsidR="00106F13" w:rsidRPr="00A4272B">
        <w:rPr>
          <w:lang w:val="en-US" w:eastAsia="zh-CN"/>
        </w:rPr>
        <w:t>E</w:t>
      </w:r>
      <w:r w:rsidRPr="00A4272B">
        <w:rPr>
          <w:lang w:val="en-US" w:eastAsia="zh-CN"/>
        </w:rPr>
        <w:t>ndosulfans(3))</w:t>
      </w:r>
      <w:r w:rsidR="003F50B4" w:rsidRPr="00A4272B">
        <w:rPr>
          <w:lang w:val="en-US" w:eastAsia="zh-CN"/>
        </w:rPr>
        <w:t>;</w:t>
      </w:r>
    </w:p>
    <w:p w14:paraId="76C1D980" w14:textId="1C97FCAA" w:rsidR="00A7361E" w:rsidRPr="00A4272B" w:rsidRDefault="00A7361E">
      <w:pPr>
        <w:numPr>
          <w:ilvl w:val="0"/>
          <w:numId w:val="21"/>
        </w:numPr>
        <w:rPr>
          <w:lang w:val="en-US" w:eastAsia="zh-CN"/>
        </w:rPr>
      </w:pPr>
      <w:r w:rsidRPr="00A4272B">
        <w:rPr>
          <w:b/>
          <w:bCs/>
          <w:lang w:val="en-US" w:eastAsia="zh-CN"/>
        </w:rPr>
        <w:t>HBCD</w:t>
      </w:r>
      <w:r w:rsidRPr="00A4272B">
        <w:rPr>
          <w:lang w:val="en-US" w:eastAsia="zh-CN"/>
        </w:rPr>
        <w:t>: Analyze and report the concentrations of three isomers with their sum (ΣHBCD(3)). Note that total HBCD can be analyzed with GC-MS methods and reported as ΣHBCDtotal</w:t>
      </w:r>
      <w:r w:rsidR="003F50B4" w:rsidRPr="00A4272B">
        <w:rPr>
          <w:lang w:val="en-US" w:eastAsia="zh-CN"/>
        </w:rPr>
        <w:t>;</w:t>
      </w:r>
    </w:p>
    <w:p w14:paraId="05C1FCBD" w14:textId="6CB6A8A6" w:rsidR="00A7361E" w:rsidRPr="00A4272B" w:rsidRDefault="00A7361E">
      <w:pPr>
        <w:numPr>
          <w:ilvl w:val="0"/>
          <w:numId w:val="21"/>
        </w:numPr>
        <w:rPr>
          <w:lang w:val="en-US" w:eastAsia="zh-CN"/>
        </w:rPr>
      </w:pPr>
      <w:r w:rsidRPr="00A4272B">
        <w:rPr>
          <w:b/>
          <w:bCs/>
          <w:lang w:val="en-US" w:eastAsia="zh-CN"/>
        </w:rPr>
        <w:t>Toxic Equivalent (TEQ)</w:t>
      </w:r>
      <w:r w:rsidRPr="00A4272B">
        <w:rPr>
          <w:lang w:val="en-US" w:eastAsia="zh-CN"/>
        </w:rPr>
        <w:t>: For PCDD, PCDF, and dl-PCB, report concentrations for all 29 congeners, showing TEQ values for PCDD, PCDF, dl-PCB, and total TEQ. The WHO1998-TEFs are required by the Stockholm Convention (Annex C), but the WHO2005-TEFs (Van den Berg et al., 2006) are also recommended for comparison with other data sources</w:t>
      </w:r>
      <w:r w:rsidR="005C2D53" w:rsidRPr="00A4272B">
        <w:rPr>
          <w:lang w:val="en-US" w:eastAsia="zh-CN"/>
        </w:rPr>
        <w:t xml:space="preserve">. Additionally, the new </w:t>
      </w:r>
      <w:r w:rsidR="005C2D53" w:rsidRPr="00A4272B">
        <w:rPr>
          <w:b/>
          <w:bCs/>
          <w:lang w:val="en-US" w:eastAsia="zh-CN"/>
        </w:rPr>
        <w:t>WHO2022-TEFs</w:t>
      </w:r>
      <w:r w:rsidR="005C2D53" w:rsidRPr="00A4272B">
        <w:rPr>
          <w:lang w:val="en-US" w:eastAsia="zh-CN"/>
        </w:rPr>
        <w:t xml:space="preserve"> should be included to align with the most recent scientific updates and ensure compatibility with evolving international standards. This allows comprehensive trend analysis and comparability across timeframes and datasets</w:t>
      </w:r>
      <w:r w:rsidR="003F50B4" w:rsidRPr="00A4272B">
        <w:rPr>
          <w:lang w:val="en-US" w:eastAsia="zh-CN"/>
        </w:rPr>
        <w:t>;</w:t>
      </w:r>
    </w:p>
    <w:p w14:paraId="7E098E3C" w14:textId="1A0356F0" w:rsidR="00A7361E" w:rsidRPr="00A4272B" w:rsidRDefault="00A7361E">
      <w:pPr>
        <w:numPr>
          <w:ilvl w:val="0"/>
          <w:numId w:val="21"/>
        </w:numPr>
        <w:rPr>
          <w:lang w:val="en-US" w:eastAsia="zh-CN"/>
        </w:rPr>
      </w:pPr>
      <w:r w:rsidRPr="00A4272B">
        <w:rPr>
          <w:b/>
          <w:bCs/>
          <w:lang w:val="en-US" w:eastAsia="zh-CN"/>
        </w:rPr>
        <w:t>Sum of Concentrations</w:t>
      </w:r>
      <w:r w:rsidRPr="00A4272B">
        <w:rPr>
          <w:lang w:val="en-US" w:eastAsia="zh-CN"/>
        </w:rPr>
        <w:t>: Mass concentrations of all analytes, including transformation or precursor compounds, should be summed. Since WHO and national food authorities report POPs in human tissues as equivalents of the parent POP, correction factors should be applied, and these "POP [group/mixture] equivalents" should also be reported for consistency</w:t>
      </w:r>
      <w:r w:rsidR="003F50B4" w:rsidRPr="00A4272B">
        <w:rPr>
          <w:lang w:val="en-US" w:eastAsia="zh-CN"/>
        </w:rPr>
        <w:t>;</w:t>
      </w:r>
    </w:p>
    <w:p w14:paraId="4FA2A11C" w14:textId="41B3D8DD" w:rsidR="00A7361E" w:rsidRPr="00A4272B" w:rsidRDefault="00A7361E">
      <w:pPr>
        <w:numPr>
          <w:ilvl w:val="0"/>
          <w:numId w:val="21"/>
        </w:numPr>
        <w:rPr>
          <w:lang w:val="en-US" w:eastAsia="zh-CN"/>
        </w:rPr>
      </w:pPr>
      <w:r w:rsidRPr="00A4272B">
        <w:rPr>
          <w:b/>
          <w:bCs/>
          <w:lang w:val="en-US" w:eastAsia="zh-CN"/>
        </w:rPr>
        <w:t>Sum Parameters</w:t>
      </w:r>
      <w:r w:rsidRPr="00A4272B">
        <w:rPr>
          <w:lang w:val="en-US" w:eastAsia="zh-CN"/>
        </w:rPr>
        <w:t>: Provide both upper-bound (ND=LOQ) and lower-bound (ND=0) values. To ensure quality, the difference between these bounds should be less than 20%</w:t>
      </w:r>
      <w:r w:rsidR="003F50B4" w:rsidRPr="00A4272B">
        <w:rPr>
          <w:lang w:val="en-US" w:eastAsia="zh-CN"/>
        </w:rPr>
        <w:t>.</w:t>
      </w:r>
    </w:p>
    <w:p w14:paraId="2D0B9F31" w14:textId="7B09F36C" w:rsidR="00A7361E" w:rsidRPr="00A4272B" w:rsidRDefault="00A7361E" w:rsidP="00A7361E">
      <w:pPr>
        <w:rPr>
          <w:lang w:val="en-US" w:eastAsia="zh-CN"/>
        </w:rPr>
      </w:pPr>
      <w:r w:rsidRPr="00A4272B">
        <w:rPr>
          <w:lang w:val="en-US" w:eastAsia="zh-CN"/>
        </w:rPr>
        <w:t xml:space="preserve">For detailed information on analyzing and reporting POPs concentrations, refer to Chapter 5, </w:t>
      </w:r>
      <w:r w:rsidR="0081578F" w:rsidRPr="00A4272B">
        <w:rPr>
          <w:lang w:val="en-US" w:eastAsia="zh-CN"/>
        </w:rPr>
        <w:t>appendix I</w:t>
      </w:r>
      <w:r w:rsidRPr="00A4272B">
        <w:rPr>
          <w:lang w:val="en-US" w:eastAsia="zh-CN"/>
        </w:rPr>
        <w:t>, and specific chapters on matrices like air, human tissues, and water.</w:t>
      </w:r>
    </w:p>
    <w:bookmarkEnd w:id="43"/>
    <w:p w14:paraId="0B5A7734" w14:textId="31EEE2A2" w:rsidR="00F3536C" w:rsidRPr="00A4272B" w:rsidRDefault="00F3536C" w:rsidP="002A04E0">
      <w:pPr>
        <w:pStyle w:val="GMPHeading1"/>
        <w:rPr>
          <w:rFonts w:hint="eastAsia"/>
        </w:rPr>
      </w:pPr>
      <w:r w:rsidRPr="00A4272B">
        <w:rPr>
          <w:sz w:val="22"/>
          <w:szCs w:val="22"/>
        </w:rPr>
        <w:br w:type="page"/>
      </w:r>
      <w:bookmarkStart w:id="44" w:name="_Toc187270473"/>
      <w:r w:rsidR="00CE1A27" w:rsidRPr="00A4272B">
        <w:lastRenderedPageBreak/>
        <w:t>3.</w:t>
      </w:r>
      <w:r w:rsidR="00CE1A27" w:rsidRPr="00A4272B">
        <w:tab/>
        <w:t>S</w:t>
      </w:r>
      <w:r w:rsidRPr="00A4272B">
        <w:t xml:space="preserve">tatistical </w:t>
      </w:r>
      <w:r w:rsidR="009C7F35" w:rsidRPr="00A4272B">
        <w:t>c</w:t>
      </w:r>
      <w:r w:rsidRPr="00A4272B">
        <w:t>onsiderations</w:t>
      </w:r>
      <w:bookmarkEnd w:id="44"/>
    </w:p>
    <w:p w14:paraId="289BBA44" w14:textId="5175E441" w:rsidR="00F3536C" w:rsidRPr="00A4272B" w:rsidRDefault="00820AEF" w:rsidP="005174C9">
      <w:pPr>
        <w:rPr>
          <w:lang w:val="en-US"/>
        </w:rPr>
      </w:pPr>
      <w:r w:rsidRPr="00A4272B">
        <w:rPr>
          <w:color w:val="000000"/>
          <w:u w:color="000000"/>
          <w:lang w:val="en-US"/>
        </w:rPr>
        <w:t xml:space="preserve">This chapter aims to review the statistical requirements necessary for a monitoring </w:t>
      </w:r>
      <w:r w:rsidR="002A6D39" w:rsidRPr="00A4272B">
        <w:rPr>
          <w:color w:val="000000"/>
          <w:u w:color="000000"/>
          <w:lang w:val="en-US"/>
        </w:rPr>
        <w:t xml:space="preserve">programme </w:t>
      </w:r>
      <w:r w:rsidRPr="00A4272B">
        <w:rPr>
          <w:color w:val="000000"/>
          <w:u w:color="000000"/>
          <w:lang w:val="en-US"/>
        </w:rPr>
        <w:t xml:space="preserve">to meet the objectives outlined in Chapter 1. It also introduces methods suitable for analyzing monitoring </w:t>
      </w:r>
      <w:r w:rsidR="002A6D39" w:rsidRPr="00A4272B">
        <w:rPr>
          <w:color w:val="000000"/>
          <w:u w:color="000000"/>
          <w:lang w:val="en-US"/>
        </w:rPr>
        <w:t xml:space="preserve">programme </w:t>
      </w:r>
      <w:r w:rsidRPr="00A4272B">
        <w:rPr>
          <w:color w:val="000000"/>
          <w:u w:color="000000"/>
          <w:lang w:val="en-US"/>
        </w:rPr>
        <w:t>data to derive representative descriptive statistics and identify time patterns and trends. Consideration is given to the robustness and significance of statistical results, including approaches for handling uncertainty.</w:t>
      </w:r>
    </w:p>
    <w:p w14:paraId="79459B44" w14:textId="4542781C" w:rsidR="00F3536C" w:rsidRPr="00A4272B" w:rsidRDefault="00BF0E2F" w:rsidP="00B75519">
      <w:pPr>
        <w:pStyle w:val="GMPHeading2"/>
        <w:tabs>
          <w:tab w:val="clear" w:pos="360"/>
          <w:tab w:val="clear" w:pos="450"/>
          <w:tab w:val="clear" w:pos="540"/>
          <w:tab w:val="clear" w:pos="630"/>
        </w:tabs>
        <w:rPr>
          <w:rFonts w:hint="eastAsia"/>
        </w:rPr>
      </w:pPr>
      <w:bookmarkStart w:id="45" w:name="_Toc1"/>
      <w:bookmarkStart w:id="46" w:name="_Toc187270474"/>
      <w:r w:rsidRPr="00A4272B">
        <w:t>3.1</w:t>
      </w:r>
      <w:r w:rsidRPr="00A4272B">
        <w:tab/>
      </w:r>
      <w:r w:rsidR="00F3536C" w:rsidRPr="00A4272B">
        <w:t>Quantitative objectives</w:t>
      </w:r>
      <w:bookmarkEnd w:id="45"/>
      <w:bookmarkEnd w:id="46"/>
    </w:p>
    <w:p w14:paraId="7FC49021" w14:textId="77777777" w:rsidR="00820AEF" w:rsidRPr="00A4272B" w:rsidRDefault="00820AEF" w:rsidP="00820AEF">
      <w:pPr>
        <w:jc w:val="both"/>
        <w:rPr>
          <w:color w:val="000000"/>
          <w:u w:color="000000"/>
          <w:lang w:val="en-US"/>
        </w:rPr>
      </w:pPr>
      <w:r w:rsidRPr="00A4272B">
        <w:rPr>
          <w:color w:val="000000"/>
          <w:u w:color="000000"/>
          <w:lang w:val="en-US"/>
        </w:rPr>
        <w:t>Carefully defining objectives is essential for planning and organizing effective monitoring activities. This includes selecting sampling matrices, rigorously defining sampling units, and describing what these units represent in time and space—essential for the accurate interpretation of results. To estimate requirements such as the number of samples per occasion, time-series length, and sampling frequency, it is necessary to establish clear qualitative and quantitative objectives, expressed as specific statistical hypotheses.</w:t>
      </w:r>
    </w:p>
    <w:p w14:paraId="7B35F6F7" w14:textId="77777777" w:rsidR="000B5D3E" w:rsidRPr="00A4272B" w:rsidRDefault="000B5D3E" w:rsidP="000B5D3E">
      <w:pPr>
        <w:jc w:val="both"/>
        <w:rPr>
          <w:color w:val="000000"/>
          <w:u w:color="000000"/>
          <w:lang w:val="en-US"/>
        </w:rPr>
      </w:pPr>
      <w:r w:rsidRPr="00A4272B">
        <w:rPr>
          <w:color w:val="000000"/>
          <w:u w:color="000000"/>
          <w:lang w:val="en-US"/>
        </w:rPr>
        <w:t>A qualitative objective for temporal studies could be stated as follows: “To detect a decrease within a 10-year period at a significance level of 5%.”</w:t>
      </w:r>
    </w:p>
    <w:p w14:paraId="605061DB" w14:textId="77777777" w:rsidR="000B5D3E" w:rsidRPr="00A4272B" w:rsidRDefault="000B5D3E" w:rsidP="000B5D3E">
      <w:pPr>
        <w:jc w:val="both"/>
        <w:rPr>
          <w:color w:val="000000"/>
          <w:u w:color="000000"/>
          <w:lang w:val="en-US"/>
        </w:rPr>
      </w:pPr>
      <w:r w:rsidRPr="00A4272B">
        <w:rPr>
          <w:color w:val="000000"/>
          <w:u w:color="000000"/>
          <w:lang w:val="en-US"/>
        </w:rPr>
        <w:t>A quantitative objective for temporal studies could be stated as follows: “To detect a 50% decrease within a 10-year period at a significance level of 5%. (A 50% decrease over 10 years corresponds to an annual decrease of approximately 7%).”</w:t>
      </w:r>
    </w:p>
    <w:p w14:paraId="06C6FFC7" w14:textId="77777777" w:rsidR="000B5D3E" w:rsidRPr="00A4272B" w:rsidRDefault="000B5D3E" w:rsidP="000B5D3E">
      <w:pPr>
        <w:jc w:val="both"/>
        <w:rPr>
          <w:color w:val="000000"/>
          <w:u w:color="000000"/>
          <w:lang w:val="en-US"/>
        </w:rPr>
      </w:pPr>
      <w:r w:rsidRPr="00A4272B">
        <w:rPr>
          <w:color w:val="000000"/>
          <w:u w:color="000000"/>
          <w:lang w:val="en-US"/>
        </w:rPr>
        <w:t>A 5% significance level indicates a 5% probability of incorrectly concluding that a trend exists. Similarly, 80% power means there is a 20% chance of failing to detect a trend when one actually exists. Statistical power and methods for estimating it are discussed in detail by Cohen (1988).</w:t>
      </w:r>
    </w:p>
    <w:p w14:paraId="18FB9319" w14:textId="77777777" w:rsidR="00820AEF" w:rsidRPr="00A4272B" w:rsidRDefault="00820AEF" w:rsidP="00820AEF">
      <w:pPr>
        <w:jc w:val="both"/>
        <w:rPr>
          <w:color w:val="000000"/>
          <w:u w:color="000000"/>
          <w:lang w:val="en-US"/>
        </w:rPr>
      </w:pPr>
      <w:r w:rsidRPr="00A4272B">
        <w:rPr>
          <w:color w:val="000000"/>
          <w:u w:color="000000"/>
          <w:lang w:val="en-US"/>
        </w:rPr>
        <w:t>For temporal trends, it is recommended to first set a qualitative objective (to identify the trend at a given significance level) and then proceed to a quantitative objective if a trend is detected. It is important to note that statistically significant trends do not guarantee that observed changes are causally related to time; bias, lack of comparability over time, or unaccounted confounders can result in “false trends.”</w:t>
      </w:r>
    </w:p>
    <w:p w14:paraId="1B1A7F39" w14:textId="5A4DB7AC" w:rsidR="000B5D3E" w:rsidRPr="00A4272B" w:rsidRDefault="000B5D3E" w:rsidP="000B5D3E">
      <w:pPr>
        <w:jc w:val="both"/>
        <w:rPr>
          <w:color w:val="000000"/>
          <w:u w:color="000000"/>
          <w:lang w:val="en-US"/>
        </w:rPr>
      </w:pPr>
      <w:r w:rsidRPr="00A4272B">
        <w:rPr>
          <w:color w:val="000000"/>
          <w:u w:color="000000"/>
          <w:lang w:val="en-US"/>
        </w:rPr>
        <w:t>Especially in the case of legislative measures (such as listing a compound under the Stockholm Convention), the trend may not be smooth and may instead exhibit changes in slope or even direction. In such cases, rather than merely identifying and quantifying the trend, it is more appropriate to detect a breakpoint and analyze the trends before and after this breakpoint.</w:t>
      </w:r>
    </w:p>
    <w:p w14:paraId="0646F5F6" w14:textId="7AC36599" w:rsidR="00820AEF" w:rsidRPr="00A4272B" w:rsidRDefault="00820AEF" w:rsidP="00820AEF">
      <w:pPr>
        <w:jc w:val="both"/>
        <w:rPr>
          <w:color w:val="000000"/>
          <w:u w:color="000000"/>
          <w:lang w:val="en-US"/>
        </w:rPr>
      </w:pPr>
      <w:r w:rsidRPr="00A4272B">
        <w:rPr>
          <w:color w:val="000000"/>
          <w:u w:color="000000"/>
          <w:lang w:val="en-US"/>
        </w:rPr>
        <w:t xml:space="preserve">An estimate of sample variance, combined with the desired significance level, allows for calculating the sample size needed to detect a significant trend. Since variance is unknown before monitoring, it may be estimated from similar ongoing </w:t>
      </w:r>
      <w:r w:rsidR="002A6D39" w:rsidRPr="00A4272B">
        <w:rPr>
          <w:color w:val="000000"/>
          <w:u w:color="000000"/>
          <w:lang w:val="en-US"/>
        </w:rPr>
        <w:t xml:space="preserve">programmes </w:t>
      </w:r>
      <w:r w:rsidRPr="00A4272B">
        <w:rPr>
          <w:color w:val="000000"/>
          <w:u w:color="000000"/>
          <w:lang w:val="en-US"/>
        </w:rPr>
        <w:t xml:space="preserve">or, more reliably, assessed through a pilot study that uses the same sampling strategy and matrices as the planned monitoring program. For an optimized, cost-effective </w:t>
      </w:r>
      <w:r w:rsidR="00AF4A1F" w:rsidRPr="00A4272B">
        <w:rPr>
          <w:color w:val="000000"/>
          <w:u w:color="000000"/>
          <w:lang w:val="en-US"/>
        </w:rPr>
        <w:t>programme,</w:t>
      </w:r>
      <w:r w:rsidRPr="00A4272B">
        <w:rPr>
          <w:color w:val="000000"/>
          <w:u w:color="000000"/>
          <w:lang w:val="en-US"/>
        </w:rPr>
        <w:t xml:space="preserve"> costs associated with sampling, sample preparation, and chemical analysis should be specified.</w:t>
      </w:r>
    </w:p>
    <w:p w14:paraId="530BA3C2" w14:textId="18441A7E" w:rsidR="00F3536C" w:rsidRPr="00A4272B" w:rsidRDefault="00851B95" w:rsidP="00B75519">
      <w:pPr>
        <w:pStyle w:val="GMPHeading2"/>
        <w:tabs>
          <w:tab w:val="clear" w:pos="360"/>
          <w:tab w:val="clear" w:pos="450"/>
          <w:tab w:val="clear" w:pos="540"/>
          <w:tab w:val="clear" w:pos="630"/>
        </w:tabs>
        <w:rPr>
          <w:rFonts w:hint="eastAsia"/>
        </w:rPr>
      </w:pPr>
      <w:bookmarkStart w:id="47" w:name="_Toc2"/>
      <w:bookmarkStart w:id="48" w:name="_Toc187270475"/>
      <w:r w:rsidRPr="00A4272B">
        <w:t>3.2</w:t>
      </w:r>
      <w:r w:rsidRPr="00A4272B">
        <w:tab/>
      </w:r>
      <w:r w:rsidR="00F3536C" w:rsidRPr="00A4272B">
        <w:t>Statistical methods to be used</w:t>
      </w:r>
      <w:bookmarkEnd w:id="47"/>
      <w:bookmarkEnd w:id="48"/>
    </w:p>
    <w:p w14:paraId="59C05CDD" w14:textId="7168BD52" w:rsidR="004309AD" w:rsidRPr="00A4272B" w:rsidRDefault="004309AD" w:rsidP="00817D9F">
      <w:pPr>
        <w:pStyle w:val="Heading4"/>
        <w:rPr>
          <w:rFonts w:hint="eastAsia"/>
        </w:rPr>
      </w:pPr>
      <w:bookmarkStart w:id="49" w:name="_Toc3"/>
      <w:r w:rsidRPr="00A4272B">
        <w:t>Data pre-processing</w:t>
      </w:r>
    </w:p>
    <w:p w14:paraId="0C8DF0DC" w14:textId="356BB713" w:rsidR="00FE601A" w:rsidRPr="00A4272B" w:rsidRDefault="007742BF" w:rsidP="00FE601A">
      <w:pPr>
        <w:jc w:val="both"/>
        <w:rPr>
          <w:lang w:val="en-US"/>
        </w:rPr>
      </w:pPr>
      <w:r w:rsidRPr="00A4272B">
        <w:rPr>
          <w:lang w:val="en-US"/>
        </w:rPr>
        <w:t>In addition to the data handling practices outlined in Chapter 6, which cover methods for ensuring data completeness and comparability, several considerations for statistical analysis should be addressed before selecting and applying an appropriate method</w:t>
      </w:r>
      <w:r w:rsidR="00FE601A" w:rsidRPr="00A4272B">
        <w:rPr>
          <w:lang w:val="en-US"/>
        </w:rPr>
        <w:t>.</w:t>
      </w:r>
    </w:p>
    <w:p w14:paraId="5DEF0D18" w14:textId="7C2BB200" w:rsidR="00FE601A" w:rsidRPr="00A4272B" w:rsidRDefault="000B5D3E">
      <w:pPr>
        <w:pStyle w:val="ListParagraph"/>
        <w:numPr>
          <w:ilvl w:val="0"/>
          <w:numId w:val="22"/>
        </w:numPr>
      </w:pPr>
      <w:r w:rsidRPr="00A4272B">
        <w:rPr>
          <w:b/>
          <w:bCs/>
        </w:rPr>
        <w:t>Left-censored values:</w:t>
      </w:r>
      <w:r w:rsidRPr="00A4272B">
        <w:t xml:space="preserve"> </w:t>
      </w:r>
      <w:r w:rsidR="007742BF" w:rsidRPr="00A4272B">
        <w:t>Uncertainty due to left-censored values (values below the limit of detection (LOD), limit of quantification (LOQ), or method detection limit (MDL)) is managed by defining intervals with a lower limit of 0 and an upper limit equal to the censoring limit. Regardless of which censoring limit was used for data reporting, it is recommended to preprocess left-censored values according to the following guidelines</w:t>
      </w:r>
      <w:r w:rsidR="00FE601A" w:rsidRPr="00A4272B">
        <w:t>:</w:t>
      </w:r>
    </w:p>
    <w:p w14:paraId="36D62D22" w14:textId="090186F9" w:rsidR="00FE601A" w:rsidRPr="00A4272B" w:rsidRDefault="000B5D3E">
      <w:pPr>
        <w:numPr>
          <w:ilvl w:val="0"/>
          <w:numId w:val="23"/>
        </w:numPr>
        <w:rPr>
          <w:lang w:val="en-US"/>
        </w:rPr>
      </w:pPr>
      <w:r w:rsidRPr="00A4272B">
        <w:rPr>
          <w:b/>
          <w:bCs/>
          <w:lang w:val="en-US"/>
        </w:rPr>
        <w:t xml:space="preserve">Low </w:t>
      </w:r>
      <w:r w:rsidR="007742BF" w:rsidRPr="00A4272B">
        <w:rPr>
          <w:b/>
          <w:bCs/>
          <w:lang w:val="en-US"/>
        </w:rPr>
        <w:t>percentage</w:t>
      </w:r>
      <w:r w:rsidRPr="00A4272B">
        <w:rPr>
          <w:b/>
          <w:bCs/>
          <w:lang w:val="en-US"/>
        </w:rPr>
        <w:t xml:space="preserve"> of left-censored values (</w:t>
      </w:r>
      <w:r w:rsidR="007742BF" w:rsidRPr="00A4272B">
        <w:rPr>
          <w:b/>
          <w:bCs/>
          <w:lang w:val="en-US"/>
        </w:rPr>
        <w:t>&lt; 10% values &lt; limit</w:t>
      </w:r>
      <w:r w:rsidRPr="00A4272B">
        <w:rPr>
          <w:b/>
          <w:bCs/>
          <w:lang w:val="en-US"/>
        </w:rPr>
        <w:t>):</w:t>
      </w:r>
      <w:r w:rsidRPr="00A4272B">
        <w:rPr>
          <w:lang w:val="en-US"/>
        </w:rPr>
        <w:t xml:space="preserve"> </w:t>
      </w:r>
      <w:r w:rsidR="007742BF" w:rsidRPr="00A4272B">
        <w:rPr>
          <w:lang w:val="en-US"/>
        </w:rPr>
        <w:t>For a low number of left-censored values, replace these values with the limit divided by the square root of 2 (~0.707 × limit). This approach is based on the approximately triangular statistical distribution of values between 0 and the limit. More complex imputation methods for left-censored values, such as the MICE algorithm (Van Buuren and Groothuis-Oudshoorn, 2011), can also be applied</w:t>
      </w:r>
      <w:r w:rsidR="003F50B4" w:rsidRPr="00A4272B">
        <w:rPr>
          <w:lang w:val="en-US"/>
        </w:rPr>
        <w:t>;</w:t>
      </w:r>
    </w:p>
    <w:p w14:paraId="03421F0F" w14:textId="77777777" w:rsidR="00B77A4D" w:rsidRPr="00A4272B" w:rsidRDefault="007742BF">
      <w:pPr>
        <w:numPr>
          <w:ilvl w:val="0"/>
          <w:numId w:val="23"/>
        </w:numPr>
        <w:rPr>
          <w:lang w:val="en-US"/>
        </w:rPr>
      </w:pPr>
      <w:r w:rsidRPr="00A4272B">
        <w:rPr>
          <w:b/>
          <w:bCs/>
          <w:lang w:val="en-US"/>
        </w:rPr>
        <w:t>Moderate percentage of left-censored values (10–30% values &lt; limit):</w:t>
      </w:r>
      <w:r w:rsidRPr="00A4272B">
        <w:rPr>
          <w:lang w:val="en-US"/>
        </w:rPr>
        <w:t xml:space="preserve"> </w:t>
      </w:r>
      <w:r w:rsidR="00B77A4D" w:rsidRPr="00A4272B">
        <w:rPr>
          <w:lang w:val="en-US"/>
        </w:rPr>
        <w:t>For a moderate percentage of left-censored values, handling should align with the chosen statistical method</w:t>
      </w:r>
    </w:p>
    <w:p w14:paraId="0C95F268" w14:textId="28BF7944" w:rsidR="00A81219" w:rsidRPr="00A4272B" w:rsidRDefault="00A81219">
      <w:pPr>
        <w:pStyle w:val="ListParagraph"/>
        <w:numPr>
          <w:ilvl w:val="1"/>
          <w:numId w:val="23"/>
        </w:numPr>
        <w:rPr>
          <w:szCs w:val="20"/>
          <w:lang w:eastAsia="ja-JP"/>
        </w:rPr>
      </w:pPr>
      <w:r w:rsidRPr="00A4272B">
        <w:rPr>
          <w:b/>
          <w:bCs/>
          <w:szCs w:val="20"/>
          <w:lang w:eastAsia="ja-JP"/>
        </w:rPr>
        <w:t>Non-parametric methods</w:t>
      </w:r>
      <w:r w:rsidRPr="00A4272B">
        <w:rPr>
          <w:szCs w:val="20"/>
          <w:lang w:eastAsia="ja-JP"/>
        </w:rPr>
        <w:t xml:space="preserve"> (e.g., Theil-Sen estimator, effective up to 30%, and median, effective up to 50%) are more robust and yield stable results even with a higher proportion of censored values. For these methods, use the same replacement value as above (~0.707 × </w:t>
      </w:r>
      <w:r w:rsidRPr="00A4272B">
        <w:rPr>
          <w:szCs w:val="20"/>
          <w:lang w:eastAsia="ja-JP"/>
        </w:rPr>
        <w:lastRenderedPageBreak/>
        <w:t>limit). Additionally, the Regression on Order Substitution method, available in the NADA R package, can be used to impute values (Helsel, 2011; Antweiler, 2015). Instrument-derived values, such as those generated by high-resolution mass spectrometry software, are also suitable for imputing moderately censored results;</w:t>
      </w:r>
    </w:p>
    <w:p w14:paraId="47C83559" w14:textId="549BF3A1" w:rsidR="00A81219" w:rsidRPr="00A4272B" w:rsidRDefault="00A81219">
      <w:pPr>
        <w:pStyle w:val="ListParagraph"/>
        <w:numPr>
          <w:ilvl w:val="1"/>
          <w:numId w:val="23"/>
        </w:numPr>
        <w:rPr>
          <w:szCs w:val="20"/>
        </w:rPr>
      </w:pPr>
      <w:r w:rsidRPr="00A4272B">
        <w:rPr>
          <w:b/>
          <w:bCs/>
          <w:szCs w:val="20"/>
          <w:lang w:eastAsia="ja-JP"/>
        </w:rPr>
        <w:t>Parametric methods</w:t>
      </w:r>
      <w:r w:rsidRPr="00A4272B">
        <w:rPr>
          <w:szCs w:val="20"/>
          <w:lang w:eastAsia="ja-JP"/>
        </w:rPr>
        <w:t xml:space="preserve"> (e.g., simple linear regression or mean calculations) may be affected even by a small number of censored values. For parametric methods, the uncertainty of censored values should be addressed based on the statistical distribution of values below the limit. The Monte Carlo method is recommended for deriving trends and descriptive statistics, including confidence intervals, to account for uncertainty. Aggregated values with this level of left-censored data should be clearly flagged</w:t>
      </w:r>
    </w:p>
    <w:p w14:paraId="589D02DB" w14:textId="318A011D" w:rsidR="00FE601A" w:rsidRPr="00A4272B" w:rsidRDefault="00A81219">
      <w:pPr>
        <w:numPr>
          <w:ilvl w:val="0"/>
          <w:numId w:val="23"/>
        </w:numPr>
        <w:rPr>
          <w:lang w:val="en-US"/>
        </w:rPr>
      </w:pPr>
      <w:r w:rsidRPr="00A4272B">
        <w:rPr>
          <w:b/>
          <w:bCs/>
          <w:lang w:val="en-US"/>
        </w:rPr>
        <w:t>High percentage of left-censored values (&gt; 30% values &lt; limit)</w:t>
      </w:r>
      <w:r w:rsidR="007742BF" w:rsidRPr="00A4272B">
        <w:rPr>
          <w:b/>
          <w:bCs/>
          <w:lang w:val="en-US"/>
        </w:rPr>
        <w:t>:</w:t>
      </w:r>
      <w:r w:rsidR="007742BF" w:rsidRPr="00A4272B">
        <w:rPr>
          <w:lang w:val="en-US"/>
        </w:rPr>
        <w:t xml:space="preserve"> </w:t>
      </w:r>
      <w:r w:rsidRPr="00A4272B">
        <w:rPr>
          <w:lang w:val="en-US"/>
        </w:rPr>
        <w:t>When the proportion of left-censored values exceeds 30%, statistical analysis should not rely on the above imputation methods. Instead, a binary variable approach should be used to indicate whether values are below or above the limit. Analytical methods such as the Fisher exact test or the Χ² test are recommended for such cases</w:t>
      </w:r>
      <w:r w:rsidR="003F50B4" w:rsidRPr="00A4272B">
        <w:rPr>
          <w:lang w:val="en-US"/>
        </w:rPr>
        <w:t>;</w:t>
      </w:r>
    </w:p>
    <w:p w14:paraId="3D461231" w14:textId="045EB661" w:rsidR="00FE601A" w:rsidRPr="00A4272B" w:rsidRDefault="00FE601A">
      <w:pPr>
        <w:pStyle w:val="ListParagraph"/>
        <w:numPr>
          <w:ilvl w:val="0"/>
          <w:numId w:val="22"/>
        </w:numPr>
      </w:pPr>
      <w:r w:rsidRPr="00A4272B">
        <w:rPr>
          <w:b/>
          <w:bCs/>
        </w:rPr>
        <w:t xml:space="preserve">Outlying and </w:t>
      </w:r>
      <w:r w:rsidR="002B66D6" w:rsidRPr="00A4272B">
        <w:rPr>
          <w:b/>
          <w:bCs/>
        </w:rPr>
        <w:t>e</w:t>
      </w:r>
      <w:r w:rsidRPr="00A4272B">
        <w:rPr>
          <w:b/>
          <w:bCs/>
        </w:rPr>
        <w:t xml:space="preserve">xtreme </w:t>
      </w:r>
      <w:r w:rsidR="002B66D6" w:rsidRPr="00A4272B">
        <w:rPr>
          <w:b/>
          <w:bCs/>
        </w:rPr>
        <w:t>v</w:t>
      </w:r>
      <w:r w:rsidRPr="00A4272B">
        <w:rPr>
          <w:b/>
          <w:bCs/>
        </w:rPr>
        <w:t>alues</w:t>
      </w:r>
      <w:r w:rsidR="002B66D6" w:rsidRPr="00A4272B">
        <w:rPr>
          <w:b/>
          <w:bCs/>
        </w:rPr>
        <w:t>:</w:t>
      </w:r>
      <w:r w:rsidR="002B66D6" w:rsidRPr="00A4272B">
        <w:t xml:space="preserve"> </w:t>
      </w:r>
      <w:r w:rsidR="00A81219" w:rsidRPr="00A4272B">
        <w:t>In statistical analysis, validation procedures should exclude obvious extreme or unreliable values from quantitative assessments. Outliers can be identified based on their quantile position within the sample distribution. Estimates of the mean and standard deviation for log-transformed annual aggregates can help reconstruct a log-normal distribution, which can then be used to assess the probabilistic position of each value</w:t>
      </w:r>
      <w:r w:rsidRPr="00A4272B">
        <w:t>.</w:t>
      </w:r>
    </w:p>
    <w:p w14:paraId="50DFA2B1" w14:textId="48D2FD37" w:rsidR="007742BF" w:rsidRPr="00A4272B" w:rsidRDefault="007742BF" w:rsidP="00817D9F">
      <w:pPr>
        <w:pStyle w:val="Heading4"/>
        <w:rPr>
          <w:rFonts w:hint="eastAsia"/>
        </w:rPr>
      </w:pPr>
      <w:r w:rsidRPr="00A4272B">
        <w:t>From primary to aggregated POPs concentrations</w:t>
      </w:r>
    </w:p>
    <w:p w14:paraId="01CAC8D3" w14:textId="77777777" w:rsidR="007742BF" w:rsidRPr="00A4272B" w:rsidRDefault="007742BF" w:rsidP="007742BF">
      <w:pPr>
        <w:rPr>
          <w:lang w:val="en-US"/>
        </w:rPr>
      </w:pPr>
      <w:r w:rsidRPr="00A4272B">
        <w:rPr>
          <w:lang w:val="en-US"/>
        </w:rPr>
        <w:t>The primary source of variability in atmospheric and water concentrations of POPs is seasonal dynamics, which is less pronounced or absent in human tissue data. When primary concentration data sets are available, the impact of seasonality can be quantified and removed from time series using smoothing techniques and adjusted statistical models. Seasonally adjusted time series provide a solid foundation for subsequent trend detection and quantification.</w:t>
      </w:r>
    </w:p>
    <w:p w14:paraId="6308C33D" w14:textId="77777777" w:rsidR="007742BF" w:rsidRPr="00A4272B" w:rsidRDefault="007742BF" w:rsidP="007742BF">
      <w:pPr>
        <w:rPr>
          <w:lang w:val="en-US"/>
        </w:rPr>
      </w:pPr>
      <w:r w:rsidRPr="00A4272B">
        <w:rPr>
          <w:lang w:val="en-US"/>
        </w:rPr>
        <w:t>Annually aggregated data are preferred for spatial and temporal comparisons, as well as for quantifying time-related trends. Due to the approximately log-normal distribution of primary data, the median should be used for annual aggregation. Additionally, aggregated values should include variability estimates derived from the primary data (recommended: minimum-maximum range and/or 5th-95th percentile range).</w:t>
      </w:r>
    </w:p>
    <w:p w14:paraId="2E713D83" w14:textId="1B427155" w:rsidR="007742BF" w:rsidRPr="00A4272B" w:rsidRDefault="007742BF" w:rsidP="007742BF">
      <w:pPr>
        <w:rPr>
          <w:lang w:val="en-US"/>
        </w:rPr>
      </w:pPr>
      <w:r w:rsidRPr="00A4272B">
        <w:rPr>
          <w:lang w:val="en-US"/>
        </w:rPr>
        <w:t>The percentage of left-censored values in the primary records should also be reported. To address the uncertainty introduced by these values, intervals should be defined with a lower bound of 0 and an upper bound equal to the censoring limit.</w:t>
      </w:r>
    </w:p>
    <w:p w14:paraId="1845519F" w14:textId="09ADE4AD" w:rsidR="004309AD" w:rsidRPr="00A4272B" w:rsidRDefault="004309AD" w:rsidP="00817D9F">
      <w:pPr>
        <w:pStyle w:val="Heading4"/>
        <w:rPr>
          <w:rFonts w:hint="eastAsia"/>
        </w:rPr>
      </w:pPr>
      <w:r w:rsidRPr="00A4272B">
        <w:t>Statistical testing and power</w:t>
      </w:r>
      <w:r w:rsidR="00FE601A" w:rsidRPr="00A4272B">
        <w:t xml:space="preserve"> analysis</w:t>
      </w:r>
    </w:p>
    <w:p w14:paraId="2E978C85" w14:textId="77777777" w:rsidR="002B66D6" w:rsidRPr="00A4272B" w:rsidRDefault="002B66D6" w:rsidP="002B66D6">
      <w:pPr>
        <w:rPr>
          <w:lang w:val="en-US"/>
        </w:rPr>
      </w:pPr>
      <w:r w:rsidRPr="00A4272B">
        <w:rPr>
          <w:lang w:val="en-US"/>
        </w:rPr>
        <w:t>Power analysis is essential to determine the magnitude of changes that can be reliably detected by statistical methods, thereby minimizing risks of misinterpretation or overgeneralization. Where necessary, power calculations should be applied for both statistical trend detection (using Pearson or Kendall correlation tests) and quantification (using SLR or Theil-Sen estimators). For analyzing GMP data, especially for time-trend detection, the following approaches are recommended:</w:t>
      </w:r>
    </w:p>
    <w:p w14:paraId="06F6A2E3" w14:textId="7B3E9D79" w:rsidR="002B66D6" w:rsidRPr="00A4272B" w:rsidRDefault="002B66D6">
      <w:pPr>
        <w:numPr>
          <w:ilvl w:val="0"/>
          <w:numId w:val="24"/>
        </w:numPr>
        <w:rPr>
          <w:lang w:val="en-US"/>
        </w:rPr>
      </w:pPr>
      <w:r w:rsidRPr="00A4272B">
        <w:rPr>
          <w:b/>
          <w:bCs/>
          <w:lang w:val="en-US"/>
        </w:rPr>
        <w:t>Quantifying the minimum detectable difference:</w:t>
      </w:r>
      <w:r w:rsidRPr="00A4272B">
        <w:rPr>
          <w:lang w:val="en-US"/>
        </w:rPr>
        <w:t xml:space="preserve"> This approach benchmarks identified changes in annual values against statistically detectable levels to ensure meaningful analysis</w:t>
      </w:r>
      <w:r w:rsidR="003F50B4" w:rsidRPr="00A4272B">
        <w:rPr>
          <w:lang w:val="en-US"/>
        </w:rPr>
        <w:t>;</w:t>
      </w:r>
    </w:p>
    <w:p w14:paraId="3ED38667" w14:textId="42AB5E65" w:rsidR="002B66D6" w:rsidRPr="00A4272B" w:rsidRDefault="002B66D6">
      <w:pPr>
        <w:numPr>
          <w:ilvl w:val="0"/>
          <w:numId w:val="24"/>
        </w:numPr>
        <w:rPr>
          <w:lang w:val="en-US"/>
        </w:rPr>
      </w:pPr>
      <w:r w:rsidRPr="00A4272B">
        <w:rPr>
          <w:b/>
          <w:bCs/>
          <w:lang w:val="en-US"/>
        </w:rPr>
        <w:t>Prospective sample size calculation:</w:t>
      </w:r>
      <w:r w:rsidRPr="00A4272B">
        <w:rPr>
          <w:lang w:val="en-US"/>
        </w:rPr>
        <w:t xml:space="preserve"> This method calculates the sample size necessary to detect a specific relative change in POP concentrations over time (e.g., a 20% annual decrease).</w:t>
      </w:r>
    </w:p>
    <w:p w14:paraId="53D7F023" w14:textId="77777777" w:rsidR="002B66D6" w:rsidRPr="00A4272B" w:rsidRDefault="002B66D6" w:rsidP="002B66D6">
      <w:pPr>
        <w:rPr>
          <w:lang w:val="en-US"/>
        </w:rPr>
      </w:pPr>
      <w:r w:rsidRPr="00A4272B">
        <w:rPr>
          <w:lang w:val="en-US"/>
        </w:rPr>
        <w:t>Additional information on statistical methods can be found in AMAP (2014) and AMAP (2016).</w:t>
      </w:r>
    </w:p>
    <w:p w14:paraId="18D089A4" w14:textId="2A626017" w:rsidR="00A81219" w:rsidRPr="00A4272B" w:rsidRDefault="00A81219" w:rsidP="00817D9F">
      <w:pPr>
        <w:pStyle w:val="Heading4"/>
        <w:rPr>
          <w:rFonts w:hint="eastAsia"/>
        </w:rPr>
      </w:pPr>
      <w:r w:rsidRPr="00A4272B">
        <w:t>Trend detection and quantification</w:t>
      </w:r>
    </w:p>
    <w:p w14:paraId="0E193C0E" w14:textId="77777777" w:rsidR="00A81219" w:rsidRPr="00A4272B" w:rsidRDefault="00A81219" w:rsidP="00A81219">
      <w:pPr>
        <w:rPr>
          <w:lang w:val="en-US"/>
        </w:rPr>
      </w:pPr>
      <w:r w:rsidRPr="00A4272B">
        <w:rPr>
          <w:lang w:val="en-US"/>
        </w:rPr>
        <w:t>Both classical (parametric) and more robust (but lower-powered) non-parametric methods of trend assessment should be used in the statistical analysis of monitoring data. Experience from the first three GMP data collection campaigns in 2008, 2014, and 2020 (GMP1, GMP2, and GMP3 reports) indicates that POP concentrations often follow right-tailed distributions, which approximate a log-normal distribution. This pattern supports the use of logarithmic transformation (base-10, for ease of interpretation) of annually aggregated values.</w:t>
      </w:r>
    </w:p>
    <w:p w14:paraId="792199AF" w14:textId="77777777" w:rsidR="00A81219" w:rsidRPr="00A4272B" w:rsidRDefault="00A81219" w:rsidP="00A81219">
      <w:pPr>
        <w:rPr>
          <w:lang w:val="en-US"/>
        </w:rPr>
      </w:pPr>
      <w:r w:rsidRPr="00A4272B">
        <w:rPr>
          <w:lang w:val="en-US"/>
        </w:rPr>
        <w:t xml:space="preserve">For trend identification, the </w:t>
      </w:r>
      <w:r w:rsidRPr="00A4272B">
        <w:rPr>
          <w:b/>
          <w:bCs/>
          <w:lang w:val="en-US"/>
        </w:rPr>
        <w:t>parametric Pearson correlation test</w:t>
      </w:r>
      <w:r w:rsidRPr="00A4272B">
        <w:rPr>
          <w:lang w:val="en-US"/>
        </w:rPr>
        <w:t xml:space="preserve"> should be used when residuals of the trend (on log-transformed data) are normally distributed. If the residuals are not normally distributed, the </w:t>
      </w:r>
      <w:r w:rsidRPr="00A4272B">
        <w:rPr>
          <w:b/>
          <w:bCs/>
          <w:lang w:val="en-US"/>
        </w:rPr>
        <w:t>non-parametric Kendall correlation test</w:t>
      </w:r>
      <w:r w:rsidRPr="00A4272B">
        <w:rPr>
          <w:lang w:val="en-US"/>
        </w:rPr>
        <w:t xml:space="preserve"> should be applied, and a breakpoint should also be considered in such cases. A 95% confidence level is recommended, and only statistically significant results should proceed to the assessment of quantitative objectives.</w:t>
      </w:r>
    </w:p>
    <w:p w14:paraId="133D18DF" w14:textId="02FDAF68" w:rsidR="00A81219" w:rsidRPr="00A4272B" w:rsidRDefault="00A81219" w:rsidP="00A81219">
      <w:pPr>
        <w:rPr>
          <w:lang w:val="en-US"/>
        </w:rPr>
      </w:pPr>
      <w:r w:rsidRPr="00A4272B">
        <w:rPr>
          <w:lang w:val="en-US"/>
        </w:rPr>
        <w:lastRenderedPageBreak/>
        <w:t>For quantitative objectives, linear trend estimates should be applied:</w:t>
      </w:r>
    </w:p>
    <w:p w14:paraId="562EC371" w14:textId="0A260627" w:rsidR="00A81219" w:rsidRPr="00A4272B" w:rsidRDefault="00A81219">
      <w:pPr>
        <w:numPr>
          <w:ilvl w:val="0"/>
          <w:numId w:val="142"/>
        </w:numPr>
        <w:rPr>
          <w:lang w:val="en-US"/>
        </w:rPr>
      </w:pPr>
      <w:r w:rsidRPr="00A4272B">
        <w:rPr>
          <w:lang w:val="en-US"/>
        </w:rPr>
        <w:t xml:space="preserve">Use </w:t>
      </w:r>
      <w:r w:rsidRPr="00A4272B">
        <w:rPr>
          <w:b/>
          <w:bCs/>
          <w:lang w:val="en-US"/>
        </w:rPr>
        <w:t>simple or multiple linear regression with least squares optimization</w:t>
      </w:r>
      <w:r w:rsidRPr="00A4272B">
        <w:rPr>
          <w:lang w:val="en-US"/>
        </w:rPr>
        <w:t xml:space="preserve"> for normally distributed residuals;</w:t>
      </w:r>
    </w:p>
    <w:p w14:paraId="5B0C9A92" w14:textId="77777777" w:rsidR="00A81219" w:rsidRPr="00A4272B" w:rsidRDefault="00A81219">
      <w:pPr>
        <w:numPr>
          <w:ilvl w:val="0"/>
          <w:numId w:val="142"/>
        </w:numPr>
        <w:rPr>
          <w:lang w:val="en-US"/>
        </w:rPr>
      </w:pPr>
      <w:r w:rsidRPr="00A4272B">
        <w:rPr>
          <w:lang w:val="en-US"/>
        </w:rPr>
        <w:t xml:space="preserve">Use </w:t>
      </w:r>
      <w:r w:rsidRPr="00A4272B">
        <w:rPr>
          <w:b/>
          <w:bCs/>
          <w:lang w:val="en-US"/>
        </w:rPr>
        <w:t>Theil-Sen regression</w:t>
      </w:r>
      <w:r w:rsidRPr="00A4272B">
        <w:rPr>
          <w:lang w:val="en-US"/>
        </w:rPr>
        <w:t xml:space="preserve"> for non-parametric data.</w:t>
      </w:r>
    </w:p>
    <w:p w14:paraId="0D92A8AF" w14:textId="77777777" w:rsidR="00A81219" w:rsidRPr="00A4272B" w:rsidRDefault="00A81219" w:rsidP="00A81219">
      <w:pPr>
        <w:rPr>
          <w:lang w:val="en-US"/>
        </w:rPr>
      </w:pPr>
      <w:r w:rsidRPr="00A4272B">
        <w:rPr>
          <w:lang w:val="en-US"/>
        </w:rPr>
        <w:t xml:space="preserve">These methods should be applied to aggregated log-transformed data to approximate a first-order kinetic temporal change (logarithmic decrease or increase in concentration). The preferred quantitative trend outcomes are </w:t>
      </w:r>
      <w:r w:rsidRPr="00A4272B">
        <w:rPr>
          <w:b/>
          <w:bCs/>
          <w:lang w:val="en-US"/>
        </w:rPr>
        <w:t>annual percent change</w:t>
      </w:r>
      <w:r w:rsidRPr="00A4272B">
        <w:rPr>
          <w:lang w:val="en-US"/>
        </w:rPr>
        <w:t xml:space="preserve">, followed by the </w:t>
      </w:r>
      <w:r w:rsidRPr="00A4272B">
        <w:rPr>
          <w:b/>
          <w:bCs/>
          <w:lang w:val="en-US"/>
        </w:rPr>
        <w:t>half-life</w:t>
      </w:r>
      <w:r w:rsidRPr="00A4272B">
        <w:rPr>
          <w:lang w:val="en-US"/>
        </w:rPr>
        <w:t xml:space="preserve"> of compounds in the specified matrix.</w:t>
      </w:r>
    </w:p>
    <w:p w14:paraId="24B1B67D" w14:textId="2820AE88" w:rsidR="00A81219" w:rsidRPr="00A4272B" w:rsidRDefault="00A81219" w:rsidP="00817D9F">
      <w:pPr>
        <w:pStyle w:val="Heading4"/>
        <w:rPr>
          <w:rFonts w:hint="eastAsia"/>
        </w:rPr>
      </w:pPr>
      <w:r w:rsidRPr="00A4272B">
        <w:t>Break point search</w:t>
      </w:r>
    </w:p>
    <w:p w14:paraId="38D99EDC" w14:textId="77777777" w:rsidR="00A81219" w:rsidRPr="00A4272B" w:rsidRDefault="00A81219" w:rsidP="00A81219">
      <w:pPr>
        <w:rPr>
          <w:lang w:val="en-US"/>
        </w:rPr>
      </w:pPr>
      <w:r w:rsidRPr="00A4272B">
        <w:rPr>
          <w:lang w:val="en-US"/>
        </w:rPr>
        <w:t>Trend characteristics (such as direction and slope) may vary before and after a specific event, for example, the listing of a compound under the Stockholm Convention. The point at which such an event occurs is called a breakpoint, and its presence in a time series may be indicated by non-normality of the trend residuals.</w:t>
      </w:r>
    </w:p>
    <w:p w14:paraId="12A1BD8D" w14:textId="05462441" w:rsidR="00A81219" w:rsidRPr="00A4272B" w:rsidRDefault="00A81219" w:rsidP="00A81219">
      <w:pPr>
        <w:rPr>
          <w:lang w:val="en-US"/>
        </w:rPr>
      </w:pPr>
      <w:r w:rsidRPr="00A4272B">
        <w:rPr>
          <w:lang w:val="en-US"/>
        </w:rPr>
        <w:t>If the normality of multiple linear regression (MLR) trend residuals is violated, a method for identifying the breakpoint should be applied (Hites, 2019). If no significant breakpoint is identified (at a 95% confidence level), the non-parametric trend estimate should be used.</w:t>
      </w:r>
    </w:p>
    <w:p w14:paraId="65CFA39C" w14:textId="737EA329" w:rsidR="00F3536C" w:rsidRPr="00A4272B" w:rsidRDefault="00836B2C" w:rsidP="009C240D">
      <w:pPr>
        <w:pStyle w:val="GMPHeading2"/>
        <w:tabs>
          <w:tab w:val="clear" w:pos="360"/>
          <w:tab w:val="clear" w:pos="450"/>
          <w:tab w:val="clear" w:pos="540"/>
          <w:tab w:val="clear" w:pos="630"/>
        </w:tabs>
        <w:rPr>
          <w:rFonts w:hint="eastAsia"/>
        </w:rPr>
      </w:pPr>
      <w:bookmarkStart w:id="50" w:name="_Toc187270476"/>
      <w:r w:rsidRPr="00A4272B">
        <w:t>3.3</w:t>
      </w:r>
      <w:r w:rsidRPr="00A4272B">
        <w:tab/>
      </w:r>
      <w:r w:rsidR="00F3536C" w:rsidRPr="00A4272B">
        <w:t>Sources of variation</w:t>
      </w:r>
      <w:bookmarkEnd w:id="49"/>
      <w:bookmarkEnd w:id="50"/>
    </w:p>
    <w:p w14:paraId="3318F9F5" w14:textId="40381B5D" w:rsidR="00487A07" w:rsidRPr="00A4272B" w:rsidRDefault="00487A07" w:rsidP="00487A07">
      <w:pPr>
        <w:rPr>
          <w:u w:color="000000"/>
          <w:lang w:val="en-US"/>
        </w:rPr>
      </w:pPr>
      <w:bookmarkStart w:id="51" w:name="_Toc4"/>
      <w:r w:rsidRPr="00A4272B">
        <w:rPr>
          <w:u w:color="000000"/>
          <w:lang w:val="en-US"/>
        </w:rPr>
        <w:t xml:space="preserve">Numerous factors influence measured concentrations in environmental and human biomonitoring samples, independent of time or anthropogenic activity. In monitoring </w:t>
      </w:r>
      <w:r w:rsidR="002A6D39" w:rsidRPr="00A4272B">
        <w:rPr>
          <w:u w:color="000000"/>
          <w:lang w:val="en-US"/>
        </w:rPr>
        <w:t xml:space="preserve">programmes </w:t>
      </w:r>
      <w:r w:rsidRPr="00A4272B">
        <w:rPr>
          <w:u w:color="000000"/>
          <w:lang w:val="en-US"/>
        </w:rPr>
        <w:t xml:space="preserve">designed to assess the effectiveness of measures to reduce contaminant discharges from industrial activities or pesticide use, these factors are considered confounders. Avoiding or adjusting for confounders can significantly enhance the statistical power of monitoring </w:t>
      </w:r>
      <w:r w:rsidR="002A6D39" w:rsidRPr="00A4272B">
        <w:rPr>
          <w:u w:color="000000"/>
          <w:lang w:val="en-US"/>
        </w:rPr>
        <w:t xml:space="preserve">programmes </w:t>
      </w:r>
      <w:r w:rsidRPr="00A4272B">
        <w:rPr>
          <w:u w:color="000000"/>
          <w:lang w:val="en-US"/>
        </w:rPr>
        <w:t>(Grimås et al., 1985; Nicholson et al., 1991b; Bignert, 2002).</w:t>
      </w:r>
    </w:p>
    <w:p w14:paraId="6039F9ED" w14:textId="77777777" w:rsidR="00487A07" w:rsidRPr="00A4272B" w:rsidRDefault="00487A07" w:rsidP="00487A07">
      <w:pPr>
        <w:rPr>
          <w:u w:color="000000"/>
          <w:lang w:val="en-US"/>
        </w:rPr>
      </w:pPr>
      <w:r w:rsidRPr="00A4272B">
        <w:rPr>
          <w:u w:color="000000"/>
          <w:lang w:val="en-US"/>
        </w:rPr>
        <w:t>Seasonal variations in the concentrations of several POPs (e.g., PCBs, PCDDs/PCDFs, DDTs, and HCB) have been observed in both environmental and human samples. These variations may result from seasonal changes in discharge patterns, phase partitioning, or physiological factors. When the primary objective is to monitor long-term pollution trends rather than seasonal discharge patterns, sampling can be limited to one season (the season with minimal random variation) or, preferably, multiple samples can be aggregated annually, as discussed above.</w:t>
      </w:r>
    </w:p>
    <w:p w14:paraId="2B35F5B4" w14:textId="12B66C55" w:rsidR="00487A07" w:rsidRPr="00A4272B" w:rsidRDefault="00487A07" w:rsidP="00487A07">
      <w:pPr>
        <w:rPr>
          <w:u w:color="000000"/>
          <w:lang w:val="en-US"/>
        </w:rPr>
      </w:pPr>
      <w:r w:rsidRPr="00A4272B">
        <w:rPr>
          <w:u w:color="000000"/>
          <w:lang w:val="en-US"/>
        </w:rPr>
        <w:t>In ambient air, strong seasonal variations—especially in temperate climates—are influenced by changing weather conditions, primary emission sources, and revolatilization from secondary sources (e.g., Holt et al., 2017). For instance, organochlorine pesticide (OCP) concentrations may be higher in summer due to increased revolatilization and agricultural activities. Therefore, statistical evaluations sensitive to seasonal fluctuations require data covering an entire year. Annual aggregation helps eliminate seasonal variability (Kalina</w:t>
      </w:r>
      <w:r w:rsidR="0016212E" w:rsidRPr="00A4272B">
        <w:rPr>
          <w:u w:color="000000"/>
          <w:lang w:val="en-US"/>
        </w:rPr>
        <w:t xml:space="preserve"> et al.</w:t>
      </w:r>
      <w:r w:rsidRPr="00A4272B">
        <w:rPr>
          <w:u w:color="000000"/>
          <w:lang w:val="en-US"/>
        </w:rPr>
        <w:t>, 2017). To obtain a representative annual value, data should ideally cover the whole year, with continuous monitoring or at least four samples across significant seasons in temperate climates. If sampling in the initial or final year of a time series is incomplete, those years should be excluded from aggregation to avoid bias.</w:t>
      </w:r>
    </w:p>
    <w:p w14:paraId="70824894" w14:textId="64EC60A4" w:rsidR="00487A07" w:rsidRPr="00A4272B" w:rsidRDefault="00487A07" w:rsidP="00532135">
      <w:pPr>
        <w:rPr>
          <w:u w:color="000000"/>
          <w:lang w:val="en-US"/>
        </w:rPr>
      </w:pPr>
      <w:r w:rsidRPr="00A4272B">
        <w:rPr>
          <w:u w:color="000000"/>
          <w:lang w:val="en-US"/>
        </w:rPr>
        <w:t>In human milk, fat content and composition change substantially during the first few weeks postpartum, leading to variability in POP concentrations (e.g., Weiss et al., 2003). To minimize random variation, sampling should ideally occur within a defined three-week period after birth, as fat content also varies depending on whether the sample is taken at the beginning or end of a feeding session. Other known or suspected confounding factors that can be controlled during sampling should be specified in monitoring guidelines.</w:t>
      </w:r>
    </w:p>
    <w:p w14:paraId="5127385F" w14:textId="77777777" w:rsidR="00487A07" w:rsidRPr="00A4272B" w:rsidRDefault="00487A07" w:rsidP="00487A07">
      <w:pPr>
        <w:rPr>
          <w:u w:color="000000"/>
          <w:lang w:val="en-US"/>
        </w:rPr>
      </w:pPr>
      <w:r w:rsidRPr="00A4272B">
        <w:rPr>
          <w:u w:color="000000"/>
          <w:lang w:val="en-US"/>
        </w:rPr>
        <w:t>A narrow sampling unit definition often limits the representativeness of the population studied, which can lead to assumptions about trends that may not hold across different subgroups (e.g., sexes or age groups). Where resources allow, stratified sampling can improve representativeness over broader sampling unit definitions. General aspects of sampling design, applicable to monitoring, are discussed by Underwood (1993, 1994, 1996).</w:t>
      </w:r>
    </w:p>
    <w:p w14:paraId="68AA6FD9" w14:textId="6DBED03C" w:rsidR="00487A07" w:rsidRPr="00A4272B" w:rsidRDefault="00487A07" w:rsidP="00487A07">
      <w:pPr>
        <w:rPr>
          <w:u w:color="000000"/>
          <w:lang w:val="en-US"/>
        </w:rPr>
      </w:pPr>
      <w:r w:rsidRPr="00A4272B">
        <w:rPr>
          <w:u w:color="000000"/>
          <w:lang w:val="en-US"/>
        </w:rPr>
        <w:t xml:space="preserve">In </w:t>
      </w:r>
      <w:r w:rsidR="00532135" w:rsidRPr="00A4272B">
        <w:rPr>
          <w:u w:color="000000"/>
          <w:lang w:val="en-US"/>
        </w:rPr>
        <w:t>the environmental</w:t>
      </w:r>
      <w:r w:rsidRPr="00A4272B">
        <w:rPr>
          <w:u w:color="000000"/>
          <w:lang w:val="en-US"/>
        </w:rPr>
        <w:t xml:space="preserve"> monitoring time-series, where sample variability is often large, the precision of chemical analysis typically constitutes only a small portion of the total variance. This assumption holds if the same accredited laboratory performs the analysis throughout the series. However, using different laboratories over time or if a single laboratory changes methodologies can impair time-series evaluation, particularly for POPs. For example, resolving co-elutions may decrease estimated concentrations unless corrective measures are applied. Improved detection limits may also introduce inconsistencies, particularly if results below the limit of quantification (LOQ) are handled differently.</w:t>
      </w:r>
    </w:p>
    <w:p w14:paraId="37D61B39" w14:textId="7F9A5E40" w:rsidR="00FE601A" w:rsidRPr="00A4272B" w:rsidRDefault="00487A07" w:rsidP="00FE601A">
      <w:pPr>
        <w:rPr>
          <w:u w:color="000000"/>
          <w:lang w:val="en-US"/>
        </w:rPr>
      </w:pPr>
      <w:r w:rsidRPr="00A4272B">
        <w:rPr>
          <w:u w:color="000000"/>
          <w:lang w:val="en-US"/>
        </w:rPr>
        <w:t>When individual samples are taken and relevant confounding variables are documented during chemical analysis, concentrations may be adjusted for varying covariates using methods such as Analysis of Covariance (ANCOVA) or Multiple Linear Regression (MLR). These adjustments can significantly improve the power to detect temporal changes or differences among sites (Bignert, 2002). Additionally, identifying and eliminating erroneous extreme values further enhances statistical power (Barnett and Lewis, 1994; Nicholson et al., 1998; Bignert, 2002).</w:t>
      </w:r>
    </w:p>
    <w:p w14:paraId="38545285" w14:textId="1B026D1F" w:rsidR="00F3536C" w:rsidRPr="00A4272B" w:rsidRDefault="00BA1CB1" w:rsidP="009C240D">
      <w:pPr>
        <w:pStyle w:val="GMPHeading2"/>
        <w:tabs>
          <w:tab w:val="clear" w:pos="360"/>
          <w:tab w:val="clear" w:pos="450"/>
          <w:tab w:val="clear" w:pos="540"/>
          <w:tab w:val="clear" w:pos="630"/>
        </w:tabs>
        <w:rPr>
          <w:rFonts w:hint="eastAsia"/>
        </w:rPr>
      </w:pPr>
      <w:bookmarkStart w:id="52" w:name="_Toc187270477"/>
      <w:r w:rsidRPr="00A4272B">
        <w:lastRenderedPageBreak/>
        <w:t>3.4</w:t>
      </w:r>
      <w:r w:rsidRPr="00A4272B">
        <w:tab/>
      </w:r>
      <w:r w:rsidR="00F3536C" w:rsidRPr="00A4272B">
        <w:t>Length of time-series</w:t>
      </w:r>
      <w:bookmarkEnd w:id="51"/>
      <w:bookmarkEnd w:id="52"/>
    </w:p>
    <w:p w14:paraId="271EADEC" w14:textId="43A3FEC4" w:rsidR="002B66D6" w:rsidRPr="00A4272B" w:rsidRDefault="00413F15" w:rsidP="002B66D6">
      <w:pPr>
        <w:rPr>
          <w:color w:val="000000"/>
          <w:u w:color="000000"/>
          <w:lang w:val="en-US"/>
        </w:rPr>
      </w:pPr>
      <w:r w:rsidRPr="00A4272B">
        <w:rPr>
          <w:color w:val="000000"/>
          <w:u w:color="000000"/>
          <w:lang w:val="en-US"/>
        </w:rPr>
        <w:t xml:space="preserve">It is important to note that even for spatial studies, only a few years of sampling are usually insufficient and may lead to misleading results (Bignert et al., 1994). </w:t>
      </w:r>
      <w:r w:rsidR="002B66D6" w:rsidRPr="00A4272B">
        <w:rPr>
          <w:color w:val="000000"/>
          <w:u w:color="000000"/>
          <w:lang w:val="en-US"/>
        </w:rPr>
        <w:t>Expecting a monitoring time-series for POPs to reveal meaningful changes within a sampling period shorter than five years is unrealistic unless the changes are very steep. More realistically, a minimum of 10–15 years is needed to detect significant trends of moderate size (approximately 5% per year).</w:t>
      </w:r>
    </w:p>
    <w:p w14:paraId="611FAC08" w14:textId="77777777" w:rsidR="002B66D6" w:rsidRPr="00A4272B" w:rsidRDefault="002B66D6" w:rsidP="002B66D6">
      <w:pPr>
        <w:rPr>
          <w:color w:val="000000"/>
          <w:u w:color="000000"/>
          <w:lang w:val="en-US"/>
        </w:rPr>
      </w:pPr>
      <w:r w:rsidRPr="00A4272B">
        <w:rPr>
          <w:color w:val="000000"/>
          <w:u w:color="000000"/>
          <w:lang w:val="en-US"/>
        </w:rPr>
        <w:t>While parametric methods may theoretically identify and quantify trends based on as few as three consecutive data points under optimal conditions, in practice, a monitoring period of at least five years is the absolute minimum required to obtain reliable estimates of random variation within and between years, as well as other variance components. Such information is invaluable for improving and fine-tuning ongoing monitoring activities.</w:t>
      </w:r>
    </w:p>
    <w:p w14:paraId="40FDBCE9" w14:textId="5BAD035B" w:rsidR="00F3536C" w:rsidRPr="00A4272B" w:rsidRDefault="00392C0F" w:rsidP="009C240D">
      <w:pPr>
        <w:pStyle w:val="GMPHeading2"/>
        <w:tabs>
          <w:tab w:val="clear" w:pos="360"/>
          <w:tab w:val="clear" w:pos="450"/>
          <w:tab w:val="clear" w:pos="540"/>
          <w:tab w:val="clear" w:pos="630"/>
        </w:tabs>
        <w:rPr>
          <w:rFonts w:hint="eastAsia"/>
        </w:rPr>
      </w:pPr>
      <w:bookmarkStart w:id="53" w:name="_Toc5"/>
      <w:bookmarkStart w:id="54" w:name="_Toc187270478"/>
      <w:r w:rsidRPr="00A4272B">
        <w:t>3.5</w:t>
      </w:r>
      <w:r w:rsidRPr="00A4272B">
        <w:tab/>
      </w:r>
      <w:r w:rsidR="00F3536C" w:rsidRPr="00A4272B">
        <w:t>Number of samples needed</w:t>
      </w:r>
      <w:bookmarkEnd w:id="53"/>
      <w:bookmarkEnd w:id="54"/>
    </w:p>
    <w:p w14:paraId="35F2050E" w14:textId="77777777" w:rsidR="00B53585" w:rsidRPr="00A4272B" w:rsidRDefault="00B53585" w:rsidP="00B53585">
      <w:pPr>
        <w:rPr>
          <w:color w:val="000000"/>
          <w:u w:color="000000"/>
          <w:lang w:val="en-US"/>
        </w:rPr>
      </w:pPr>
      <w:r w:rsidRPr="00A4272B">
        <w:rPr>
          <w:color w:val="000000"/>
          <w:u w:color="000000"/>
          <w:lang w:val="en-US"/>
        </w:rPr>
        <w:t>Larger sample sets improve the precision and reliability of estimates for mean concentrations and variance. However, the benefit of additional samples depends significantly on the sampling strategy.</w:t>
      </w:r>
    </w:p>
    <w:p w14:paraId="68B789FF" w14:textId="77777777" w:rsidR="00B53585" w:rsidRPr="00A4272B" w:rsidRDefault="00B53585" w:rsidP="00B53585">
      <w:pPr>
        <w:rPr>
          <w:color w:val="000000"/>
          <w:u w:color="000000"/>
          <w:lang w:val="en-US"/>
        </w:rPr>
      </w:pPr>
      <w:r w:rsidRPr="00A4272B">
        <w:rPr>
          <w:color w:val="000000"/>
          <w:u w:color="000000"/>
          <w:lang w:val="en-US"/>
        </w:rPr>
        <w:t>To determine the sample size needed for quantitative objectives, expected variance information is essential. Non-parametric statistics generally require more samples. Based on experience from the first three POPs monitoring collection campaigns, identifying a trend (such as a 5% decrease in POP concentrations at a 5% significance level) typically requires 7 to 10 years of data, while steep trends may be detectable after five years of monitoring.</w:t>
      </w:r>
    </w:p>
    <w:p w14:paraId="01D26968" w14:textId="77777777" w:rsidR="00B53585" w:rsidRPr="00A4272B" w:rsidRDefault="00B53585" w:rsidP="00B53585">
      <w:pPr>
        <w:rPr>
          <w:color w:val="000000"/>
          <w:u w:color="000000"/>
          <w:lang w:val="en-US"/>
        </w:rPr>
      </w:pPr>
      <w:r w:rsidRPr="00A4272B">
        <w:rPr>
          <w:color w:val="000000"/>
          <w:u w:color="000000"/>
          <w:lang w:val="en-US"/>
        </w:rPr>
        <w:t>Small-scale spatial and temporal variations might not be captured by the sampling scheme, leading to underestimated variance and increased between-year variation. Bjerkeng (2000) showed that sampling three times within the period, using the same or fewer samples, could reduce yearly mean variance estimates by up to 65%. Stratified sampling and the choice between individual and pooled samples for human matrices also influence sample requirements. Without this background, calculating an optimal sample size is difficult.</w:t>
      </w:r>
    </w:p>
    <w:p w14:paraId="461A5290" w14:textId="77777777" w:rsidR="00B53585" w:rsidRPr="00A4272B" w:rsidRDefault="00B53585" w:rsidP="00B53585">
      <w:pPr>
        <w:rPr>
          <w:color w:val="000000"/>
          <w:u w:color="000000"/>
          <w:lang w:val="en-US"/>
        </w:rPr>
      </w:pPr>
      <w:r w:rsidRPr="00A4272B">
        <w:rPr>
          <w:color w:val="000000"/>
          <w:u w:color="000000"/>
          <w:lang w:val="en-US"/>
        </w:rPr>
        <w:t>Pooled samples reduce the number of chemical analyses needed for a reliable mean concentration by representing a larger population. However, pooled samples may mask extreme values from individual specimens and make it impossible to adjust for confounders or correlate with biological effects. Information on individual yearly variance is valuable, as increased variance may signal elevated concentrations. In the early stages of establishing a sampling site, individual samples can help identify sources of variation. A detailed discussion of individual versus pooled samples is provided by Bignert et al. (1993).</w:t>
      </w:r>
    </w:p>
    <w:p w14:paraId="0FF1F4F6" w14:textId="38A9FBE7" w:rsidR="00F3536C" w:rsidRPr="00A4272B" w:rsidRDefault="00B53585" w:rsidP="00B53585">
      <w:pPr>
        <w:rPr>
          <w:color w:val="000000"/>
          <w:u w:color="000000"/>
          <w:lang w:val="en-US"/>
        </w:rPr>
      </w:pPr>
      <w:r w:rsidRPr="00A4272B">
        <w:rPr>
          <w:color w:val="000000"/>
          <w:u w:color="000000"/>
          <w:lang w:val="en-US"/>
        </w:rPr>
        <w:t>Additional guidance can be found in monitoring documents from EMEP/EBAS, OSPAR, and HELCOM.</w:t>
      </w:r>
      <w:r w:rsidR="00F3536C" w:rsidRPr="00A4272B">
        <w:rPr>
          <w:vertAlign w:val="superscript"/>
          <w:lang w:val="en-US"/>
        </w:rPr>
        <w:footnoteReference w:id="12"/>
      </w:r>
    </w:p>
    <w:p w14:paraId="0BAABD20" w14:textId="45469D55" w:rsidR="00F3536C" w:rsidRPr="00A4272B" w:rsidRDefault="00392C0F" w:rsidP="009C240D">
      <w:pPr>
        <w:pStyle w:val="GMPHeading2"/>
        <w:tabs>
          <w:tab w:val="clear" w:pos="360"/>
          <w:tab w:val="clear" w:pos="450"/>
          <w:tab w:val="clear" w:pos="540"/>
          <w:tab w:val="clear" w:pos="630"/>
        </w:tabs>
        <w:rPr>
          <w:rFonts w:hint="eastAsia"/>
        </w:rPr>
      </w:pPr>
      <w:bookmarkStart w:id="55" w:name="_Toc187270479"/>
      <w:r w:rsidRPr="00A4272B">
        <w:t>3.6</w:t>
      </w:r>
      <w:r w:rsidRPr="00A4272B">
        <w:tab/>
      </w:r>
      <w:r w:rsidR="00F3536C" w:rsidRPr="00A4272B">
        <w:t>Outcomes of statistical processing</w:t>
      </w:r>
      <w:bookmarkEnd w:id="55"/>
    </w:p>
    <w:p w14:paraId="1D4E555B" w14:textId="77777777" w:rsidR="00B53585" w:rsidRPr="00A4272B" w:rsidRDefault="00B53585" w:rsidP="00B53585">
      <w:pPr>
        <w:rPr>
          <w:lang w:val="en-US"/>
        </w:rPr>
      </w:pPr>
      <w:r w:rsidRPr="00A4272B">
        <w:rPr>
          <w:lang w:val="en-US"/>
        </w:rPr>
        <w:t>Proposed outcomes for the statistical processing of GMP data include:</w:t>
      </w:r>
    </w:p>
    <w:p w14:paraId="4C3F04E5" w14:textId="77777777" w:rsidR="00413F15" w:rsidRPr="00A4272B" w:rsidRDefault="00B53585">
      <w:pPr>
        <w:numPr>
          <w:ilvl w:val="0"/>
          <w:numId w:val="25"/>
        </w:numPr>
        <w:rPr>
          <w:lang w:val="en-US"/>
        </w:rPr>
      </w:pPr>
      <w:r w:rsidRPr="00A4272B">
        <w:rPr>
          <w:lang w:val="en-US"/>
        </w:rPr>
        <w:t>Summary statistics for atmospheric POP concentrations based on annual aggregates;</w:t>
      </w:r>
    </w:p>
    <w:p w14:paraId="6793CA06" w14:textId="4409EFBD" w:rsidR="00413F15" w:rsidRPr="00A4272B" w:rsidRDefault="00B53585">
      <w:pPr>
        <w:numPr>
          <w:ilvl w:val="0"/>
          <w:numId w:val="25"/>
        </w:numPr>
        <w:rPr>
          <w:rStyle w:val="dn"/>
          <w:lang w:val="en-US"/>
        </w:rPr>
      </w:pPr>
      <w:r w:rsidRPr="00A4272B">
        <w:rPr>
          <w:lang w:val="en-US"/>
        </w:rPr>
        <w:t xml:space="preserve">Parameters of the annual aggregation (e.g., sample count, percentage of </w:t>
      </w:r>
      <w:r w:rsidR="00413F15" w:rsidRPr="00A4272B">
        <w:rPr>
          <w:rStyle w:val="dn"/>
          <w:lang w:val="en-US"/>
        </w:rPr>
        <w:t>left-censored values);</w:t>
      </w:r>
    </w:p>
    <w:p w14:paraId="6878C749" w14:textId="62905C12" w:rsidR="00413F15" w:rsidRPr="00A4272B" w:rsidRDefault="00413F15">
      <w:pPr>
        <w:numPr>
          <w:ilvl w:val="0"/>
          <w:numId w:val="25"/>
        </w:numPr>
        <w:rPr>
          <w:lang w:val="en-US"/>
        </w:rPr>
      </w:pPr>
      <w:r w:rsidRPr="00A4272B">
        <w:rPr>
          <w:rStyle w:val="dn"/>
          <w:lang w:val="en-US"/>
        </w:rPr>
        <w:t>Presence of a break point;</w:t>
      </w:r>
    </w:p>
    <w:p w14:paraId="0E755F03" w14:textId="77777777" w:rsidR="00B53585" w:rsidRPr="00A4272B" w:rsidRDefault="00B53585">
      <w:pPr>
        <w:numPr>
          <w:ilvl w:val="0"/>
          <w:numId w:val="25"/>
        </w:numPr>
        <w:rPr>
          <w:lang w:val="en-US"/>
        </w:rPr>
      </w:pPr>
      <w:r w:rsidRPr="00A4272B">
        <w:rPr>
          <w:lang w:val="en-US"/>
        </w:rPr>
        <w:t>Trend identification and statistical significance;</w:t>
      </w:r>
    </w:p>
    <w:p w14:paraId="47CAC105" w14:textId="7ABD5F08" w:rsidR="00B53585" w:rsidRPr="00A4272B" w:rsidRDefault="00817D9F">
      <w:pPr>
        <w:numPr>
          <w:ilvl w:val="0"/>
          <w:numId w:val="25"/>
        </w:numPr>
        <w:rPr>
          <w:lang w:val="en-US"/>
        </w:rPr>
      </w:pPr>
      <w:r w:rsidRPr="00A4272B">
        <w:rPr>
          <w:lang w:val="en-US"/>
        </w:rPr>
        <w:t>Trend quantification</w:t>
      </w:r>
      <w:r w:rsidR="00B53585" w:rsidRPr="00A4272B">
        <w:rPr>
          <w:lang w:val="en-US"/>
        </w:rPr>
        <w:t xml:space="preserve"> expressed as relative annual change or halving/doubling time.</w:t>
      </w:r>
    </w:p>
    <w:p w14:paraId="16A46784" w14:textId="2F012E04" w:rsidR="00F3536C" w:rsidRPr="00A4272B" w:rsidRDefault="00F3536C" w:rsidP="00817D9F">
      <w:pPr>
        <w:pStyle w:val="Heading4"/>
        <w:rPr>
          <w:rFonts w:hint="eastAsia"/>
        </w:rPr>
      </w:pPr>
      <w:r w:rsidRPr="00A4272B">
        <w:t>Summary statistics of atmospheric concentrations of POPs</w:t>
      </w:r>
    </w:p>
    <w:p w14:paraId="237F8343" w14:textId="77777777" w:rsidR="00B53585" w:rsidRPr="00A4272B" w:rsidRDefault="00B53585" w:rsidP="006623A9">
      <w:pPr>
        <w:rPr>
          <w:lang w:val="en-US"/>
        </w:rPr>
      </w:pPr>
      <w:r w:rsidRPr="00A4272B">
        <w:rPr>
          <w:lang w:val="en-US"/>
        </w:rPr>
        <w:t>Annually aggregated POP concentrations, calculated as medians of primary values, can be used for both quantitative and qualitative analyses. The median, along with the 5</w:t>
      </w:r>
      <w:r w:rsidRPr="00A4272B">
        <w:rPr>
          <w:vertAlign w:val="superscript"/>
          <w:lang w:val="en-US"/>
        </w:rPr>
        <w:t>th</w:t>
      </w:r>
      <w:r w:rsidRPr="00A4272B">
        <w:rPr>
          <w:lang w:val="en-US"/>
        </w:rPr>
        <w:t>-95</w:t>
      </w:r>
      <w:r w:rsidRPr="00A4272B">
        <w:rPr>
          <w:vertAlign w:val="superscript"/>
          <w:lang w:val="en-US"/>
        </w:rPr>
        <w:t>th</w:t>
      </w:r>
      <w:r w:rsidRPr="00A4272B">
        <w:rPr>
          <w:lang w:val="en-US"/>
        </w:rPr>
        <w:t xml:space="preserve"> percentile range and min-max range, serves as a representative baseline and variance estimate for each site.</w:t>
      </w:r>
    </w:p>
    <w:p w14:paraId="3B5488DC" w14:textId="04B0FCDD" w:rsidR="00500136" w:rsidRPr="00A4272B" w:rsidRDefault="00500136" w:rsidP="00817D9F">
      <w:pPr>
        <w:pStyle w:val="Heading4"/>
        <w:rPr>
          <w:rFonts w:hint="eastAsia"/>
        </w:rPr>
      </w:pPr>
      <w:r w:rsidRPr="00A4272B">
        <w:t>Homogeneity analysis</w:t>
      </w:r>
    </w:p>
    <w:p w14:paraId="0B78E883" w14:textId="550FDA1C" w:rsidR="00500136" w:rsidRPr="00A4272B" w:rsidRDefault="00500136" w:rsidP="00500136">
      <w:pPr>
        <w:rPr>
          <w:lang w:val="en-US"/>
        </w:rPr>
      </w:pPr>
      <w:r w:rsidRPr="00A4272B">
        <w:rPr>
          <w:lang w:val="en-US"/>
        </w:rPr>
        <w:t xml:space="preserve">Given that GMP data comes from multiple </w:t>
      </w:r>
      <w:r w:rsidR="002A6D39" w:rsidRPr="00A4272B">
        <w:rPr>
          <w:lang w:val="en-US"/>
        </w:rPr>
        <w:t xml:space="preserve">programmes </w:t>
      </w:r>
      <w:r w:rsidRPr="00A4272B">
        <w:rPr>
          <w:lang w:val="en-US"/>
        </w:rPr>
        <w:t>and background sites across UN regions, it’s essential to assess intra-regional and inter-regional homogeneity in annual POP averages. Regional variability can be represented as the intra-regional 5th-95th percentile range, and regional sample distributions can be tested for homogeneity using robust methods (e.g., Kruskal-Wallis test).</w:t>
      </w:r>
    </w:p>
    <w:p w14:paraId="387CB126" w14:textId="77777777" w:rsidR="00500136" w:rsidRPr="00A4272B" w:rsidRDefault="00500136" w:rsidP="00500136">
      <w:pPr>
        <w:rPr>
          <w:lang w:val="en-US"/>
        </w:rPr>
      </w:pPr>
      <w:r w:rsidRPr="00A4272B">
        <w:rPr>
          <w:lang w:val="en-US"/>
        </w:rPr>
        <w:lastRenderedPageBreak/>
        <w:t>The homogeneity analysis helps identify regions or subsets with increased intra-regional variability and its sources. Outliers should be excluded, and any spatial or temporal comparison should be preceded by an internal homogeneity assessment for the areas of interest.</w:t>
      </w:r>
    </w:p>
    <w:p w14:paraId="22A4C431" w14:textId="5F14822C" w:rsidR="00500136" w:rsidRPr="00A4272B" w:rsidRDefault="00500136" w:rsidP="00500136">
      <w:pPr>
        <w:rPr>
          <w:lang w:val="en-US"/>
        </w:rPr>
      </w:pPr>
      <w:r w:rsidRPr="00A4272B">
        <w:rPr>
          <w:lang w:val="en-US"/>
        </w:rPr>
        <w:t>Homogeneity should also be assessed in trend analysis, examining trend direction and year-to-year differences across time-series. Variability can be expressed as standardized differences or coefficients of variation (%)</w:t>
      </w:r>
      <w:r w:rsidR="00413F15" w:rsidRPr="00A4272B">
        <w:rPr>
          <w:lang w:val="en-US"/>
        </w:rPr>
        <w:t xml:space="preserve"> </w:t>
      </w:r>
      <w:r w:rsidR="00413F15" w:rsidRPr="00A4272B">
        <w:rPr>
          <w:rStyle w:val="dn"/>
          <w:lang w:val="en-US"/>
        </w:rPr>
        <w:t>of log-transformed data</w:t>
      </w:r>
      <w:r w:rsidRPr="00A4272B">
        <w:rPr>
          <w:lang w:val="en-US"/>
        </w:rPr>
        <w:t>. Applying regression models and analyzing residuals can help determine representativeness and trend stability. Time series from different sites can be merged for trend analysis if homogeneity is confirmed.</w:t>
      </w:r>
    </w:p>
    <w:p w14:paraId="65BEA1D6" w14:textId="605FB4F2" w:rsidR="00C04A92" w:rsidRPr="00A4272B" w:rsidRDefault="00500136" w:rsidP="00817D9F">
      <w:pPr>
        <w:pStyle w:val="Heading4"/>
        <w:rPr>
          <w:rFonts w:hint="eastAsia"/>
        </w:rPr>
      </w:pPr>
      <w:r w:rsidRPr="00A4272B">
        <w:t xml:space="preserve">Stochastic </w:t>
      </w:r>
      <w:r w:rsidR="00C04A92" w:rsidRPr="00A4272B">
        <w:t>i</w:t>
      </w:r>
      <w:r w:rsidRPr="00A4272B">
        <w:t xml:space="preserve">dentification of </w:t>
      </w:r>
      <w:r w:rsidR="00C04A92" w:rsidRPr="00A4272B">
        <w:t>t</w:t>
      </w:r>
      <w:r w:rsidRPr="00A4272B">
        <w:t xml:space="preserve">ime </w:t>
      </w:r>
      <w:r w:rsidR="00C04A92" w:rsidRPr="00A4272B">
        <w:t>t</w:t>
      </w:r>
      <w:r w:rsidRPr="00A4272B">
        <w:t>rends</w:t>
      </w:r>
    </w:p>
    <w:p w14:paraId="260746EC" w14:textId="5D537B16" w:rsidR="00500136" w:rsidRPr="00A4272B" w:rsidRDefault="00500136" w:rsidP="00500136">
      <w:pPr>
        <w:rPr>
          <w:lang w:val="en-US"/>
        </w:rPr>
      </w:pPr>
      <w:r w:rsidRPr="00A4272B">
        <w:rPr>
          <w:lang w:val="en-US"/>
        </w:rPr>
        <w:t>Time trends are assessed through statistical tests that evaluate changes in consecutive measurements. At least five consecutive annual values are needed to assess trends using one of the following methods:</w:t>
      </w:r>
    </w:p>
    <w:p w14:paraId="295D3705" w14:textId="77777777" w:rsidR="00413F15" w:rsidRPr="00A4272B" w:rsidRDefault="00413F15">
      <w:pPr>
        <w:pStyle w:val="Text0"/>
        <w:numPr>
          <w:ilvl w:val="0"/>
          <w:numId w:val="27"/>
        </w:numPr>
        <w:spacing w:after="120"/>
      </w:pPr>
      <w:r w:rsidRPr="00A4272B">
        <w:rPr>
          <w:rStyle w:val="dn"/>
        </w:rPr>
        <w:t>Pearson correlation/trend test on log-transformed data for normally distributed residuals of the trend (normality tested using Kolmogorov-Smirnov or Shapiro-Wilk tests);</w:t>
      </w:r>
    </w:p>
    <w:p w14:paraId="1443D778" w14:textId="781493D4" w:rsidR="00500136" w:rsidRPr="00A4272B" w:rsidRDefault="00413F15">
      <w:pPr>
        <w:numPr>
          <w:ilvl w:val="0"/>
          <w:numId w:val="27"/>
        </w:numPr>
        <w:rPr>
          <w:lang w:val="en-US"/>
        </w:rPr>
      </w:pPr>
      <w:r w:rsidRPr="00A4272B">
        <w:rPr>
          <w:rStyle w:val="dn"/>
          <w:lang w:val="en-US"/>
        </w:rPr>
        <w:t>Kendall correlation/trend test (or Mann-Kendall test) on log-transformed data as a non-parametric method for detecting systematic changes in time series</w:t>
      </w:r>
      <w:r w:rsidR="00500136" w:rsidRPr="00A4272B">
        <w:rPr>
          <w:lang w:val="en-US"/>
        </w:rPr>
        <w:t>.</w:t>
      </w:r>
    </w:p>
    <w:p w14:paraId="79DC8A9F" w14:textId="77777777" w:rsidR="00413F15" w:rsidRPr="00A4272B" w:rsidRDefault="00500136" w:rsidP="00413F15">
      <w:pPr>
        <w:rPr>
          <w:lang w:val="en-US"/>
        </w:rPr>
      </w:pPr>
      <w:r w:rsidRPr="00A4272B">
        <w:rPr>
          <w:lang w:val="en-US"/>
        </w:rPr>
        <w:t>The trend direction (increasing or decreasing) should be recorded when statistically significant. Additionally, any concentration changes over time should be reported, regardless of statistical significance. Statistically significant changes must be quantified in reports and marked with the corresponding p-value.</w:t>
      </w:r>
      <w:r w:rsidR="00413F15" w:rsidRPr="00A4272B">
        <w:rPr>
          <w:lang w:val="en-US"/>
        </w:rPr>
        <w:t xml:space="preserve"> Before deciding on a non-parametric test, it is recommended to test for the presence of a breakpoint.</w:t>
      </w:r>
    </w:p>
    <w:p w14:paraId="7F59EB03" w14:textId="0792CB96" w:rsidR="00500136" w:rsidRPr="00A4272B" w:rsidRDefault="00500136" w:rsidP="00817D9F">
      <w:pPr>
        <w:pStyle w:val="Heading4"/>
        <w:rPr>
          <w:rFonts w:hint="eastAsia"/>
        </w:rPr>
      </w:pPr>
      <w:r w:rsidRPr="00A4272B">
        <w:t>Quantification of time trends</w:t>
      </w:r>
    </w:p>
    <w:p w14:paraId="6F2A66AA" w14:textId="3799D703" w:rsidR="00500136" w:rsidRPr="00A4272B" w:rsidRDefault="00500136" w:rsidP="00500136">
      <w:pPr>
        <w:rPr>
          <w:lang w:val="en-US"/>
        </w:rPr>
      </w:pPr>
      <w:r w:rsidRPr="00A4272B">
        <w:rPr>
          <w:lang w:val="en-US"/>
        </w:rPr>
        <w:t>Quantifying trends is necessary when statistical tests confirm significant, consistent time-related differences in POP concentrations. One of the linear regression techniques should be applied to log-transformed annual aggregates: SLR for normally distributed data or the non-parametric Theil-Sen regression for non-normally distributed data, both providing exponential trends.</w:t>
      </w:r>
    </w:p>
    <w:p w14:paraId="5D57467C" w14:textId="77777777" w:rsidR="00500136" w:rsidRPr="00A4272B" w:rsidRDefault="00500136" w:rsidP="00500136">
      <w:pPr>
        <w:rPr>
          <w:lang w:val="en-US"/>
        </w:rPr>
      </w:pPr>
      <w:r w:rsidRPr="00A4272B">
        <w:rPr>
          <w:lang w:val="en-US"/>
        </w:rPr>
        <w:t>The time-related difference in concentration should be reported as:</w:t>
      </w:r>
    </w:p>
    <w:p w14:paraId="7837F83B" w14:textId="77777777" w:rsidR="00500136" w:rsidRPr="00A4272B" w:rsidRDefault="00500136">
      <w:pPr>
        <w:numPr>
          <w:ilvl w:val="0"/>
          <w:numId w:val="26"/>
        </w:numPr>
        <w:rPr>
          <w:lang w:val="en-US"/>
        </w:rPr>
      </w:pPr>
      <w:r w:rsidRPr="00A4272B">
        <w:rPr>
          <w:lang w:val="en-US"/>
        </w:rPr>
        <w:t>The relative annual change (%) as an index of the previous year’s estimated trend value;</w:t>
      </w:r>
    </w:p>
    <w:p w14:paraId="163AF2F0" w14:textId="77777777" w:rsidR="00500136" w:rsidRPr="00A4272B" w:rsidRDefault="00500136">
      <w:pPr>
        <w:numPr>
          <w:ilvl w:val="0"/>
          <w:numId w:val="26"/>
        </w:numPr>
        <w:rPr>
          <w:lang w:val="en-US"/>
        </w:rPr>
      </w:pPr>
      <w:r w:rsidRPr="00A4272B">
        <w:rPr>
          <w:lang w:val="en-US"/>
        </w:rPr>
        <w:t>The halving time (or doubling time for increasing concentrations) of the compound in the environment.</w:t>
      </w:r>
    </w:p>
    <w:p w14:paraId="6E868C45" w14:textId="64D1B598" w:rsidR="00500136" w:rsidRPr="00A4272B" w:rsidRDefault="00500136" w:rsidP="00500136">
      <w:pPr>
        <w:rPr>
          <w:lang w:val="en-US"/>
        </w:rPr>
      </w:pPr>
      <w:r w:rsidRPr="00A4272B">
        <w:rPr>
          <w:lang w:val="en-US"/>
        </w:rPr>
        <w:t>In addition to assessing temporal changes in POP concentrations in core matrices, monitoring the relative contributions of POPs over time can yield insights into shifts in primary and secondary sources or transport pathways.</w:t>
      </w:r>
      <w:r w:rsidR="00413F15" w:rsidRPr="00A4272B">
        <w:rPr>
          <w:lang w:val="en-US"/>
        </w:rPr>
        <w:t xml:space="preserve"> A flowchart of a possible statistical processing pipeline is shown in Fig</w:t>
      </w:r>
      <w:r w:rsidR="009F04ED" w:rsidRPr="00A4272B">
        <w:rPr>
          <w:lang w:val="en-US"/>
        </w:rPr>
        <w:t>ure</w:t>
      </w:r>
      <w:r w:rsidR="00413F15" w:rsidRPr="00A4272B">
        <w:rPr>
          <w:lang w:val="en-US"/>
        </w:rPr>
        <w:t xml:space="preserve"> 3.</w:t>
      </w:r>
      <w:r w:rsidR="009F04ED" w:rsidRPr="00A4272B">
        <w:rPr>
          <w:lang w:val="en-US"/>
        </w:rPr>
        <w:t>1</w:t>
      </w:r>
      <w:r w:rsidR="00413F15" w:rsidRPr="00A4272B">
        <w:rPr>
          <w:lang w:val="en-US"/>
        </w:rPr>
        <w:t>.</w:t>
      </w:r>
    </w:p>
    <w:p w14:paraId="43D80823" w14:textId="77777777" w:rsidR="00413F15" w:rsidRPr="00A4272B" w:rsidRDefault="00413F15" w:rsidP="00413F15">
      <w:pPr>
        <w:pStyle w:val="Text0"/>
        <w:jc w:val="both"/>
        <w:rPr>
          <w:rStyle w:val="dn"/>
        </w:rPr>
      </w:pPr>
      <w:r w:rsidRPr="00A4272B">
        <w:rPr>
          <w:noProof/>
        </w:rPr>
        <w:drawing>
          <wp:inline distT="0" distB="0" distL="0" distR="0" wp14:anchorId="5A581E6E" wp14:editId="019446BE">
            <wp:extent cx="5760721" cy="1824355"/>
            <wp:effectExtent l="0" t="0" r="0" b="0"/>
            <wp:docPr id="1073741826" name="officeArt object" descr="Obsah obrázku text, diagram, řada/pruh, Písmo&#10;&#10;Popis byl vytvořen automaticky"/>
            <wp:cNvGraphicFramePr/>
            <a:graphic xmlns:a="http://schemas.openxmlformats.org/drawingml/2006/main">
              <a:graphicData uri="http://schemas.openxmlformats.org/drawingml/2006/picture">
                <pic:pic xmlns:pic="http://schemas.openxmlformats.org/drawingml/2006/picture">
                  <pic:nvPicPr>
                    <pic:cNvPr id="1073741826" name="Obsah obrázku text, diagram, řada/pruh, PísmoPopis byl vytvořen automaticky" descr="Obsah obrázku text, diagram, řada/pruh, PísmoPopis byl vytvořen automaticky"/>
                    <pic:cNvPicPr>
                      <a:picLocks noChangeAspect="1"/>
                    </pic:cNvPicPr>
                  </pic:nvPicPr>
                  <pic:blipFill>
                    <a:blip r:embed="rId13"/>
                    <a:stretch>
                      <a:fillRect/>
                    </a:stretch>
                  </pic:blipFill>
                  <pic:spPr>
                    <a:xfrm>
                      <a:off x="0" y="0"/>
                      <a:ext cx="5760721" cy="1824355"/>
                    </a:xfrm>
                    <a:prstGeom prst="rect">
                      <a:avLst/>
                    </a:prstGeom>
                    <a:ln w="12700" cap="flat">
                      <a:noFill/>
                      <a:miter lim="400000"/>
                    </a:ln>
                    <a:effectLst/>
                  </pic:spPr>
                </pic:pic>
              </a:graphicData>
            </a:graphic>
          </wp:inline>
        </w:drawing>
      </w:r>
    </w:p>
    <w:p w14:paraId="51BCFD8E" w14:textId="49A3FEBA" w:rsidR="00413F15" w:rsidRPr="00A4272B" w:rsidRDefault="00413F15" w:rsidP="00413F15">
      <w:pPr>
        <w:pStyle w:val="Text0"/>
        <w:jc w:val="both"/>
        <w:rPr>
          <w:rStyle w:val="dn"/>
          <w:b/>
          <w:bCs/>
        </w:rPr>
      </w:pPr>
      <w:r w:rsidRPr="00A4272B">
        <w:rPr>
          <w:rStyle w:val="dn"/>
          <w:b/>
          <w:bCs/>
        </w:rPr>
        <w:t>Figure 3.</w:t>
      </w:r>
      <w:r w:rsidR="009F04ED" w:rsidRPr="00A4272B">
        <w:rPr>
          <w:rStyle w:val="dn"/>
          <w:b/>
          <w:bCs/>
        </w:rPr>
        <w:t>1</w:t>
      </w:r>
      <w:r w:rsidRPr="00A4272B">
        <w:rPr>
          <w:rStyle w:val="dn"/>
          <w:b/>
          <w:bCs/>
        </w:rPr>
        <w:t>: Flowchart of the statistical processing of the GMP data.</w:t>
      </w:r>
    </w:p>
    <w:p w14:paraId="12F66ED4" w14:textId="77777777" w:rsidR="00413F15" w:rsidRPr="00A4272B" w:rsidRDefault="00413F15" w:rsidP="00500136">
      <w:pPr>
        <w:rPr>
          <w:lang w:val="en-US"/>
        </w:rPr>
      </w:pPr>
    </w:p>
    <w:p w14:paraId="615EF301" w14:textId="021D69EA" w:rsidR="00F3536C" w:rsidRPr="00A4272B" w:rsidRDefault="005174C9" w:rsidP="00564885">
      <w:pPr>
        <w:pStyle w:val="GMPHeading2"/>
        <w:tabs>
          <w:tab w:val="clear" w:pos="360"/>
          <w:tab w:val="clear" w:pos="450"/>
          <w:tab w:val="clear" w:pos="540"/>
          <w:tab w:val="clear" w:pos="630"/>
        </w:tabs>
        <w:rPr>
          <w:rFonts w:hint="eastAsia"/>
        </w:rPr>
      </w:pPr>
      <w:bookmarkStart w:id="56" w:name="_Toc7"/>
      <w:bookmarkStart w:id="57" w:name="_Toc187270480"/>
      <w:r w:rsidRPr="00A4272B">
        <w:t>3.7</w:t>
      </w:r>
      <w:r w:rsidRPr="00A4272B">
        <w:tab/>
      </w:r>
      <w:r w:rsidR="00F3536C" w:rsidRPr="00A4272B">
        <w:t>Examples of statistical treatment and graphical presentation</w:t>
      </w:r>
      <w:bookmarkEnd w:id="56"/>
      <w:bookmarkEnd w:id="57"/>
    </w:p>
    <w:p w14:paraId="0E5AC478" w14:textId="6B27AA34" w:rsidR="00820AEF" w:rsidRPr="00A4272B" w:rsidRDefault="00820AEF" w:rsidP="00820AEF">
      <w:pPr>
        <w:rPr>
          <w:color w:val="000000"/>
          <w:u w:color="000000"/>
          <w:lang w:val="en-US"/>
        </w:rPr>
      </w:pPr>
      <w:r w:rsidRPr="00A4272B">
        <w:rPr>
          <w:color w:val="000000"/>
          <w:u w:color="000000"/>
          <w:lang w:val="en-US"/>
        </w:rPr>
        <w:t xml:space="preserve">The primary goal of the monitoring </w:t>
      </w:r>
      <w:r w:rsidR="002A6D39" w:rsidRPr="00A4272B">
        <w:rPr>
          <w:color w:val="000000"/>
          <w:u w:color="000000"/>
          <w:lang w:val="en-US"/>
        </w:rPr>
        <w:t xml:space="preserve">programme </w:t>
      </w:r>
      <w:r w:rsidRPr="00A4272B">
        <w:rPr>
          <w:color w:val="000000"/>
          <w:u w:color="000000"/>
          <w:lang w:val="en-US"/>
        </w:rPr>
        <w:t>is to identify temporal trends. Trend identification methods include parametric log-linear regression (simple linear regression on log-transformed data) and the Mann-Kendall test (Gilbert, 1987; Helsel and Hirsch, 1995; Swertz, 1995) for data with extreme values. While the Mann-Kendall test is robust and versatile, it has lower statistical power than SLR.</w:t>
      </w:r>
    </w:p>
    <w:p w14:paraId="084F0DE5" w14:textId="77777777" w:rsidR="00820AEF" w:rsidRPr="00A4272B" w:rsidRDefault="00820AEF" w:rsidP="00820AEF">
      <w:pPr>
        <w:rPr>
          <w:color w:val="000000"/>
          <w:u w:color="000000"/>
          <w:lang w:val="en-US"/>
        </w:rPr>
      </w:pPr>
      <w:r w:rsidRPr="00A4272B">
        <w:rPr>
          <w:color w:val="000000"/>
          <w:u w:color="000000"/>
          <w:lang w:val="en-US"/>
        </w:rPr>
        <w:t>When a trend is identified (p &lt; 0.05 significance level), it should be quantified to determine if a quantitative objective is met. Linear regression on log-transformed data should be performed, using either SLR or Theil-Sen for non-parametric data. The slope represents the annual percentage change or expected halving time of the compound. For instance, a 5% annual decrease implies a 14-year halving time, 10% corresponds to 7 years, and 2% to 35 years.</w:t>
      </w:r>
    </w:p>
    <w:p w14:paraId="50B4D805" w14:textId="68A687D6" w:rsidR="00F3536C" w:rsidRPr="00A4272B" w:rsidRDefault="00413F15" w:rsidP="00820AEF">
      <w:pPr>
        <w:rPr>
          <w:lang w:val="en-US"/>
        </w:rPr>
      </w:pPr>
      <w:r w:rsidRPr="00A4272B">
        <w:rPr>
          <w:rStyle w:val="dn"/>
          <w:color w:val="000000"/>
          <w:u w:color="000000"/>
          <w:lang w:val="en-US"/>
        </w:rPr>
        <w:lastRenderedPageBreak/>
        <w:t>To capture non-linear trend components, a smoothed line, such as a 3-point running mean on annual aggregates, can be applied. If linear regression fits poorly, a breakpoint may be identified, or a smoothed line may better represent the trend. The significance of the smoothed line can be tested using ANOVA to compare the variance explained by the smoother and the regression line. This method is commonly used in ICES assessments (Nicholson et al., 1995). Figure 3.</w:t>
      </w:r>
      <w:r w:rsidR="009F04ED" w:rsidRPr="00A4272B">
        <w:rPr>
          <w:rStyle w:val="dn"/>
          <w:color w:val="000000"/>
          <w:u w:color="000000"/>
          <w:lang w:val="en-US"/>
        </w:rPr>
        <w:t>2</w:t>
      </w:r>
      <w:r w:rsidRPr="00A4272B">
        <w:rPr>
          <w:rStyle w:val="dn"/>
          <w:color w:val="000000"/>
          <w:u w:color="000000"/>
          <w:lang w:val="en-US"/>
        </w:rPr>
        <w:t xml:space="preserve"> illustrates an example of a time series from the GMP data warehouse</w:t>
      </w:r>
      <w:r w:rsidR="00820AEF" w:rsidRPr="00A4272B">
        <w:rPr>
          <w:color w:val="000000"/>
          <w:u w:color="000000"/>
          <w:lang w:val="en-US"/>
        </w:rPr>
        <w:t>.</w:t>
      </w:r>
    </w:p>
    <w:p w14:paraId="44D02908" w14:textId="77777777" w:rsidR="00F3536C" w:rsidRPr="00A4272B" w:rsidRDefault="00F3536C" w:rsidP="0096376E">
      <w:pPr>
        <w:rPr>
          <w:lang w:val="en-US"/>
        </w:rPr>
      </w:pPr>
      <w:r w:rsidRPr="00A4272B">
        <w:rPr>
          <w:noProof/>
          <w:lang w:val="en-US"/>
        </w:rPr>
        <w:drawing>
          <wp:inline distT="0" distB="0" distL="0" distR="0" wp14:anchorId="3D203924" wp14:editId="1283317A">
            <wp:extent cx="5750620" cy="7831016"/>
            <wp:effectExtent l="0" t="0" r="2540" b="0"/>
            <wp:docPr id="19" name="Picture 19" descr="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5750620" cy="7831016"/>
                    </a:xfrm>
                    <a:prstGeom prst="rect">
                      <a:avLst/>
                    </a:prstGeom>
                  </pic:spPr>
                </pic:pic>
              </a:graphicData>
            </a:graphic>
          </wp:inline>
        </w:drawing>
      </w:r>
    </w:p>
    <w:p w14:paraId="00C3035C" w14:textId="7B627C8E" w:rsidR="00F3536C" w:rsidRPr="00A4272B" w:rsidRDefault="002517EB" w:rsidP="00F3536C">
      <w:pPr>
        <w:spacing w:before="120"/>
        <w:rPr>
          <w:b/>
          <w:bCs/>
          <w:lang w:val="en-US"/>
        </w:rPr>
      </w:pPr>
      <w:r w:rsidRPr="00A4272B">
        <w:rPr>
          <w:b/>
          <w:bCs/>
          <w:color w:val="000000"/>
          <w:u w:color="000000"/>
          <w:lang w:val="en-US"/>
        </w:rPr>
        <w:t>Figure 3.</w:t>
      </w:r>
      <w:r w:rsidR="009F04ED" w:rsidRPr="00A4272B">
        <w:rPr>
          <w:b/>
          <w:bCs/>
          <w:color w:val="000000"/>
          <w:u w:color="000000"/>
          <w:lang w:val="en-US"/>
        </w:rPr>
        <w:t>2</w:t>
      </w:r>
      <w:r w:rsidRPr="00A4272B">
        <w:rPr>
          <w:b/>
          <w:bCs/>
          <w:color w:val="000000"/>
          <w:u w:color="000000"/>
          <w:lang w:val="en-US"/>
        </w:rPr>
        <w:t xml:space="preserve">: Time-series examples of gamma-HCH levels measured at the ERPC site in Ufa, Russian Federation, from 2009 to 2013. </w:t>
      </w:r>
      <w:r w:rsidR="00BD537C" w:rsidRPr="00A4272B">
        <w:rPr>
          <w:color w:val="000000"/>
          <w:sz w:val="18"/>
          <w:szCs w:val="18"/>
          <w:u w:color="000000"/>
          <w:lang w:val="en-US"/>
        </w:rPr>
        <w:t>(</w:t>
      </w:r>
      <w:r w:rsidRPr="00A4272B">
        <w:rPr>
          <w:color w:val="000000"/>
          <w:sz w:val="18"/>
          <w:szCs w:val="18"/>
          <w:u w:color="000000"/>
          <w:lang w:val="en-US"/>
        </w:rPr>
        <w:t>This analysis is available in the GMP data warehouse.</w:t>
      </w:r>
      <w:r w:rsidR="00BD537C" w:rsidRPr="00A4272B">
        <w:rPr>
          <w:color w:val="000000"/>
          <w:sz w:val="18"/>
          <w:szCs w:val="18"/>
          <w:u w:color="000000"/>
          <w:lang w:val="en-US"/>
        </w:rPr>
        <w:t>)</w:t>
      </w:r>
      <w:r w:rsidR="00F3536C" w:rsidRPr="00A4272B">
        <w:rPr>
          <w:b/>
          <w:bCs/>
          <w:color w:val="000000"/>
          <w:u w:color="000000"/>
          <w:lang w:val="en-US"/>
        </w:rPr>
        <w:t xml:space="preserve"> </w:t>
      </w:r>
    </w:p>
    <w:p w14:paraId="526F4910" w14:textId="77777777" w:rsidR="002517EB" w:rsidRPr="00A4272B" w:rsidRDefault="002517EB" w:rsidP="00C85C14">
      <w:pPr>
        <w:keepNext/>
        <w:spacing w:before="120"/>
        <w:rPr>
          <w:color w:val="000000"/>
          <w:sz w:val="18"/>
          <w:szCs w:val="18"/>
          <w:u w:color="000000"/>
          <w:lang w:val="en-US"/>
        </w:rPr>
      </w:pPr>
      <w:r w:rsidRPr="00A4272B">
        <w:rPr>
          <w:b/>
          <w:bCs/>
          <w:color w:val="000000"/>
          <w:sz w:val="18"/>
          <w:szCs w:val="18"/>
          <w:u w:color="000000"/>
          <w:lang w:val="en-US"/>
        </w:rPr>
        <w:lastRenderedPageBreak/>
        <w:t>Note:</w:t>
      </w:r>
    </w:p>
    <w:p w14:paraId="1252C2B5" w14:textId="7EB2D3AC" w:rsidR="002517EB" w:rsidRPr="00A4272B" w:rsidRDefault="002517EB">
      <w:pPr>
        <w:numPr>
          <w:ilvl w:val="0"/>
          <w:numId w:val="65"/>
        </w:numPr>
        <w:spacing w:before="120"/>
        <w:rPr>
          <w:color w:val="000000"/>
          <w:sz w:val="18"/>
          <w:szCs w:val="18"/>
          <w:u w:color="000000"/>
          <w:lang w:val="en-US"/>
        </w:rPr>
      </w:pPr>
      <w:r w:rsidRPr="00A4272B">
        <w:rPr>
          <w:b/>
          <w:bCs/>
          <w:color w:val="000000"/>
          <w:sz w:val="18"/>
          <w:szCs w:val="18"/>
          <w:u w:color="000000"/>
          <w:lang w:val="en-US"/>
        </w:rPr>
        <w:t>Plot details</w:t>
      </w:r>
      <w:r w:rsidRPr="00A4272B">
        <w:rPr>
          <w:color w:val="000000"/>
          <w:sz w:val="18"/>
          <w:szCs w:val="18"/>
          <w:u w:color="000000"/>
          <w:lang w:val="en-US"/>
        </w:rPr>
        <w:t>: The plot shows the median concentration for each year (red circles) with whiskers indicating the 5th–95th percentile range. The blue regression line represents the trend (plotted if the Mann-Kendall test has p &lt; 0.05). Log-linear regression lines fitted through the median concentrations follow an exponential function. Summary statistics from several statistical calculations are displayed below the plot.</w:t>
      </w:r>
    </w:p>
    <w:p w14:paraId="0C044FB5" w14:textId="6F7C80A4" w:rsidR="002517EB" w:rsidRPr="00A4272B" w:rsidRDefault="002517EB">
      <w:pPr>
        <w:numPr>
          <w:ilvl w:val="0"/>
          <w:numId w:val="65"/>
        </w:numPr>
        <w:spacing w:before="120"/>
        <w:rPr>
          <w:color w:val="000000"/>
          <w:sz w:val="18"/>
          <w:szCs w:val="18"/>
          <w:u w:color="000000"/>
          <w:lang w:val="en-US"/>
        </w:rPr>
      </w:pPr>
      <w:r w:rsidRPr="00A4272B">
        <w:rPr>
          <w:b/>
          <w:bCs/>
          <w:color w:val="000000"/>
          <w:sz w:val="18"/>
          <w:szCs w:val="18"/>
          <w:u w:color="000000"/>
          <w:lang w:val="en-US"/>
        </w:rPr>
        <w:t>Summary statistics</w:t>
      </w:r>
      <w:r w:rsidRPr="00A4272B">
        <w:rPr>
          <w:color w:val="000000"/>
          <w:sz w:val="18"/>
          <w:szCs w:val="18"/>
          <w:u w:color="000000"/>
          <w:lang w:val="en-US"/>
        </w:rPr>
        <w:t>:</w:t>
      </w:r>
    </w:p>
    <w:p w14:paraId="1C727DD7" w14:textId="372FC23E" w:rsidR="002517EB" w:rsidRPr="00A4272B" w:rsidRDefault="002517EB">
      <w:pPr>
        <w:numPr>
          <w:ilvl w:val="1"/>
          <w:numId w:val="66"/>
        </w:numPr>
        <w:spacing w:before="120"/>
        <w:rPr>
          <w:color w:val="000000"/>
          <w:sz w:val="18"/>
          <w:szCs w:val="18"/>
          <w:u w:color="000000"/>
          <w:lang w:val="en-US"/>
        </w:rPr>
      </w:pPr>
      <w:r w:rsidRPr="00A4272B">
        <w:rPr>
          <w:b/>
          <w:bCs/>
          <w:color w:val="000000"/>
          <w:sz w:val="18"/>
          <w:szCs w:val="18"/>
          <w:u w:color="000000"/>
          <w:lang w:val="en-US"/>
        </w:rPr>
        <w:t>Mean, median, minimum/maximum, percentiles</w:t>
      </w:r>
      <w:r w:rsidRPr="00A4272B">
        <w:rPr>
          <w:color w:val="000000"/>
          <w:sz w:val="18"/>
          <w:szCs w:val="18"/>
          <w:u w:color="000000"/>
          <w:lang w:val="en-US"/>
        </w:rPr>
        <w:t>: Calculated over the annually aggregated values (not the primary data) using five data points</w:t>
      </w:r>
      <w:r w:rsidR="003F50B4" w:rsidRPr="00A4272B">
        <w:rPr>
          <w:color w:val="000000"/>
          <w:sz w:val="18"/>
          <w:szCs w:val="18"/>
          <w:u w:color="000000"/>
          <w:lang w:val="en-US"/>
        </w:rPr>
        <w:t>;</w:t>
      </w:r>
    </w:p>
    <w:p w14:paraId="6F526596" w14:textId="108A83B6" w:rsidR="002517EB" w:rsidRPr="00A4272B" w:rsidRDefault="002517EB">
      <w:pPr>
        <w:numPr>
          <w:ilvl w:val="1"/>
          <w:numId w:val="66"/>
        </w:numPr>
        <w:spacing w:before="120"/>
        <w:rPr>
          <w:color w:val="000000"/>
          <w:sz w:val="18"/>
          <w:szCs w:val="18"/>
          <w:u w:color="000000"/>
          <w:lang w:val="en-US"/>
        </w:rPr>
      </w:pPr>
      <w:r w:rsidRPr="00A4272B">
        <w:rPr>
          <w:b/>
          <w:bCs/>
          <w:color w:val="000000"/>
          <w:sz w:val="18"/>
          <w:szCs w:val="18"/>
          <w:u w:color="000000"/>
          <w:lang w:val="en-US"/>
        </w:rPr>
        <w:t>Delta</w:t>
      </w:r>
      <w:r w:rsidRPr="00A4272B">
        <w:rPr>
          <w:color w:val="000000"/>
          <w:sz w:val="18"/>
          <w:szCs w:val="18"/>
          <w:u w:color="000000"/>
          <w:lang w:val="en-US"/>
        </w:rPr>
        <w:t>: The difference between the initial and final aggregated data points</w:t>
      </w:r>
      <w:r w:rsidR="003F50B4" w:rsidRPr="00A4272B">
        <w:rPr>
          <w:color w:val="000000"/>
          <w:sz w:val="18"/>
          <w:szCs w:val="18"/>
          <w:u w:color="000000"/>
          <w:lang w:val="en-US"/>
        </w:rPr>
        <w:t>;</w:t>
      </w:r>
    </w:p>
    <w:p w14:paraId="47102C72" w14:textId="635C114C" w:rsidR="002517EB" w:rsidRPr="00A4272B" w:rsidRDefault="002517EB">
      <w:pPr>
        <w:numPr>
          <w:ilvl w:val="1"/>
          <w:numId w:val="66"/>
        </w:numPr>
        <w:spacing w:before="120"/>
        <w:rPr>
          <w:color w:val="000000"/>
          <w:sz w:val="18"/>
          <w:szCs w:val="18"/>
          <w:u w:color="000000"/>
          <w:lang w:val="en-US"/>
        </w:rPr>
      </w:pPr>
      <w:r w:rsidRPr="00A4272B">
        <w:rPr>
          <w:b/>
          <w:bCs/>
          <w:color w:val="000000"/>
          <w:sz w:val="18"/>
          <w:szCs w:val="18"/>
          <w:u w:color="000000"/>
          <w:lang w:val="en-US"/>
        </w:rPr>
        <w:t>Exponential regression test</w:t>
      </w:r>
      <w:r w:rsidRPr="00A4272B">
        <w:rPr>
          <w:color w:val="000000"/>
          <w:sz w:val="18"/>
          <w:szCs w:val="18"/>
          <w:u w:color="000000"/>
          <w:lang w:val="en-US"/>
        </w:rPr>
        <w:t>: The p-value from an F test of simple log-linear regression</w:t>
      </w:r>
      <w:r w:rsidR="003F50B4" w:rsidRPr="00A4272B">
        <w:rPr>
          <w:color w:val="000000"/>
          <w:sz w:val="18"/>
          <w:szCs w:val="18"/>
          <w:u w:color="000000"/>
          <w:lang w:val="en-US"/>
        </w:rPr>
        <w:t>;</w:t>
      </w:r>
    </w:p>
    <w:p w14:paraId="5285DC1E" w14:textId="36A57164" w:rsidR="002517EB" w:rsidRPr="00A4272B" w:rsidRDefault="002517EB">
      <w:pPr>
        <w:numPr>
          <w:ilvl w:val="1"/>
          <w:numId w:val="66"/>
        </w:numPr>
        <w:spacing w:before="120"/>
        <w:rPr>
          <w:color w:val="000000"/>
          <w:sz w:val="18"/>
          <w:szCs w:val="18"/>
          <w:u w:color="000000"/>
          <w:lang w:val="en-US"/>
        </w:rPr>
      </w:pPr>
      <w:r w:rsidRPr="00A4272B">
        <w:rPr>
          <w:b/>
          <w:bCs/>
          <w:color w:val="000000"/>
          <w:sz w:val="18"/>
          <w:szCs w:val="18"/>
          <w:u w:color="000000"/>
          <w:lang w:val="en-US"/>
        </w:rPr>
        <w:t>Exponential regression half-life</w:t>
      </w:r>
      <w:r w:rsidRPr="00A4272B">
        <w:rPr>
          <w:color w:val="000000"/>
          <w:sz w:val="18"/>
          <w:szCs w:val="18"/>
          <w:u w:color="000000"/>
          <w:lang w:val="en-US"/>
        </w:rPr>
        <w:t>: Calculated only if the p-value is below 0.05, indicating the half-life of the compound in this environment</w:t>
      </w:r>
      <w:r w:rsidR="003F50B4" w:rsidRPr="00A4272B">
        <w:rPr>
          <w:color w:val="000000"/>
          <w:sz w:val="18"/>
          <w:szCs w:val="18"/>
          <w:u w:color="000000"/>
          <w:lang w:val="en-US"/>
        </w:rPr>
        <w:t>;</w:t>
      </w:r>
    </w:p>
    <w:p w14:paraId="745A4868" w14:textId="6EF974CD" w:rsidR="002517EB" w:rsidRPr="00A4272B" w:rsidRDefault="002517EB">
      <w:pPr>
        <w:numPr>
          <w:ilvl w:val="1"/>
          <w:numId w:val="66"/>
        </w:numPr>
        <w:spacing w:before="120"/>
        <w:rPr>
          <w:color w:val="000000"/>
          <w:sz w:val="18"/>
          <w:szCs w:val="18"/>
          <w:u w:color="000000"/>
          <w:lang w:val="en-US"/>
        </w:rPr>
      </w:pPr>
      <w:r w:rsidRPr="00A4272B">
        <w:rPr>
          <w:b/>
          <w:bCs/>
          <w:color w:val="000000"/>
          <w:sz w:val="18"/>
          <w:szCs w:val="18"/>
          <w:u w:color="000000"/>
          <w:lang w:val="en-US"/>
        </w:rPr>
        <w:t>Mann-Kendall test</w:t>
      </w:r>
      <w:r w:rsidRPr="00A4272B">
        <w:rPr>
          <w:color w:val="000000"/>
          <w:sz w:val="18"/>
          <w:szCs w:val="18"/>
          <w:u w:color="000000"/>
          <w:lang w:val="en-US"/>
        </w:rPr>
        <w:t>: The tau value and p-value from the Mann-Kendall trend test</w:t>
      </w:r>
      <w:r w:rsidR="003F50B4" w:rsidRPr="00A4272B">
        <w:rPr>
          <w:color w:val="000000"/>
          <w:sz w:val="18"/>
          <w:szCs w:val="18"/>
          <w:u w:color="000000"/>
          <w:lang w:val="en-US"/>
        </w:rPr>
        <w:t>;</w:t>
      </w:r>
    </w:p>
    <w:p w14:paraId="4698B1FF" w14:textId="77777777" w:rsidR="002517EB" w:rsidRPr="00A4272B" w:rsidRDefault="002517EB">
      <w:pPr>
        <w:numPr>
          <w:ilvl w:val="1"/>
          <w:numId w:val="66"/>
        </w:numPr>
        <w:spacing w:before="120"/>
        <w:rPr>
          <w:color w:val="000000"/>
          <w:sz w:val="18"/>
          <w:szCs w:val="18"/>
          <w:u w:color="000000"/>
          <w:lang w:val="en-US"/>
        </w:rPr>
      </w:pPr>
      <w:r w:rsidRPr="00A4272B">
        <w:rPr>
          <w:b/>
          <w:bCs/>
          <w:color w:val="000000"/>
          <w:sz w:val="18"/>
          <w:szCs w:val="18"/>
          <w:u w:color="000000"/>
          <w:lang w:val="en-US"/>
        </w:rPr>
        <w:t>Theil-Sen half-life</w:t>
      </w:r>
      <w:r w:rsidRPr="00A4272B">
        <w:rPr>
          <w:color w:val="000000"/>
          <w:sz w:val="18"/>
          <w:szCs w:val="18"/>
          <w:u w:color="000000"/>
          <w:lang w:val="en-US"/>
        </w:rPr>
        <w:t>: If p &lt; 0.05, the half-life is calculated using Theil-Sen log-linear regression.</w:t>
      </w:r>
    </w:p>
    <w:p w14:paraId="6AF152FC" w14:textId="4761728C" w:rsidR="002517EB" w:rsidRPr="00A4272B" w:rsidRDefault="002517EB">
      <w:pPr>
        <w:pStyle w:val="ListParagraph"/>
        <w:numPr>
          <w:ilvl w:val="0"/>
          <w:numId w:val="65"/>
        </w:numPr>
        <w:spacing w:before="120"/>
        <w:rPr>
          <w:color w:val="000000"/>
          <w:sz w:val="18"/>
          <w:szCs w:val="18"/>
          <w:u w:color="000000"/>
        </w:rPr>
      </w:pPr>
      <w:r w:rsidRPr="00A4272B">
        <w:rPr>
          <w:b/>
          <w:bCs/>
          <w:color w:val="000000"/>
          <w:sz w:val="18"/>
          <w:szCs w:val="18"/>
          <w:u w:color="000000"/>
        </w:rPr>
        <w:t>Annual aggregation statistics</w:t>
      </w:r>
      <w:r w:rsidRPr="00A4272B">
        <w:rPr>
          <w:color w:val="000000"/>
          <w:sz w:val="18"/>
          <w:szCs w:val="18"/>
          <w:u w:color="000000"/>
        </w:rPr>
        <w:t>:</w:t>
      </w:r>
    </w:p>
    <w:p w14:paraId="47097519" w14:textId="4FE709DF" w:rsidR="002517EB" w:rsidRPr="00A4272B" w:rsidRDefault="002517EB">
      <w:pPr>
        <w:numPr>
          <w:ilvl w:val="1"/>
          <w:numId w:val="67"/>
        </w:numPr>
        <w:spacing w:before="120"/>
        <w:rPr>
          <w:color w:val="000000"/>
          <w:sz w:val="18"/>
          <w:szCs w:val="18"/>
          <w:u w:color="000000"/>
          <w:lang w:val="en-US"/>
        </w:rPr>
      </w:pPr>
      <w:r w:rsidRPr="00A4272B">
        <w:rPr>
          <w:b/>
          <w:bCs/>
          <w:color w:val="000000"/>
          <w:sz w:val="18"/>
          <w:szCs w:val="18"/>
          <w:u w:color="000000"/>
          <w:lang w:val="en-US"/>
        </w:rPr>
        <w:t>N</w:t>
      </w:r>
      <w:r w:rsidRPr="00A4272B">
        <w:rPr>
          <w:color w:val="000000"/>
          <w:sz w:val="18"/>
          <w:szCs w:val="18"/>
          <w:u w:color="000000"/>
          <w:lang w:val="en-US"/>
        </w:rPr>
        <w:t>: Total number of samples used for annual aggregation</w:t>
      </w:r>
      <w:r w:rsidR="003F50B4" w:rsidRPr="00A4272B">
        <w:rPr>
          <w:color w:val="000000"/>
          <w:sz w:val="18"/>
          <w:szCs w:val="18"/>
          <w:u w:color="000000"/>
          <w:lang w:val="en-US"/>
        </w:rPr>
        <w:t>;</w:t>
      </w:r>
    </w:p>
    <w:p w14:paraId="50DE1B1F" w14:textId="60BA23DD" w:rsidR="002517EB" w:rsidRPr="00A4272B" w:rsidRDefault="002517EB">
      <w:pPr>
        <w:numPr>
          <w:ilvl w:val="1"/>
          <w:numId w:val="67"/>
        </w:numPr>
        <w:spacing w:before="120"/>
        <w:rPr>
          <w:color w:val="000000"/>
          <w:sz w:val="18"/>
          <w:szCs w:val="18"/>
          <w:u w:color="000000"/>
          <w:lang w:val="en-US"/>
        </w:rPr>
      </w:pPr>
      <w:r w:rsidRPr="00A4272B">
        <w:rPr>
          <w:b/>
          <w:bCs/>
          <w:color w:val="000000"/>
          <w:sz w:val="18"/>
          <w:szCs w:val="18"/>
          <w:u w:color="000000"/>
          <w:lang w:val="en-US"/>
        </w:rPr>
        <w:t>N under LOQ</w:t>
      </w:r>
      <w:r w:rsidRPr="00A4272B">
        <w:rPr>
          <w:color w:val="000000"/>
          <w:sz w:val="18"/>
          <w:szCs w:val="18"/>
          <w:u w:color="000000"/>
          <w:lang w:val="en-US"/>
        </w:rPr>
        <w:t>: Number of samples below the limit of quantification (LOQ) each year</w:t>
      </w:r>
      <w:r w:rsidR="003F50B4" w:rsidRPr="00A4272B">
        <w:rPr>
          <w:color w:val="000000"/>
          <w:sz w:val="18"/>
          <w:szCs w:val="18"/>
          <w:u w:color="000000"/>
          <w:lang w:val="en-US"/>
        </w:rPr>
        <w:t>;</w:t>
      </w:r>
    </w:p>
    <w:p w14:paraId="73C34256" w14:textId="48F8ABA4" w:rsidR="002517EB" w:rsidRPr="00A4272B" w:rsidRDefault="002517EB">
      <w:pPr>
        <w:numPr>
          <w:ilvl w:val="1"/>
          <w:numId w:val="67"/>
        </w:numPr>
        <w:spacing w:before="120"/>
        <w:rPr>
          <w:color w:val="000000"/>
          <w:sz w:val="18"/>
          <w:szCs w:val="18"/>
          <w:u w:color="000000"/>
          <w:lang w:val="en-US"/>
        </w:rPr>
      </w:pPr>
      <w:r w:rsidRPr="00A4272B">
        <w:rPr>
          <w:b/>
          <w:bCs/>
          <w:color w:val="000000"/>
          <w:sz w:val="18"/>
          <w:szCs w:val="18"/>
          <w:u w:color="000000"/>
          <w:lang w:val="en-US"/>
        </w:rPr>
        <w:t>LOQ</w:t>
      </w:r>
      <w:r w:rsidRPr="00A4272B">
        <w:rPr>
          <w:color w:val="000000"/>
          <w:sz w:val="18"/>
          <w:szCs w:val="18"/>
          <w:u w:color="000000"/>
          <w:lang w:val="en-US"/>
        </w:rPr>
        <w:t>: The quantification limit level</w:t>
      </w:r>
      <w:r w:rsidR="003F50B4" w:rsidRPr="00A4272B">
        <w:rPr>
          <w:color w:val="000000"/>
          <w:sz w:val="18"/>
          <w:szCs w:val="18"/>
          <w:u w:color="000000"/>
          <w:lang w:val="en-US"/>
        </w:rPr>
        <w:t>;</w:t>
      </w:r>
    </w:p>
    <w:p w14:paraId="24D4C16C" w14:textId="7D12EE85" w:rsidR="002517EB" w:rsidRPr="00A4272B" w:rsidRDefault="002517EB">
      <w:pPr>
        <w:numPr>
          <w:ilvl w:val="1"/>
          <w:numId w:val="67"/>
        </w:numPr>
        <w:spacing w:before="120"/>
        <w:rPr>
          <w:color w:val="000000"/>
          <w:sz w:val="18"/>
          <w:szCs w:val="18"/>
          <w:u w:color="000000"/>
          <w:lang w:val="en-US"/>
        </w:rPr>
      </w:pPr>
      <w:r w:rsidRPr="00A4272B">
        <w:rPr>
          <w:b/>
          <w:bCs/>
          <w:color w:val="000000"/>
          <w:sz w:val="18"/>
          <w:szCs w:val="18"/>
          <w:u w:color="000000"/>
          <w:lang w:val="en-US"/>
        </w:rPr>
        <w:t>Central value</w:t>
      </w:r>
      <w:r w:rsidRPr="00A4272B">
        <w:rPr>
          <w:color w:val="000000"/>
          <w:sz w:val="18"/>
          <w:szCs w:val="18"/>
          <w:u w:color="000000"/>
          <w:lang w:val="en-US"/>
        </w:rPr>
        <w:t>: Result of the annual aggregation, which should be the median in the third and subsequent collection campaigns</w:t>
      </w:r>
      <w:r w:rsidR="003F50B4" w:rsidRPr="00A4272B">
        <w:rPr>
          <w:color w:val="000000"/>
          <w:sz w:val="18"/>
          <w:szCs w:val="18"/>
          <w:u w:color="000000"/>
          <w:lang w:val="en-US"/>
        </w:rPr>
        <w:t>;</w:t>
      </w:r>
    </w:p>
    <w:p w14:paraId="110D2088" w14:textId="1AE0FE57" w:rsidR="002517EB" w:rsidRPr="00A4272B" w:rsidRDefault="002517EB">
      <w:pPr>
        <w:numPr>
          <w:ilvl w:val="1"/>
          <w:numId w:val="67"/>
        </w:numPr>
        <w:spacing w:before="120"/>
        <w:rPr>
          <w:color w:val="000000"/>
          <w:sz w:val="18"/>
          <w:szCs w:val="18"/>
          <w:u w:color="000000"/>
          <w:lang w:val="en-US"/>
        </w:rPr>
      </w:pPr>
      <w:r w:rsidRPr="00A4272B">
        <w:rPr>
          <w:b/>
          <w:bCs/>
          <w:color w:val="000000"/>
          <w:sz w:val="18"/>
          <w:szCs w:val="18"/>
          <w:u w:color="000000"/>
          <w:lang w:val="en-US"/>
        </w:rPr>
        <w:t>Whisker bottom/top values</w:t>
      </w:r>
      <w:r w:rsidRPr="00A4272B">
        <w:rPr>
          <w:color w:val="000000"/>
          <w:sz w:val="18"/>
          <w:szCs w:val="18"/>
          <w:u w:color="000000"/>
          <w:lang w:val="en-US"/>
        </w:rPr>
        <w:t>: 5th and 95th percentiles of the annual aggregation</w:t>
      </w:r>
      <w:r w:rsidR="003F50B4" w:rsidRPr="00A4272B">
        <w:rPr>
          <w:color w:val="000000"/>
          <w:sz w:val="18"/>
          <w:szCs w:val="18"/>
          <w:u w:color="000000"/>
          <w:lang w:val="en-US"/>
        </w:rPr>
        <w:t>;</w:t>
      </w:r>
    </w:p>
    <w:p w14:paraId="3FA5C225" w14:textId="7E5A2626" w:rsidR="002517EB" w:rsidRPr="00A4272B" w:rsidRDefault="002517EB">
      <w:pPr>
        <w:numPr>
          <w:ilvl w:val="1"/>
          <w:numId w:val="67"/>
        </w:numPr>
        <w:spacing w:before="120"/>
        <w:rPr>
          <w:color w:val="000000"/>
          <w:sz w:val="18"/>
          <w:szCs w:val="18"/>
          <w:u w:color="000000"/>
          <w:lang w:val="en-US"/>
        </w:rPr>
      </w:pPr>
      <w:r w:rsidRPr="00A4272B">
        <w:rPr>
          <w:b/>
          <w:bCs/>
          <w:color w:val="000000"/>
          <w:sz w:val="18"/>
          <w:szCs w:val="18"/>
          <w:u w:color="000000"/>
          <w:lang w:val="en-US"/>
        </w:rPr>
        <w:t>Non-parametric Mann-Kendall trend test</w:t>
      </w:r>
      <w:r w:rsidRPr="00A4272B">
        <w:rPr>
          <w:color w:val="000000"/>
          <w:sz w:val="18"/>
          <w:szCs w:val="18"/>
          <w:u w:color="000000"/>
          <w:lang w:val="en-US"/>
        </w:rPr>
        <w:t>: Tau and corresponding p-value for trend assessment</w:t>
      </w:r>
      <w:r w:rsidR="003F50B4" w:rsidRPr="00A4272B">
        <w:rPr>
          <w:color w:val="000000"/>
          <w:sz w:val="18"/>
          <w:szCs w:val="18"/>
          <w:u w:color="000000"/>
          <w:lang w:val="en-US"/>
        </w:rPr>
        <w:t>;</w:t>
      </w:r>
    </w:p>
    <w:p w14:paraId="5515DCE2" w14:textId="77777777" w:rsidR="002517EB" w:rsidRPr="00A4272B" w:rsidRDefault="002517EB">
      <w:pPr>
        <w:numPr>
          <w:ilvl w:val="1"/>
          <w:numId w:val="67"/>
        </w:numPr>
        <w:spacing w:before="120"/>
        <w:rPr>
          <w:color w:val="000000"/>
          <w:sz w:val="18"/>
          <w:szCs w:val="18"/>
          <w:u w:color="000000"/>
          <w:lang w:val="en-US"/>
        </w:rPr>
      </w:pPr>
      <w:r w:rsidRPr="00A4272B">
        <w:rPr>
          <w:b/>
          <w:bCs/>
          <w:color w:val="000000"/>
          <w:sz w:val="18"/>
          <w:szCs w:val="18"/>
          <w:u w:color="000000"/>
          <w:lang w:val="en-US"/>
        </w:rPr>
        <w:t>sd(sm)</w:t>
      </w:r>
      <w:r w:rsidRPr="00A4272B">
        <w:rPr>
          <w:color w:val="000000"/>
          <w:sz w:val="18"/>
          <w:szCs w:val="18"/>
          <w:u w:color="000000"/>
          <w:lang w:val="en-US"/>
        </w:rPr>
        <w:t>: Square root of the residual variance around the smoothed line. The p-value from an Analysis of Variance (ANOVA) is reported to test the significance of the smoothed line, indicating any non-linear trend component if significant.</w:t>
      </w:r>
    </w:p>
    <w:p w14:paraId="7B1E75FE" w14:textId="77777777" w:rsidR="002517EB" w:rsidRPr="00A4272B" w:rsidRDefault="002517EB">
      <w:pPr>
        <w:snapToGrid/>
        <w:spacing w:after="0"/>
        <w:rPr>
          <w:rFonts w:ascii="Times New Roman Bold" w:hAnsi="Times New Roman Bold" w:hint="eastAsia"/>
          <w:b/>
          <w:bCs/>
          <w:snapToGrid w:val="0"/>
          <w:sz w:val="28"/>
          <w:szCs w:val="28"/>
          <w:lang w:val="en-US" w:eastAsia="x-none"/>
        </w:rPr>
      </w:pPr>
      <w:r w:rsidRPr="00A4272B">
        <w:rPr>
          <w:lang w:val="en-US"/>
        </w:rPr>
        <w:br w:type="page"/>
      </w:r>
    </w:p>
    <w:p w14:paraId="6FA57BD0" w14:textId="46D882CB" w:rsidR="00F3536C" w:rsidRPr="00A4272B" w:rsidRDefault="005C6203" w:rsidP="002A04E0">
      <w:pPr>
        <w:pStyle w:val="GMPHeading1"/>
        <w:rPr>
          <w:rFonts w:hint="eastAsia"/>
        </w:rPr>
      </w:pPr>
      <w:bookmarkStart w:id="58" w:name="_Toc187270481"/>
      <w:r w:rsidRPr="00A4272B">
        <w:lastRenderedPageBreak/>
        <w:t>4.</w:t>
      </w:r>
      <w:r w:rsidRPr="00A4272B">
        <w:tab/>
        <w:t>S</w:t>
      </w:r>
      <w:r w:rsidR="00F3536C" w:rsidRPr="00A4272B">
        <w:t>ampling and sampling preparation methodology</w:t>
      </w:r>
      <w:bookmarkEnd w:id="58"/>
    </w:p>
    <w:p w14:paraId="7408C875" w14:textId="2C660429" w:rsidR="00B32D2C" w:rsidRPr="00A4272B" w:rsidRDefault="00B32D2C" w:rsidP="00B32D2C">
      <w:pPr>
        <w:autoSpaceDE w:val="0"/>
        <w:autoSpaceDN w:val="0"/>
        <w:adjustRightInd w:val="0"/>
        <w:rPr>
          <w:color w:val="000000"/>
          <w:lang w:val="en-US"/>
        </w:rPr>
      </w:pPr>
      <w:r w:rsidRPr="00A4272B">
        <w:rPr>
          <w:color w:val="000000"/>
          <w:lang w:val="en-US"/>
        </w:rPr>
        <w:t>The GMP focuses on environmental background concentrations in media with high comparability to support the effectiveness evaluation of the Stockholm Convention. The Conference of the Parties has designated air monitoring and human exposure through breast milk or maternal blood as core media for the initial evaluation. For future evaluations, the Conference of the Parties has decided to supplement core data with additional media, including biota, water, soil, and sediments. This revised guidance aims to support these future evaluations, addressing the inclusion of supplemental media and specific considerations such as sampling protocols.</w:t>
      </w:r>
    </w:p>
    <w:p w14:paraId="0FFF3535" w14:textId="77777777" w:rsidR="00B32D2C" w:rsidRPr="00A4272B" w:rsidRDefault="00B32D2C" w:rsidP="00B32D2C">
      <w:pPr>
        <w:autoSpaceDE w:val="0"/>
        <w:autoSpaceDN w:val="0"/>
        <w:adjustRightInd w:val="0"/>
        <w:rPr>
          <w:color w:val="000000"/>
          <w:lang w:val="en-US"/>
        </w:rPr>
      </w:pPr>
      <w:r w:rsidRPr="00A4272B">
        <w:rPr>
          <w:color w:val="000000"/>
          <w:lang w:val="en-US"/>
        </w:rPr>
        <w:t>Below are some general considerations relevant to all GMP matrices:</w:t>
      </w:r>
    </w:p>
    <w:p w14:paraId="4CA8D9BE" w14:textId="1B3FACB4" w:rsidR="00B32D2C" w:rsidRPr="00A4272B" w:rsidRDefault="00B32D2C">
      <w:pPr>
        <w:numPr>
          <w:ilvl w:val="0"/>
          <w:numId w:val="64"/>
        </w:numPr>
        <w:autoSpaceDE w:val="0"/>
        <w:autoSpaceDN w:val="0"/>
        <w:adjustRightInd w:val="0"/>
        <w:rPr>
          <w:color w:val="000000"/>
          <w:lang w:val="en-US"/>
        </w:rPr>
      </w:pPr>
      <w:r w:rsidRPr="00A4272B">
        <w:rPr>
          <w:b/>
          <w:bCs/>
          <w:color w:val="000000"/>
          <w:lang w:val="en-US"/>
        </w:rPr>
        <w:t xml:space="preserve">Sampling </w:t>
      </w:r>
      <w:r w:rsidR="005E6D30" w:rsidRPr="00A4272B">
        <w:rPr>
          <w:b/>
          <w:bCs/>
          <w:color w:val="000000"/>
          <w:lang w:val="en-US"/>
        </w:rPr>
        <w:t>m</w:t>
      </w:r>
      <w:r w:rsidRPr="00A4272B">
        <w:rPr>
          <w:b/>
          <w:bCs/>
          <w:color w:val="000000"/>
          <w:lang w:val="en-US"/>
        </w:rPr>
        <w:t>ethodology:</w:t>
      </w:r>
      <w:r w:rsidRPr="00A4272B">
        <w:rPr>
          <w:color w:val="000000"/>
          <w:lang w:val="en-US"/>
        </w:rPr>
        <w:t xml:space="preserve"> Sampling should adhere to established methodological guidelines, agreed upon before starting any </w:t>
      </w:r>
      <w:r w:rsidR="002A6D39" w:rsidRPr="00A4272B">
        <w:rPr>
          <w:color w:val="000000"/>
          <w:lang w:val="en-US"/>
        </w:rPr>
        <w:t xml:space="preserve">programme </w:t>
      </w:r>
      <w:r w:rsidRPr="00A4272B">
        <w:rPr>
          <w:color w:val="000000"/>
          <w:lang w:val="en-US"/>
        </w:rPr>
        <w:t xml:space="preserve">activity in a region. If possible, samples in all </w:t>
      </w:r>
      <w:r w:rsidR="002A6D39" w:rsidRPr="00A4272B">
        <w:rPr>
          <w:color w:val="000000"/>
          <w:lang w:val="en-US"/>
        </w:rPr>
        <w:t xml:space="preserve">programmes </w:t>
      </w:r>
      <w:r w:rsidRPr="00A4272B">
        <w:rPr>
          <w:color w:val="000000"/>
          <w:lang w:val="en-US"/>
        </w:rPr>
        <w:t>should follow a consistent numbering system. Field or trip blanks should be included in all sampling activities, along with duplicate samples where possible, to allow for sample sharing and variance analysis</w:t>
      </w:r>
      <w:r w:rsidR="003F50B4" w:rsidRPr="00A4272B">
        <w:rPr>
          <w:color w:val="000000"/>
          <w:lang w:val="en-US"/>
        </w:rPr>
        <w:t>;</w:t>
      </w:r>
    </w:p>
    <w:p w14:paraId="04B61D4D" w14:textId="69D4B28D" w:rsidR="00B32D2C" w:rsidRPr="00A4272B" w:rsidRDefault="00B32D2C">
      <w:pPr>
        <w:numPr>
          <w:ilvl w:val="0"/>
          <w:numId w:val="64"/>
        </w:numPr>
        <w:autoSpaceDE w:val="0"/>
        <w:autoSpaceDN w:val="0"/>
        <w:adjustRightInd w:val="0"/>
        <w:rPr>
          <w:color w:val="000000"/>
          <w:lang w:val="en-US"/>
        </w:rPr>
      </w:pPr>
      <w:r w:rsidRPr="00A4272B">
        <w:rPr>
          <w:b/>
          <w:bCs/>
          <w:color w:val="000000"/>
          <w:lang w:val="en-US"/>
        </w:rPr>
        <w:t xml:space="preserve">Sampling </w:t>
      </w:r>
      <w:r w:rsidR="005E6D30" w:rsidRPr="00A4272B">
        <w:rPr>
          <w:b/>
          <w:bCs/>
          <w:color w:val="000000"/>
          <w:lang w:val="en-US"/>
        </w:rPr>
        <w:t>w</w:t>
      </w:r>
      <w:r w:rsidRPr="00A4272B">
        <w:rPr>
          <w:b/>
          <w:bCs/>
          <w:color w:val="000000"/>
          <w:lang w:val="en-US"/>
        </w:rPr>
        <w:t>indow:</w:t>
      </w:r>
      <w:r w:rsidRPr="00A4272B">
        <w:rPr>
          <w:color w:val="000000"/>
          <w:lang w:val="en-US"/>
        </w:rPr>
        <w:t xml:space="preserve"> The baseline sampling window is set around the year 2003, with a tolerance of plus or minus five years. Sampling frequency and timing should be harmonized across matrices as much as possible. Typically, samples should be collected at least annually and during the same period each year. However, for matrices with minimal seasonal influence (e.g., human breast milk), sampling frequency and timing may differ</w:t>
      </w:r>
      <w:r w:rsidR="003F50B4" w:rsidRPr="00A4272B">
        <w:rPr>
          <w:color w:val="000000"/>
          <w:lang w:val="en-US"/>
        </w:rPr>
        <w:t>;</w:t>
      </w:r>
    </w:p>
    <w:p w14:paraId="598ECD31" w14:textId="70917748" w:rsidR="00B32D2C" w:rsidRPr="00A4272B" w:rsidRDefault="00B32D2C">
      <w:pPr>
        <w:numPr>
          <w:ilvl w:val="0"/>
          <w:numId w:val="64"/>
        </w:numPr>
        <w:autoSpaceDE w:val="0"/>
        <w:autoSpaceDN w:val="0"/>
        <w:adjustRightInd w:val="0"/>
        <w:rPr>
          <w:color w:val="000000"/>
          <w:lang w:val="en-US"/>
        </w:rPr>
      </w:pPr>
      <w:r w:rsidRPr="00A4272B">
        <w:rPr>
          <w:b/>
          <w:bCs/>
          <w:color w:val="000000"/>
          <w:lang w:val="en-US"/>
        </w:rPr>
        <w:t xml:space="preserve">Sampling </w:t>
      </w:r>
      <w:r w:rsidR="005E6D30" w:rsidRPr="00A4272B">
        <w:rPr>
          <w:b/>
          <w:bCs/>
          <w:color w:val="000000"/>
          <w:lang w:val="en-US"/>
        </w:rPr>
        <w:t>f</w:t>
      </w:r>
      <w:r w:rsidRPr="00A4272B">
        <w:rPr>
          <w:b/>
          <w:bCs/>
          <w:color w:val="000000"/>
          <w:lang w:val="en-US"/>
        </w:rPr>
        <w:t xml:space="preserve">requency and </w:t>
      </w:r>
      <w:r w:rsidR="005E6D30" w:rsidRPr="00A4272B">
        <w:rPr>
          <w:b/>
          <w:bCs/>
          <w:color w:val="000000"/>
          <w:lang w:val="en-US"/>
        </w:rPr>
        <w:t>l</w:t>
      </w:r>
      <w:r w:rsidRPr="00A4272B">
        <w:rPr>
          <w:b/>
          <w:bCs/>
          <w:color w:val="000000"/>
          <w:lang w:val="en-US"/>
        </w:rPr>
        <w:t>ocation:</w:t>
      </w:r>
      <w:r w:rsidRPr="00A4272B">
        <w:rPr>
          <w:color w:val="000000"/>
          <w:lang w:val="en-US"/>
        </w:rPr>
        <w:t xml:space="preserve"> For effective statistical analysis, it is preferable to collect frequent samples from a single location rather than a few samples from multiple locations. More guidance on sample numbers is provided in Chapter 3</w:t>
      </w:r>
      <w:r w:rsidR="003F50B4" w:rsidRPr="00A4272B">
        <w:rPr>
          <w:color w:val="000000"/>
          <w:lang w:val="en-US"/>
        </w:rPr>
        <w:t>;</w:t>
      </w:r>
    </w:p>
    <w:p w14:paraId="5662AFCF" w14:textId="34846876" w:rsidR="00B32D2C" w:rsidRPr="00A4272B" w:rsidRDefault="00B32D2C">
      <w:pPr>
        <w:numPr>
          <w:ilvl w:val="0"/>
          <w:numId w:val="64"/>
        </w:numPr>
        <w:autoSpaceDE w:val="0"/>
        <w:autoSpaceDN w:val="0"/>
        <w:adjustRightInd w:val="0"/>
        <w:rPr>
          <w:color w:val="000000"/>
          <w:lang w:val="en-US"/>
        </w:rPr>
      </w:pPr>
      <w:r w:rsidRPr="00A4272B">
        <w:rPr>
          <w:b/>
          <w:bCs/>
          <w:color w:val="000000"/>
          <w:lang w:val="en-US"/>
        </w:rPr>
        <w:t xml:space="preserve">Sample </w:t>
      </w:r>
      <w:r w:rsidR="005E6D30" w:rsidRPr="00A4272B">
        <w:rPr>
          <w:b/>
          <w:bCs/>
          <w:color w:val="000000"/>
          <w:lang w:val="en-US"/>
        </w:rPr>
        <w:t>n</w:t>
      </w:r>
      <w:r w:rsidRPr="00A4272B">
        <w:rPr>
          <w:b/>
          <w:bCs/>
          <w:color w:val="000000"/>
          <w:lang w:val="en-US"/>
        </w:rPr>
        <w:t>anking</w:t>
      </w:r>
      <w:r w:rsidRPr="00A4272B">
        <w:rPr>
          <w:color w:val="000000"/>
          <w:lang w:val="en-US"/>
        </w:rPr>
        <w:t>: Sample banking should be considered for all samples. While it is an expensive and resource-intensive activity that requires long-term sustainability, it can provide valuable insights into exposures over time, especially for newly listed POPs, and is useful for retrospective studies. Additional guidance on environmental specimen banking is available in Chapter 8.</w:t>
      </w:r>
    </w:p>
    <w:p w14:paraId="66001E46" w14:textId="608CECB0" w:rsidR="00F3536C" w:rsidRPr="00A4272B" w:rsidRDefault="005C6203" w:rsidP="009C240D">
      <w:pPr>
        <w:pStyle w:val="GMPHeading2"/>
        <w:tabs>
          <w:tab w:val="clear" w:pos="360"/>
          <w:tab w:val="clear" w:pos="450"/>
          <w:tab w:val="clear" w:pos="540"/>
          <w:tab w:val="clear" w:pos="630"/>
        </w:tabs>
        <w:rPr>
          <w:rFonts w:hint="eastAsia"/>
        </w:rPr>
      </w:pPr>
      <w:bookmarkStart w:id="59" w:name="_Toc187270482"/>
      <w:r w:rsidRPr="00A4272B">
        <w:t>4.1</w:t>
      </w:r>
      <w:r w:rsidRPr="00A4272B">
        <w:tab/>
      </w:r>
      <w:r w:rsidR="00F3536C" w:rsidRPr="00A4272B">
        <w:t>Air</w:t>
      </w:r>
      <w:bookmarkEnd w:id="59"/>
    </w:p>
    <w:p w14:paraId="6167307C" w14:textId="17FCFE6A" w:rsidR="005E6D30" w:rsidRPr="00A4272B" w:rsidRDefault="005E6D30" w:rsidP="00006DC8">
      <w:pPr>
        <w:keepNext/>
        <w:rPr>
          <w:color w:val="000000"/>
          <w:lang w:val="en-US"/>
        </w:rPr>
      </w:pPr>
      <w:r w:rsidRPr="00A4272B">
        <w:rPr>
          <w:color w:val="000000"/>
          <w:lang w:val="en-US"/>
        </w:rPr>
        <w:t>The first three global monitoring reports</w:t>
      </w:r>
      <w:r w:rsidRPr="00A4272B">
        <w:rPr>
          <w:rStyle w:val="FootnoteReference"/>
          <w:lang w:val="en-US"/>
        </w:rPr>
        <w:footnoteReference w:id="13"/>
      </w:r>
      <w:r w:rsidRPr="00A4272B">
        <w:rPr>
          <w:color w:val="000000"/>
          <w:lang w:val="en-US"/>
        </w:rPr>
        <w:t xml:space="preserve"> revealed that most air data on POPs came from a relatively small, though growing, number of monitoring </w:t>
      </w:r>
      <w:r w:rsidR="002A6D39" w:rsidRPr="00A4272B">
        <w:rPr>
          <w:color w:val="000000"/>
          <w:lang w:val="en-US"/>
        </w:rPr>
        <w:t xml:space="preserve">programmes </w:t>
      </w:r>
      <w:r w:rsidRPr="00A4272B">
        <w:rPr>
          <w:color w:val="000000"/>
          <w:lang w:val="en-US"/>
        </w:rPr>
        <w:t xml:space="preserve">and highlighted the importance of continuing these </w:t>
      </w:r>
      <w:r w:rsidR="002A6D39" w:rsidRPr="00A4272B">
        <w:rPr>
          <w:color w:val="000000"/>
          <w:lang w:val="en-US"/>
        </w:rPr>
        <w:t xml:space="preserve">programmes </w:t>
      </w:r>
      <w:r w:rsidRPr="00A4272B">
        <w:rPr>
          <w:color w:val="000000"/>
          <w:lang w:val="en-US"/>
        </w:rPr>
        <w:t>(</w:t>
      </w:r>
      <w:r w:rsidR="009F04ED" w:rsidRPr="00A4272B">
        <w:rPr>
          <w:lang w:val="en-US"/>
        </w:rPr>
        <w:t>Figure</w:t>
      </w:r>
      <w:r w:rsidRPr="00A4272B">
        <w:rPr>
          <w:color w:val="000000"/>
          <w:lang w:val="en-US"/>
        </w:rPr>
        <w:t xml:space="preserve"> 4.1.1). The reports also showed that some regions lack sufficient data on POP levels in air, a gap that should be addressed through capacity-building efforts and the development of sustainable, coordinated air monitoring </w:t>
      </w:r>
      <w:r w:rsidR="008F74AD" w:rsidRPr="00A4272B">
        <w:rPr>
          <w:color w:val="000000"/>
          <w:lang w:val="en-US"/>
        </w:rPr>
        <w:t>programmes</w:t>
      </w:r>
      <w:r w:rsidRPr="00A4272B">
        <w:rPr>
          <w:color w:val="000000"/>
          <w:lang w:val="en-US"/>
        </w:rPr>
        <w:t>.</w:t>
      </w:r>
    </w:p>
    <w:p w14:paraId="7D1A33CA" w14:textId="190C539C" w:rsidR="00F3536C" w:rsidRPr="00A4272B" w:rsidRDefault="00362F5F" w:rsidP="00006DC8">
      <w:pPr>
        <w:keepNext/>
        <w:rPr>
          <w:lang w:val="en-US"/>
        </w:rPr>
      </w:pPr>
      <w:r w:rsidRPr="00A4272B">
        <w:rPr>
          <w:noProof/>
          <w:lang w:val="en-US" w:eastAsia="en-CA"/>
        </w:rPr>
        <w:drawing>
          <wp:inline distT="0" distB="0" distL="0" distR="0" wp14:anchorId="08F0408C" wp14:editId="0435E8F0">
            <wp:extent cx="6033770" cy="272224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stretch>
                      <a:fillRect/>
                    </a:stretch>
                  </pic:blipFill>
                  <pic:spPr bwMode="auto">
                    <a:xfrm>
                      <a:off x="0" y="0"/>
                      <a:ext cx="6033770" cy="2722245"/>
                    </a:xfrm>
                    <a:prstGeom prst="rect">
                      <a:avLst/>
                    </a:prstGeom>
                  </pic:spPr>
                </pic:pic>
              </a:graphicData>
            </a:graphic>
          </wp:inline>
        </w:drawing>
      </w:r>
    </w:p>
    <w:p w14:paraId="7141BAAD" w14:textId="08FB1E41" w:rsidR="00F3536C" w:rsidRPr="00A4272B" w:rsidRDefault="00F3536C" w:rsidP="00006DC8">
      <w:pPr>
        <w:rPr>
          <w:b/>
          <w:shd w:val="clear" w:color="auto" w:fill="FFFF00"/>
          <w:lang w:val="en-US"/>
        </w:rPr>
      </w:pPr>
      <w:r w:rsidRPr="00A4272B">
        <w:rPr>
          <w:b/>
          <w:lang w:val="en-US"/>
        </w:rPr>
        <w:t xml:space="preserve">Figure 4.1.1: </w:t>
      </w:r>
      <w:r w:rsidR="005E6D30" w:rsidRPr="00A4272B">
        <w:rPr>
          <w:b/>
          <w:lang w:val="en-US"/>
        </w:rPr>
        <w:t xml:space="preserve">Current active and passive air monitoring sites for POPs contributing to the GMP. </w:t>
      </w:r>
      <w:r w:rsidR="005E6D30" w:rsidRPr="00A4272B">
        <w:rPr>
          <w:bCs/>
          <w:sz w:val="18"/>
          <w:szCs w:val="18"/>
          <w:lang w:val="en-US"/>
        </w:rPr>
        <w:t xml:space="preserve">(Site details are provided in </w:t>
      </w:r>
      <w:r w:rsidR="0081578F" w:rsidRPr="00A4272B">
        <w:rPr>
          <w:bCs/>
          <w:sz w:val="18"/>
          <w:szCs w:val="18"/>
          <w:lang w:val="en-US"/>
        </w:rPr>
        <w:t>appendix II</w:t>
      </w:r>
      <w:r w:rsidR="005E6D30" w:rsidRPr="00A4272B">
        <w:rPr>
          <w:bCs/>
          <w:sz w:val="18"/>
          <w:szCs w:val="18"/>
          <w:lang w:val="en-US"/>
        </w:rPr>
        <w:t xml:space="preserve">, </w:t>
      </w:r>
      <w:r w:rsidR="0081578F" w:rsidRPr="00A4272B">
        <w:rPr>
          <w:bCs/>
          <w:sz w:val="18"/>
          <w:szCs w:val="18"/>
          <w:lang w:val="en-US"/>
        </w:rPr>
        <w:t>p</w:t>
      </w:r>
      <w:r w:rsidR="005E6D30" w:rsidRPr="00A4272B">
        <w:rPr>
          <w:bCs/>
          <w:sz w:val="18"/>
          <w:szCs w:val="18"/>
          <w:lang w:val="en-US"/>
        </w:rPr>
        <w:t>art I.)</w:t>
      </w:r>
    </w:p>
    <w:p w14:paraId="68370DFA" w14:textId="77777777" w:rsidR="005E6D30" w:rsidRPr="00A4272B" w:rsidRDefault="005E6D30" w:rsidP="005E6D30">
      <w:pPr>
        <w:rPr>
          <w:lang w:val="en-US"/>
        </w:rPr>
      </w:pPr>
      <w:r w:rsidRPr="00A4272B">
        <w:rPr>
          <w:lang w:val="en-US"/>
        </w:rPr>
        <w:lastRenderedPageBreak/>
        <w:t>Key recommendations from these reports support both new and ongoing efforts to assess POPs in air for effectiveness evaluation, including:</w:t>
      </w:r>
    </w:p>
    <w:p w14:paraId="232012CD" w14:textId="43E7ABEB" w:rsidR="005E6D30" w:rsidRPr="00A4272B" w:rsidRDefault="005E6D30">
      <w:pPr>
        <w:numPr>
          <w:ilvl w:val="0"/>
          <w:numId w:val="35"/>
        </w:numPr>
        <w:rPr>
          <w:lang w:val="en-US"/>
        </w:rPr>
      </w:pPr>
      <w:r w:rsidRPr="00A4272B">
        <w:rPr>
          <w:lang w:val="en-US"/>
        </w:rPr>
        <w:t xml:space="preserve">Ensuring internal data consistency within </w:t>
      </w:r>
      <w:r w:rsidR="002A6D39" w:rsidRPr="00A4272B">
        <w:rPr>
          <w:lang w:val="en-US"/>
        </w:rPr>
        <w:t xml:space="preserve">programmes </w:t>
      </w:r>
      <w:r w:rsidRPr="00A4272B">
        <w:rPr>
          <w:lang w:val="en-US"/>
        </w:rPr>
        <w:t xml:space="preserve">to enable reliable trend evaluations over time and striving for comparability across </w:t>
      </w:r>
      <w:r w:rsidR="002A6D39" w:rsidRPr="00A4272B">
        <w:rPr>
          <w:lang w:val="en-US"/>
        </w:rPr>
        <w:t xml:space="preserve">programmes </w:t>
      </w:r>
      <w:r w:rsidRPr="00A4272B">
        <w:rPr>
          <w:lang w:val="en-US"/>
        </w:rPr>
        <w:t>so that data sets can be merged and made available through the GMP database</w:t>
      </w:r>
      <w:r w:rsidR="003F50B4" w:rsidRPr="00A4272B">
        <w:rPr>
          <w:lang w:val="en-US"/>
        </w:rPr>
        <w:t>;</w:t>
      </w:r>
    </w:p>
    <w:p w14:paraId="207E1A4A" w14:textId="1B910D1A" w:rsidR="005E6D30" w:rsidRPr="00A4272B" w:rsidRDefault="005E6D30">
      <w:pPr>
        <w:numPr>
          <w:ilvl w:val="0"/>
          <w:numId w:val="35"/>
        </w:numPr>
        <w:rPr>
          <w:lang w:val="en-US"/>
        </w:rPr>
      </w:pPr>
      <w:r w:rsidRPr="00A4272B">
        <w:rPr>
          <w:lang w:val="en-US"/>
        </w:rPr>
        <w:t>Requiring laboratories contributing to the GMP to participate in international interlaboratory assessments</w:t>
      </w:r>
      <w:r w:rsidR="003F50B4" w:rsidRPr="00A4272B">
        <w:rPr>
          <w:lang w:val="en-US"/>
        </w:rPr>
        <w:t>;</w:t>
      </w:r>
    </w:p>
    <w:p w14:paraId="20C35E3A" w14:textId="3F241B28" w:rsidR="005E6D30" w:rsidRPr="00A4272B" w:rsidRDefault="005E6D30">
      <w:pPr>
        <w:numPr>
          <w:ilvl w:val="0"/>
          <w:numId w:val="35"/>
        </w:numPr>
        <w:rPr>
          <w:lang w:val="en-US"/>
        </w:rPr>
      </w:pPr>
      <w:r w:rsidRPr="00A4272B">
        <w:rPr>
          <w:lang w:val="en-US"/>
        </w:rPr>
        <w:t>Consistently applying methods/models for deriving air concentrations of POPs from passive samplers, with preference for a single, well-documented model</w:t>
      </w:r>
      <w:r w:rsidR="003F50B4" w:rsidRPr="00A4272B">
        <w:rPr>
          <w:lang w:val="en-US"/>
        </w:rPr>
        <w:t>;</w:t>
      </w:r>
    </w:p>
    <w:p w14:paraId="0202ACA4" w14:textId="322344B9" w:rsidR="005E6D30" w:rsidRPr="00A4272B" w:rsidRDefault="005E6D30">
      <w:pPr>
        <w:numPr>
          <w:ilvl w:val="0"/>
          <w:numId w:val="35"/>
        </w:numPr>
        <w:rPr>
          <w:lang w:val="en-US"/>
        </w:rPr>
      </w:pPr>
      <w:r w:rsidRPr="00A4272B">
        <w:rPr>
          <w:lang w:val="en-US"/>
        </w:rPr>
        <w:t xml:space="preserve">Developing new, sustainable </w:t>
      </w:r>
      <w:r w:rsidR="002A6D39" w:rsidRPr="00A4272B">
        <w:rPr>
          <w:lang w:val="en-US"/>
        </w:rPr>
        <w:t xml:space="preserve">programmes </w:t>
      </w:r>
      <w:r w:rsidRPr="00A4272B">
        <w:rPr>
          <w:lang w:val="en-US"/>
        </w:rPr>
        <w:t xml:space="preserve">to fill data gaps in POPs air monitoring, leveraging partnerships with existing </w:t>
      </w:r>
      <w:r w:rsidR="008F74AD" w:rsidRPr="00A4272B">
        <w:rPr>
          <w:lang w:val="en-US"/>
        </w:rPr>
        <w:t>programmes</w:t>
      </w:r>
      <w:r w:rsidRPr="00A4272B">
        <w:rPr>
          <w:lang w:val="en-US"/>
        </w:rPr>
        <w:t>. A specimen banking strategy (e.g., archiving air samples for future analysis) should be considered when current analytical capacity is limited</w:t>
      </w:r>
      <w:r w:rsidR="003F50B4" w:rsidRPr="00A4272B">
        <w:rPr>
          <w:lang w:val="en-US"/>
        </w:rPr>
        <w:t>;</w:t>
      </w:r>
    </w:p>
    <w:p w14:paraId="3BA5D3B0" w14:textId="6E386C5C" w:rsidR="005E6D30" w:rsidRPr="00A4272B" w:rsidRDefault="005E6D30">
      <w:pPr>
        <w:numPr>
          <w:ilvl w:val="0"/>
          <w:numId w:val="35"/>
        </w:numPr>
        <w:rPr>
          <w:lang w:val="en-US"/>
        </w:rPr>
      </w:pPr>
      <w:r w:rsidRPr="00A4272B">
        <w:rPr>
          <w:lang w:val="en-US"/>
        </w:rPr>
        <w:t>Addressing data gaps for water-soluble POPs in air by using available precipitation data and historical records from ice cores</w:t>
      </w:r>
      <w:r w:rsidR="003F50B4" w:rsidRPr="00A4272B">
        <w:rPr>
          <w:lang w:val="en-US"/>
        </w:rPr>
        <w:t>;</w:t>
      </w:r>
    </w:p>
    <w:p w14:paraId="63B6E50C" w14:textId="31D0331E" w:rsidR="005E6D30" w:rsidRPr="00A4272B" w:rsidRDefault="005E6D30">
      <w:pPr>
        <w:numPr>
          <w:ilvl w:val="0"/>
          <w:numId w:val="35"/>
        </w:numPr>
        <w:rPr>
          <w:lang w:val="en-US"/>
        </w:rPr>
      </w:pPr>
      <w:r w:rsidRPr="00A4272B">
        <w:rPr>
          <w:lang w:val="en-US"/>
        </w:rPr>
        <w:t>Securing additional funding and resources to meet the demand for analysis of new POPs. Where declining trends are evident, analysis frequency for legacy POPs (e.g., PCBs, organochlorine pesticides) could be reduced to relieve resource pressure. Optimizing analytical methods and forming laboratory partnerships can also address specialized analytical needs, as it is unnecessary for each laboratory to be an expert in every class of POPs</w:t>
      </w:r>
      <w:r w:rsidR="003F50B4" w:rsidRPr="00A4272B">
        <w:rPr>
          <w:lang w:val="en-US"/>
        </w:rPr>
        <w:t>;</w:t>
      </w:r>
    </w:p>
    <w:p w14:paraId="7A7DF398" w14:textId="77777777" w:rsidR="005E6D30" w:rsidRPr="00A4272B" w:rsidRDefault="005E6D30">
      <w:pPr>
        <w:numPr>
          <w:ilvl w:val="0"/>
          <w:numId w:val="35"/>
        </w:numPr>
        <w:rPr>
          <w:lang w:val="en-US"/>
        </w:rPr>
      </w:pPr>
      <w:r w:rsidRPr="00A4272B">
        <w:rPr>
          <w:lang w:val="en-US"/>
        </w:rPr>
        <w:t>Starting air monitoring of newly listed POPs as soon as possible to establish adequate baselines.</w:t>
      </w:r>
    </w:p>
    <w:p w14:paraId="4CF7002F" w14:textId="609CDEBD" w:rsidR="005E6D30" w:rsidRPr="00A4272B" w:rsidRDefault="005E6D30">
      <w:pPr>
        <w:numPr>
          <w:ilvl w:val="0"/>
          <w:numId w:val="35"/>
        </w:numPr>
        <w:rPr>
          <w:lang w:val="en-US"/>
        </w:rPr>
      </w:pPr>
      <w:r w:rsidRPr="00A4272B">
        <w:rPr>
          <w:lang w:val="en-US"/>
        </w:rPr>
        <w:t>Recognizing that, in some locations, air concentration responses to control measures may be delayed due to the persistence of POPs</w:t>
      </w:r>
      <w:r w:rsidR="003F50B4" w:rsidRPr="00A4272B">
        <w:rPr>
          <w:lang w:val="en-US"/>
        </w:rPr>
        <w:t>;</w:t>
      </w:r>
    </w:p>
    <w:p w14:paraId="3ACEEF8E" w14:textId="65288D97" w:rsidR="005E6D30" w:rsidRPr="00A4272B" w:rsidRDefault="005E6D30">
      <w:pPr>
        <w:numPr>
          <w:ilvl w:val="0"/>
          <w:numId w:val="35"/>
        </w:numPr>
        <w:rPr>
          <w:lang w:val="en-US"/>
        </w:rPr>
      </w:pPr>
      <w:r w:rsidRPr="00A4272B">
        <w:rPr>
          <w:lang w:val="en-US"/>
        </w:rPr>
        <w:t>Considering strategies to better connect POP monitoring data with toxicity indicator tests to assess the long-term, cumulative effects of chemical mixtures in the environment</w:t>
      </w:r>
      <w:r w:rsidR="003F50B4" w:rsidRPr="00A4272B">
        <w:rPr>
          <w:lang w:val="en-US"/>
        </w:rPr>
        <w:t>;</w:t>
      </w:r>
    </w:p>
    <w:p w14:paraId="2FC8E451" w14:textId="4C8674C8" w:rsidR="005E6D30" w:rsidRPr="00A4272B" w:rsidRDefault="005E6D30">
      <w:pPr>
        <w:numPr>
          <w:ilvl w:val="0"/>
          <w:numId w:val="35"/>
        </w:numPr>
        <w:rPr>
          <w:lang w:val="en-US"/>
        </w:rPr>
      </w:pPr>
      <w:r w:rsidRPr="00A4272B">
        <w:rPr>
          <w:lang w:val="en-US"/>
        </w:rPr>
        <w:t>Exploring links between air monitoring for POPs under the GMP and cross-cutting issues in climate science and biodiversity to understand and interpret data in a broader context and to pursue co-monitoring opportunities</w:t>
      </w:r>
      <w:r w:rsidR="003F50B4" w:rsidRPr="00A4272B">
        <w:rPr>
          <w:lang w:val="en-US"/>
        </w:rPr>
        <w:t>;</w:t>
      </w:r>
    </w:p>
    <w:p w14:paraId="48EBC713" w14:textId="77777777" w:rsidR="005E6D30" w:rsidRPr="00A4272B" w:rsidRDefault="005E6D30">
      <w:pPr>
        <w:numPr>
          <w:ilvl w:val="0"/>
          <w:numId w:val="35"/>
        </w:numPr>
        <w:rPr>
          <w:lang w:val="en-US"/>
        </w:rPr>
      </w:pPr>
      <w:r w:rsidRPr="00A4272B">
        <w:rPr>
          <w:lang w:val="en-US"/>
        </w:rPr>
        <w:t>Factoring in elements that influence POP concentrations in air, such as changes in primary and secondary emissions and climate effects, for accurate trend interpretation, potentially with the assistance of models.</w:t>
      </w:r>
    </w:p>
    <w:p w14:paraId="184100F7" w14:textId="77459F2E" w:rsidR="005E6D30" w:rsidRPr="00A4272B" w:rsidRDefault="005E6D30" w:rsidP="005E6D30">
      <w:pPr>
        <w:rPr>
          <w:lang w:val="en-US"/>
        </w:rPr>
      </w:pPr>
      <w:r w:rsidRPr="00A4272B">
        <w:rPr>
          <w:lang w:val="en-US"/>
        </w:rPr>
        <w:t>In addition to this guidance, several other resources provide valuable information on best practices for measuring POPs and new priority chemicals in air. These include reports from AMAP</w:t>
      </w:r>
      <w:r w:rsidRPr="00A4272B">
        <w:rPr>
          <w:rStyle w:val="FootnoteReference"/>
          <w:lang w:val="en-US"/>
        </w:rPr>
        <w:footnoteReference w:id="14"/>
      </w:r>
      <w:r w:rsidRPr="00A4272B">
        <w:rPr>
          <w:lang w:val="en-US"/>
        </w:rPr>
        <w:t xml:space="preserve"> and current methodologies in the peer-reviewed literature, which can be particularly useful for specific technical and analytical challenges. Interested parties are encouraged to consult these sources and contact international experts directly for guidance.</w:t>
      </w:r>
    </w:p>
    <w:p w14:paraId="2E64B8BB" w14:textId="1580EFC7" w:rsidR="00F3536C" w:rsidRPr="00A4272B" w:rsidRDefault="001F665D" w:rsidP="00817D9F">
      <w:pPr>
        <w:pStyle w:val="Heading3"/>
        <w:rPr>
          <w:rFonts w:hint="eastAsia"/>
        </w:rPr>
      </w:pPr>
      <w:bookmarkStart w:id="60" w:name="_Toc535584328"/>
      <w:bookmarkStart w:id="61" w:name="_Toc531634"/>
      <w:bookmarkStart w:id="62" w:name="_Toc532154"/>
      <w:bookmarkStart w:id="63" w:name="_Toc532367"/>
      <w:bookmarkStart w:id="64" w:name="_Toc1467868"/>
      <w:bookmarkStart w:id="65" w:name="_Toc1468041"/>
      <w:bookmarkStart w:id="66" w:name="_Toc1483925"/>
      <w:bookmarkStart w:id="67" w:name="_Toc65306469"/>
      <w:bookmarkStart w:id="68" w:name="_Toc187270483"/>
      <w:r w:rsidRPr="00A4272B">
        <w:t>4</w:t>
      </w:r>
      <w:r w:rsidR="00F3536C" w:rsidRPr="00A4272B">
        <w:t>.1.1</w:t>
      </w:r>
      <w:r w:rsidR="00F3536C" w:rsidRPr="00A4272B">
        <w:tab/>
        <w:t>Experimental design</w:t>
      </w:r>
      <w:bookmarkEnd w:id="60"/>
      <w:bookmarkEnd w:id="61"/>
      <w:bookmarkEnd w:id="62"/>
      <w:bookmarkEnd w:id="63"/>
      <w:bookmarkEnd w:id="64"/>
      <w:bookmarkEnd w:id="65"/>
      <w:bookmarkEnd w:id="66"/>
      <w:bookmarkEnd w:id="67"/>
      <w:bookmarkEnd w:id="68"/>
    </w:p>
    <w:p w14:paraId="690F97C7" w14:textId="385F2B8C" w:rsidR="00F3536C" w:rsidRPr="00A4272B" w:rsidRDefault="00F3536C" w:rsidP="00817D9F">
      <w:pPr>
        <w:pStyle w:val="Heading4"/>
        <w:rPr>
          <w:rFonts w:hint="eastAsia"/>
        </w:rPr>
      </w:pPr>
      <w:bookmarkStart w:id="69" w:name="_Toc514239663"/>
      <w:bookmarkStart w:id="70" w:name="_Toc514240567"/>
      <w:bookmarkStart w:id="71" w:name="_Toc514240731"/>
      <w:bookmarkStart w:id="72" w:name="_Toc514243118"/>
      <w:bookmarkStart w:id="73" w:name="_Toc514752011"/>
      <w:bookmarkStart w:id="74" w:name="_Toc535584329"/>
      <w:bookmarkStart w:id="75" w:name="_Toc531635"/>
      <w:bookmarkStart w:id="76" w:name="_Toc532155"/>
      <w:bookmarkStart w:id="77" w:name="_Toc532368"/>
      <w:bookmarkStart w:id="78" w:name="_Toc1467869"/>
      <w:bookmarkStart w:id="79" w:name="_Toc1468042"/>
      <w:bookmarkStart w:id="80" w:name="_Toc1483926"/>
      <w:bookmarkStart w:id="81" w:name="_Toc65306470"/>
      <w:r w:rsidRPr="00A4272B">
        <w:t>Sampling sites</w:t>
      </w:r>
      <w:bookmarkEnd w:id="69"/>
      <w:bookmarkEnd w:id="70"/>
      <w:bookmarkEnd w:id="71"/>
      <w:bookmarkEnd w:id="72"/>
      <w:bookmarkEnd w:id="73"/>
      <w:bookmarkEnd w:id="74"/>
      <w:bookmarkEnd w:id="75"/>
      <w:bookmarkEnd w:id="76"/>
      <w:bookmarkEnd w:id="77"/>
      <w:bookmarkEnd w:id="78"/>
      <w:bookmarkEnd w:id="79"/>
      <w:bookmarkEnd w:id="80"/>
      <w:bookmarkEnd w:id="81"/>
    </w:p>
    <w:p w14:paraId="3C2189D3" w14:textId="77777777" w:rsidR="003B4BCD" w:rsidRPr="00A4272B" w:rsidRDefault="003B4BCD" w:rsidP="003B4BCD">
      <w:pPr>
        <w:rPr>
          <w:color w:val="000000"/>
          <w:lang w:val="en-US"/>
        </w:rPr>
      </w:pPr>
      <w:bookmarkStart w:id="82" w:name="_Toc514239664"/>
      <w:bookmarkStart w:id="83" w:name="_Toc514240568"/>
      <w:bookmarkStart w:id="84" w:name="_Toc514240732"/>
      <w:bookmarkStart w:id="85" w:name="_Toc514243119"/>
      <w:bookmarkStart w:id="86" w:name="_Toc514752012"/>
      <w:bookmarkStart w:id="87" w:name="_Toc535584330"/>
      <w:bookmarkStart w:id="88" w:name="_Toc531636"/>
      <w:bookmarkStart w:id="89" w:name="_Toc532156"/>
      <w:bookmarkStart w:id="90" w:name="_Toc532369"/>
      <w:bookmarkStart w:id="91" w:name="_Toc1467870"/>
      <w:bookmarkStart w:id="92" w:name="_Toc1468043"/>
      <w:bookmarkStart w:id="93" w:name="_Toc1483927"/>
      <w:bookmarkStart w:id="94" w:name="_Toc65306471"/>
      <w:r w:rsidRPr="00A4272B">
        <w:rPr>
          <w:color w:val="000000"/>
          <w:lang w:val="en-US"/>
        </w:rPr>
        <w:t>The goal of the ambient air sampling network is to collect representative data for assessing baselines and trends over time and space, as well as for monitoring regional and global transport of POPs. Here, "representative" implies having enough sampling sites to draw general conclusions about POP trends, while acknowledging that the full heterogeneity of the region may not be captured. Achieving comprehensive geographical coverage in any given region or continent is economically infeasible and would require an extremely dense sampling network and extensive preliminary work to understand regional variability in POP concentrations in the air.</w:t>
      </w:r>
    </w:p>
    <w:p w14:paraId="6DB14A9A" w14:textId="77777777" w:rsidR="003B4BCD" w:rsidRPr="00A4272B" w:rsidRDefault="003B4BCD" w:rsidP="003B4BCD">
      <w:pPr>
        <w:rPr>
          <w:color w:val="000000"/>
          <w:lang w:val="en-US"/>
        </w:rPr>
      </w:pPr>
      <w:r w:rsidRPr="00A4272B">
        <w:rPr>
          <w:color w:val="000000"/>
          <w:lang w:val="en-US"/>
        </w:rPr>
        <w:t>To effectively monitor POP trends, each region under the GMP should initially aim to include:</w:t>
      </w:r>
    </w:p>
    <w:p w14:paraId="6B56839B" w14:textId="3B6DE808" w:rsidR="003B4BCD" w:rsidRPr="00A4272B" w:rsidRDefault="003B4BCD">
      <w:pPr>
        <w:numPr>
          <w:ilvl w:val="0"/>
          <w:numId w:val="42"/>
        </w:numPr>
        <w:rPr>
          <w:color w:val="000000"/>
          <w:lang w:val="en-US"/>
        </w:rPr>
      </w:pPr>
      <w:r w:rsidRPr="00A4272B">
        <w:rPr>
          <w:b/>
          <w:bCs/>
          <w:color w:val="000000"/>
          <w:lang w:val="en-US"/>
        </w:rPr>
        <w:t>One or more active high-volume air sampling stations (super sites)</w:t>
      </w:r>
      <w:r w:rsidRPr="00A4272B">
        <w:rPr>
          <w:color w:val="000000"/>
          <w:lang w:val="en-US"/>
        </w:rPr>
        <w:t>: These stations can provide episodic or cumulative sampling (e.g., 1–2 days each week or continuously for 1–2 weeks) throughout the year. Samples could be separated into particulate and gaseous fractions. Currently, not all regions have a high-volume station reporting to the GMP, likely due to the higher costs and infrastructure needed to operate these samplers</w:t>
      </w:r>
      <w:r w:rsidR="003F50B4" w:rsidRPr="00A4272B">
        <w:rPr>
          <w:color w:val="000000"/>
          <w:lang w:val="en-US"/>
        </w:rPr>
        <w:t>;</w:t>
      </w:r>
    </w:p>
    <w:p w14:paraId="7103B5B6" w14:textId="77777777" w:rsidR="003B4BCD" w:rsidRPr="00A4272B" w:rsidRDefault="003B4BCD">
      <w:pPr>
        <w:numPr>
          <w:ilvl w:val="0"/>
          <w:numId w:val="42"/>
        </w:numPr>
        <w:rPr>
          <w:color w:val="000000"/>
          <w:lang w:val="en-US"/>
        </w:rPr>
      </w:pPr>
      <w:r w:rsidRPr="00A4272B">
        <w:rPr>
          <w:b/>
          <w:bCs/>
          <w:color w:val="000000"/>
          <w:lang w:val="en-US"/>
        </w:rPr>
        <w:t>A network of 10 to 15 passive sampling stations</w:t>
      </w:r>
      <w:r w:rsidRPr="00A4272B">
        <w:rPr>
          <w:color w:val="000000"/>
          <w:lang w:val="en-US"/>
        </w:rPr>
        <w:t xml:space="preserve">: Passive stations provide continuous, cumulative sampling over integration periods from a few months to a year. Co-locating passive samplers with high-volume stations is beneficial for comparison purposes. Passive samplers are being established across all GMP </w:t>
      </w:r>
      <w:r w:rsidRPr="00A4272B">
        <w:rPr>
          <w:color w:val="000000"/>
          <w:lang w:val="en-US"/>
        </w:rPr>
        <w:lastRenderedPageBreak/>
        <w:t>regions, significantly improving spatial resolution and insights into POP sources, transport, and trends over time.</w:t>
      </w:r>
    </w:p>
    <w:p w14:paraId="365EF03E" w14:textId="2E452B0A" w:rsidR="003B4BCD" w:rsidRPr="00A4272B" w:rsidRDefault="003B4BCD" w:rsidP="003B4BCD">
      <w:pPr>
        <w:rPr>
          <w:color w:val="000000"/>
          <w:lang w:val="en-US"/>
        </w:rPr>
      </w:pPr>
      <w:r w:rsidRPr="00A4272B">
        <w:rPr>
          <w:color w:val="000000"/>
          <w:lang w:val="en-US"/>
        </w:rPr>
        <w:t xml:space="preserve">Protocols, standard operating procedures, and detailed guidance on air sampling, sample treatment, and analysis are provided in </w:t>
      </w:r>
      <w:r w:rsidR="0081578F" w:rsidRPr="00A4272B">
        <w:rPr>
          <w:color w:val="000000"/>
          <w:lang w:val="en-US"/>
        </w:rPr>
        <w:t>appendix II</w:t>
      </w:r>
      <w:r w:rsidRPr="00A4272B">
        <w:rPr>
          <w:color w:val="000000"/>
          <w:lang w:val="en-US"/>
        </w:rPr>
        <w:t xml:space="preserve">, </w:t>
      </w:r>
      <w:r w:rsidR="0081578F" w:rsidRPr="00A4272B">
        <w:rPr>
          <w:color w:val="000000"/>
          <w:lang w:val="en-US"/>
        </w:rPr>
        <w:t>p</w:t>
      </w:r>
      <w:r w:rsidRPr="00A4272B">
        <w:rPr>
          <w:color w:val="000000"/>
          <w:lang w:val="en-US"/>
        </w:rPr>
        <w:t>art II. Links to training videos are included at the end of this chapter.</w:t>
      </w:r>
    </w:p>
    <w:p w14:paraId="7C9094E7" w14:textId="702C1968" w:rsidR="00F3536C" w:rsidRPr="00A4272B" w:rsidRDefault="00F3536C" w:rsidP="00817D9F">
      <w:pPr>
        <w:pStyle w:val="Heading4"/>
        <w:rPr>
          <w:rFonts w:hint="eastAsia"/>
        </w:rPr>
      </w:pPr>
      <w:r w:rsidRPr="00A4272B">
        <w:t>Sit</w:t>
      </w:r>
      <w:r w:rsidR="007C6054" w:rsidRPr="00A4272B">
        <w:t>ing</w:t>
      </w:r>
      <w:r w:rsidRPr="00A4272B">
        <w:t xml:space="preserve"> considerations</w:t>
      </w:r>
      <w:bookmarkEnd w:id="82"/>
      <w:bookmarkEnd w:id="83"/>
      <w:bookmarkEnd w:id="84"/>
      <w:bookmarkEnd w:id="85"/>
      <w:bookmarkEnd w:id="86"/>
      <w:bookmarkEnd w:id="87"/>
      <w:bookmarkEnd w:id="88"/>
      <w:bookmarkEnd w:id="89"/>
      <w:bookmarkEnd w:id="90"/>
      <w:bookmarkEnd w:id="91"/>
      <w:bookmarkEnd w:id="92"/>
      <w:bookmarkEnd w:id="93"/>
      <w:bookmarkEnd w:id="94"/>
    </w:p>
    <w:p w14:paraId="47782F2B" w14:textId="5AD1F9C7" w:rsidR="003B4BCD" w:rsidRPr="00A4272B" w:rsidRDefault="003B4BCD" w:rsidP="003B4BCD">
      <w:pPr>
        <w:autoSpaceDE w:val="0"/>
        <w:rPr>
          <w:lang w:val="en-US"/>
        </w:rPr>
      </w:pPr>
      <w:r w:rsidRPr="00A4272B">
        <w:rPr>
          <w:lang w:val="en-US"/>
        </w:rPr>
        <w:t xml:space="preserve">A combination of long-term active sampling sites, supplemented by a larger number of passive sampling sites, creates a cost-effective </w:t>
      </w:r>
      <w:r w:rsidR="002A6D39" w:rsidRPr="00A4272B">
        <w:rPr>
          <w:lang w:val="en-US"/>
        </w:rPr>
        <w:t xml:space="preserve">programme </w:t>
      </w:r>
      <w:r w:rsidRPr="00A4272B">
        <w:rPr>
          <w:lang w:val="en-US"/>
        </w:rPr>
        <w:t>with the flexibility to address various issues. The regional availability of laboratories, along with considerations of sources and air transport pathways, will shape the spatial configuration and density of the network.</w:t>
      </w:r>
    </w:p>
    <w:p w14:paraId="68B671CA" w14:textId="77777777" w:rsidR="003B4BCD" w:rsidRPr="00A4272B" w:rsidRDefault="003B4BCD" w:rsidP="003B4BCD">
      <w:pPr>
        <w:autoSpaceDE w:val="0"/>
        <w:rPr>
          <w:lang w:val="en-US"/>
        </w:rPr>
      </w:pPr>
      <w:r w:rsidRPr="00A4272B">
        <w:rPr>
          <w:lang w:val="en-US"/>
        </w:rPr>
        <w:t>Encouraging cooperation among countries within regions and consulting with POPs modelers are important steps to ensure optimal site selection and standardized observational practices. Wherever possible, existing facilities that conduct other atmospheric composition measurements should be utilized.</w:t>
      </w:r>
    </w:p>
    <w:p w14:paraId="3A38452C" w14:textId="425A6D1A" w:rsidR="003B4BCD" w:rsidRPr="00A4272B" w:rsidRDefault="003B4BCD" w:rsidP="003B4BCD">
      <w:pPr>
        <w:autoSpaceDE w:val="0"/>
        <w:rPr>
          <w:lang w:val="en-US"/>
        </w:rPr>
      </w:pPr>
      <w:r w:rsidRPr="00A4272B">
        <w:rPr>
          <w:lang w:val="en-US"/>
        </w:rPr>
        <w:t xml:space="preserve">The positioning and installation of samplers should follow standard operating procedures for air sampling </w:t>
      </w:r>
      <w:r w:rsidR="00AF4A1F" w:rsidRPr="00A4272B">
        <w:rPr>
          <w:lang w:val="en-US"/>
        </w:rPr>
        <w:t>programmes,</w:t>
      </w:r>
      <w:r w:rsidRPr="00A4272B">
        <w:rPr>
          <w:lang w:val="en-US"/>
        </w:rPr>
        <w:t xml:space="preserve"> with detailed descriptions provided for each selected site. General criteria for site selection include:</w:t>
      </w:r>
    </w:p>
    <w:p w14:paraId="1BC28D51" w14:textId="69F27CD1" w:rsidR="003B4BCD" w:rsidRPr="00A4272B" w:rsidRDefault="003B4BCD">
      <w:pPr>
        <w:numPr>
          <w:ilvl w:val="0"/>
          <w:numId w:val="36"/>
        </w:numPr>
        <w:autoSpaceDE w:val="0"/>
        <w:rPr>
          <w:lang w:val="en-US"/>
        </w:rPr>
      </w:pPr>
      <w:r w:rsidRPr="00A4272B">
        <w:rPr>
          <w:b/>
          <w:bCs/>
          <w:lang w:val="en-US"/>
        </w:rPr>
        <w:t>Regional representativity:</w:t>
      </w:r>
      <w:r w:rsidRPr="00A4272B">
        <w:rPr>
          <w:lang w:val="en-US"/>
        </w:rPr>
        <w:t xml:space="preserve"> The site should be free from local emission sources of POPs and other pollutants, ensuring that the sampled air reflects a broader regional area</w:t>
      </w:r>
      <w:r w:rsidR="003F50B4" w:rsidRPr="00A4272B">
        <w:rPr>
          <w:lang w:val="en-US"/>
        </w:rPr>
        <w:t>;</w:t>
      </w:r>
    </w:p>
    <w:p w14:paraId="11B41839" w14:textId="4405662B" w:rsidR="003B4BCD" w:rsidRPr="00A4272B" w:rsidRDefault="003B4BCD">
      <w:pPr>
        <w:numPr>
          <w:ilvl w:val="0"/>
          <w:numId w:val="36"/>
        </w:numPr>
        <w:autoSpaceDE w:val="0"/>
        <w:rPr>
          <w:lang w:val="en-US"/>
        </w:rPr>
      </w:pPr>
      <w:r w:rsidRPr="00A4272B">
        <w:rPr>
          <w:b/>
          <w:bCs/>
          <w:lang w:val="en-US"/>
        </w:rPr>
        <w:t xml:space="preserve">Minimal local-scale meteorological influences: </w:t>
      </w:r>
      <w:r w:rsidRPr="00A4272B">
        <w:rPr>
          <w:lang w:val="en-US"/>
        </w:rPr>
        <w:t>The location should be free of strong diurnal variations in local circulation caused by topography (e.g., mountain winds)</w:t>
      </w:r>
      <w:r w:rsidR="003F50B4" w:rsidRPr="00A4272B">
        <w:rPr>
          <w:lang w:val="en-US"/>
        </w:rPr>
        <w:t>;</w:t>
      </w:r>
    </w:p>
    <w:p w14:paraId="4511F43C" w14:textId="4C40FBE0" w:rsidR="003B4BCD" w:rsidRPr="00A4272B" w:rsidRDefault="003B4BCD">
      <w:pPr>
        <w:numPr>
          <w:ilvl w:val="0"/>
          <w:numId w:val="36"/>
        </w:numPr>
        <w:autoSpaceDE w:val="0"/>
        <w:rPr>
          <w:lang w:val="en-US"/>
        </w:rPr>
      </w:pPr>
      <w:r w:rsidRPr="00A4272B">
        <w:rPr>
          <w:b/>
          <w:bCs/>
          <w:lang w:val="en-US"/>
        </w:rPr>
        <w:t>Long-term stability:</w:t>
      </w:r>
      <w:r w:rsidRPr="00A4272B">
        <w:rPr>
          <w:lang w:val="en-US"/>
        </w:rPr>
        <w:t xml:space="preserve"> The site should have stable infrastructure, institutional commitment, and minimal surrounding land development</w:t>
      </w:r>
      <w:r w:rsidR="003F50B4" w:rsidRPr="00A4272B">
        <w:rPr>
          <w:lang w:val="en-US"/>
        </w:rPr>
        <w:t>;</w:t>
      </w:r>
    </w:p>
    <w:p w14:paraId="5CD37E1B" w14:textId="78AADE9D" w:rsidR="003B4BCD" w:rsidRPr="00A4272B" w:rsidRDefault="003B4BCD">
      <w:pPr>
        <w:numPr>
          <w:ilvl w:val="0"/>
          <w:numId w:val="36"/>
        </w:numPr>
        <w:autoSpaceDE w:val="0"/>
        <w:rPr>
          <w:b/>
          <w:bCs/>
          <w:lang w:val="en-US"/>
        </w:rPr>
      </w:pPr>
      <w:r w:rsidRPr="00A4272B">
        <w:rPr>
          <w:b/>
          <w:bCs/>
          <w:lang w:val="en-US"/>
        </w:rPr>
        <w:t>Ancillary measurements:</w:t>
      </w:r>
    </w:p>
    <w:p w14:paraId="3899C99F" w14:textId="7D9AD0F7" w:rsidR="003B4BCD" w:rsidRPr="00A4272B" w:rsidRDefault="003B4BCD">
      <w:pPr>
        <w:numPr>
          <w:ilvl w:val="1"/>
          <w:numId w:val="37"/>
        </w:numPr>
        <w:autoSpaceDE w:val="0"/>
        <w:rPr>
          <w:lang w:val="en-US"/>
        </w:rPr>
      </w:pPr>
      <w:r w:rsidRPr="00A4272B">
        <w:rPr>
          <w:lang w:val="en-US"/>
        </w:rPr>
        <w:t>For super sites: Additional atmospheric composition measurements and meteorological parameters, such as wind speed, temperature, humidity, and boundary layer stability</w:t>
      </w:r>
      <w:r w:rsidR="003F50B4" w:rsidRPr="00A4272B">
        <w:rPr>
          <w:lang w:val="en-US"/>
        </w:rPr>
        <w:t>;</w:t>
      </w:r>
    </w:p>
    <w:p w14:paraId="7ED89D3E" w14:textId="03AE80C8" w:rsidR="003B4BCD" w:rsidRPr="00A4272B" w:rsidRDefault="003B4BCD">
      <w:pPr>
        <w:numPr>
          <w:ilvl w:val="1"/>
          <w:numId w:val="37"/>
        </w:numPr>
        <w:autoSpaceDE w:val="0"/>
        <w:rPr>
          <w:lang w:val="en-US"/>
        </w:rPr>
      </w:pPr>
      <w:r w:rsidRPr="00A4272B">
        <w:rPr>
          <w:lang w:val="en-US"/>
        </w:rPr>
        <w:t>For passive sites: Meteorological data (wind speed, temperature, humidity) are beneficial but may also be derived from meteorological models</w:t>
      </w:r>
      <w:r w:rsidR="003F50B4" w:rsidRPr="00A4272B">
        <w:rPr>
          <w:lang w:val="en-US"/>
        </w:rPr>
        <w:t>;</w:t>
      </w:r>
    </w:p>
    <w:p w14:paraId="57155479" w14:textId="06D68EF3" w:rsidR="003B4BCD" w:rsidRPr="00A4272B" w:rsidRDefault="003B4BCD">
      <w:pPr>
        <w:numPr>
          <w:ilvl w:val="0"/>
          <w:numId w:val="36"/>
        </w:numPr>
        <w:autoSpaceDE w:val="0"/>
        <w:rPr>
          <w:lang w:val="en-US"/>
        </w:rPr>
      </w:pPr>
      <w:r w:rsidRPr="00A4272B">
        <w:rPr>
          <w:b/>
          <w:bCs/>
          <w:lang w:val="en-US"/>
        </w:rPr>
        <w:t>Appropriate infrastructure and utilities:</w:t>
      </w:r>
      <w:r w:rsidRPr="00A4272B">
        <w:rPr>
          <w:lang w:val="en-US"/>
        </w:rPr>
        <w:t xml:space="preserve"> Facilities should have access to power (for pumped samplers), accessibility to roads, and necessary structures (e.g., buildings, platforms, towers) while minimizing potential contamination sources</w:t>
      </w:r>
      <w:r w:rsidR="003F50B4" w:rsidRPr="00A4272B">
        <w:rPr>
          <w:lang w:val="en-US"/>
        </w:rPr>
        <w:t>;</w:t>
      </w:r>
    </w:p>
    <w:p w14:paraId="68569706" w14:textId="650E9454" w:rsidR="003B4BCD" w:rsidRPr="00A4272B" w:rsidRDefault="003B4BCD">
      <w:pPr>
        <w:numPr>
          <w:ilvl w:val="0"/>
          <w:numId w:val="36"/>
        </w:numPr>
        <w:autoSpaceDE w:val="0"/>
        <w:rPr>
          <w:lang w:val="en-US"/>
        </w:rPr>
      </w:pPr>
      <w:r w:rsidRPr="00A4272B">
        <w:rPr>
          <w:b/>
          <w:bCs/>
          <w:lang w:val="en-US"/>
        </w:rPr>
        <w:t>Passive sampling sites:</w:t>
      </w:r>
      <w:r w:rsidRPr="00A4272B">
        <w:rPr>
          <w:lang w:val="en-US"/>
        </w:rPr>
        <w:t xml:space="preserve"> These sites should maximize the flexibility to locate samplers far from infrastructure, human activity, and other potential sources of POPs contamination.</w:t>
      </w:r>
    </w:p>
    <w:p w14:paraId="5CEC9EB0" w14:textId="77777777" w:rsidR="003B4BCD" w:rsidRPr="00A4272B" w:rsidRDefault="003B4BCD" w:rsidP="003B4BCD">
      <w:pPr>
        <w:autoSpaceDE w:val="0"/>
        <w:rPr>
          <w:lang w:val="en-US"/>
        </w:rPr>
      </w:pPr>
      <w:r w:rsidRPr="00A4272B">
        <w:rPr>
          <w:lang w:val="en-US"/>
        </w:rPr>
        <w:t>Site descriptions should follow a standardized format, including supplementary information such as photos of the sampling location and surrounding area, and a detailed description of the surrounding environment, including nearby potential or suspected point sources (with approximate locations relative to the site).</w:t>
      </w:r>
    </w:p>
    <w:p w14:paraId="7C90BA26" w14:textId="77777777" w:rsidR="003B4BCD" w:rsidRPr="00A4272B" w:rsidRDefault="003B4BCD" w:rsidP="003B4BCD">
      <w:pPr>
        <w:autoSpaceDE w:val="0"/>
        <w:rPr>
          <w:lang w:val="en-US"/>
        </w:rPr>
      </w:pPr>
      <w:r w:rsidRPr="00A4272B">
        <w:rPr>
          <w:lang w:val="en-US"/>
        </w:rPr>
        <w:t>The following two-step site characterization procedure is recommended:</w:t>
      </w:r>
    </w:p>
    <w:p w14:paraId="57423971" w14:textId="7FE80A45" w:rsidR="003B4BCD" w:rsidRPr="00A4272B" w:rsidRDefault="003B4BCD">
      <w:pPr>
        <w:numPr>
          <w:ilvl w:val="0"/>
          <w:numId w:val="38"/>
        </w:numPr>
        <w:autoSpaceDE w:val="0"/>
        <w:rPr>
          <w:lang w:val="en-US"/>
        </w:rPr>
      </w:pPr>
      <w:r w:rsidRPr="00A4272B">
        <w:rPr>
          <w:b/>
          <w:bCs/>
          <w:lang w:val="en-US"/>
        </w:rPr>
        <w:t>Site type:</w:t>
      </w:r>
      <w:r w:rsidRPr="00A4272B">
        <w:rPr>
          <w:lang w:val="en-US"/>
        </w:rPr>
        <w:t xml:space="preserve"> Define the general characteristics and purpose of the site</w:t>
      </w:r>
      <w:r w:rsidR="003F50B4" w:rsidRPr="00A4272B">
        <w:rPr>
          <w:lang w:val="en-US"/>
        </w:rPr>
        <w:t>;</w:t>
      </w:r>
    </w:p>
    <w:p w14:paraId="22A284C9" w14:textId="1A2DECFF" w:rsidR="003B4BCD" w:rsidRPr="00A4272B" w:rsidRDefault="003B4BCD">
      <w:pPr>
        <w:numPr>
          <w:ilvl w:val="0"/>
          <w:numId w:val="38"/>
        </w:numPr>
        <w:autoSpaceDE w:val="0"/>
        <w:rPr>
          <w:lang w:val="en-US"/>
        </w:rPr>
      </w:pPr>
      <w:r w:rsidRPr="00A4272B">
        <w:rPr>
          <w:b/>
          <w:bCs/>
          <w:lang w:val="en-US"/>
        </w:rPr>
        <w:t>Potential source inputs:</w:t>
      </w:r>
      <w:r w:rsidRPr="00A4272B">
        <w:rPr>
          <w:lang w:val="en-US"/>
        </w:rPr>
        <w:t xml:space="preserve"> Identify potential sources of POPs near the site.</w:t>
      </w:r>
    </w:p>
    <w:p w14:paraId="4FCCD99A" w14:textId="77777777" w:rsidR="003B4BCD" w:rsidRPr="00A4272B" w:rsidRDefault="003B4BCD" w:rsidP="003B4BCD">
      <w:pPr>
        <w:autoSpaceDE w:val="0"/>
        <w:rPr>
          <w:lang w:val="en-US"/>
        </w:rPr>
      </w:pPr>
      <w:r w:rsidRPr="00A4272B">
        <w:rPr>
          <w:lang w:val="en-US"/>
        </w:rPr>
        <w:t>It is essential to select sites that are not directly influenced by a few nearby sources, ensuring that they provide data representative of a larger region.</w:t>
      </w:r>
    </w:p>
    <w:p w14:paraId="588F72A6" w14:textId="77777777" w:rsidR="00F3536C" w:rsidRPr="00A4272B" w:rsidRDefault="00F3536C" w:rsidP="00006DC8">
      <w:pPr>
        <w:autoSpaceDE w:val="0"/>
        <w:ind w:left="720"/>
        <w:rPr>
          <w:lang w:val="en-US"/>
        </w:rPr>
      </w:pPr>
      <w:r w:rsidRPr="00A4272B">
        <w:rPr>
          <w:b/>
          <w:lang w:val="en-US"/>
        </w:rPr>
        <w:t>Site type:</w:t>
      </w:r>
      <w:r w:rsidRPr="00A4272B">
        <w:rPr>
          <w:lang w:val="en-US"/>
        </w:rPr>
        <w:tab/>
      </w:r>
      <w:r w:rsidRPr="00A4272B">
        <w:rPr>
          <w:lang w:val="en-US"/>
        </w:rPr>
        <w:tab/>
      </w:r>
      <w:r w:rsidRPr="00A4272B">
        <w:rPr>
          <w:lang w:val="en-US"/>
        </w:rPr>
        <w:tab/>
      </w:r>
      <w:r w:rsidRPr="00A4272B">
        <w:rPr>
          <w:b/>
          <w:lang w:val="en-US"/>
        </w:rPr>
        <w:t>Potential Source type (more than one type is possible):</w:t>
      </w:r>
    </w:p>
    <w:p w14:paraId="122E2160" w14:textId="77777777" w:rsidR="00F3536C" w:rsidRPr="00A4272B" w:rsidRDefault="00F3536C" w:rsidP="00006DC8">
      <w:pPr>
        <w:autoSpaceDE w:val="0"/>
        <w:ind w:left="720"/>
        <w:rPr>
          <w:lang w:val="en-US"/>
        </w:rPr>
      </w:pPr>
      <w:r w:rsidRPr="00A4272B">
        <w:rPr>
          <w:lang w:val="en-US"/>
        </w:rPr>
        <w:t> urban</w:t>
      </w:r>
      <w:r w:rsidRPr="00A4272B">
        <w:rPr>
          <w:lang w:val="en-US"/>
        </w:rPr>
        <w:tab/>
      </w:r>
      <w:r w:rsidRPr="00A4272B">
        <w:rPr>
          <w:lang w:val="en-US"/>
        </w:rPr>
        <w:tab/>
      </w:r>
      <w:r w:rsidRPr="00A4272B">
        <w:rPr>
          <w:lang w:val="en-US"/>
        </w:rPr>
        <w:tab/>
      </w:r>
      <w:r w:rsidRPr="00A4272B">
        <w:rPr>
          <w:lang w:val="en-US"/>
        </w:rPr>
        <w:t> industrial</w:t>
      </w:r>
    </w:p>
    <w:p w14:paraId="0EC315E7" w14:textId="77777777" w:rsidR="00F3536C" w:rsidRPr="00A4272B" w:rsidRDefault="00F3536C" w:rsidP="00006DC8">
      <w:pPr>
        <w:autoSpaceDE w:val="0"/>
        <w:ind w:left="720"/>
        <w:rPr>
          <w:lang w:val="en-US"/>
        </w:rPr>
      </w:pPr>
      <w:r w:rsidRPr="00A4272B">
        <w:rPr>
          <w:lang w:val="en-US"/>
        </w:rPr>
        <w:t> sub-urban</w:t>
      </w:r>
      <w:r w:rsidRPr="00A4272B">
        <w:rPr>
          <w:lang w:val="en-US"/>
        </w:rPr>
        <w:tab/>
      </w:r>
      <w:r w:rsidRPr="00A4272B">
        <w:rPr>
          <w:lang w:val="en-US"/>
        </w:rPr>
        <w:tab/>
      </w:r>
      <w:r w:rsidRPr="00A4272B">
        <w:rPr>
          <w:lang w:val="en-US"/>
        </w:rPr>
        <w:tab/>
      </w:r>
      <w:r w:rsidRPr="00A4272B">
        <w:rPr>
          <w:lang w:val="en-US"/>
        </w:rPr>
        <w:t> traffic</w:t>
      </w:r>
    </w:p>
    <w:p w14:paraId="6D2BF0F8" w14:textId="77777777" w:rsidR="00F3536C" w:rsidRPr="00A4272B" w:rsidRDefault="00F3536C" w:rsidP="00006DC8">
      <w:pPr>
        <w:autoSpaceDE w:val="0"/>
        <w:ind w:left="720"/>
        <w:rPr>
          <w:lang w:val="en-US"/>
        </w:rPr>
      </w:pPr>
      <w:r w:rsidRPr="00A4272B">
        <w:rPr>
          <w:lang w:val="en-US"/>
        </w:rPr>
        <w:t> rural</w:t>
      </w:r>
      <w:r w:rsidRPr="00A4272B">
        <w:rPr>
          <w:lang w:val="en-US"/>
        </w:rPr>
        <w:tab/>
      </w:r>
      <w:r w:rsidRPr="00A4272B">
        <w:rPr>
          <w:lang w:val="en-US"/>
        </w:rPr>
        <w:tab/>
      </w:r>
      <w:r w:rsidRPr="00A4272B">
        <w:rPr>
          <w:lang w:val="en-US"/>
        </w:rPr>
        <w:tab/>
      </w:r>
      <w:r w:rsidRPr="00A4272B">
        <w:rPr>
          <w:lang w:val="en-US"/>
        </w:rPr>
        <w:t> residential</w:t>
      </w:r>
    </w:p>
    <w:p w14:paraId="49C840D2" w14:textId="77777777" w:rsidR="00F3536C" w:rsidRPr="00A4272B" w:rsidRDefault="00F3536C" w:rsidP="00006DC8">
      <w:pPr>
        <w:autoSpaceDE w:val="0"/>
        <w:ind w:left="720"/>
        <w:rPr>
          <w:lang w:val="en-US"/>
        </w:rPr>
      </w:pPr>
      <w:r w:rsidRPr="00A4272B">
        <w:rPr>
          <w:lang w:val="en-US"/>
        </w:rPr>
        <w:t> remote</w:t>
      </w:r>
      <w:r w:rsidRPr="00A4272B">
        <w:rPr>
          <w:lang w:val="en-US"/>
        </w:rPr>
        <w:tab/>
      </w:r>
      <w:r w:rsidRPr="00A4272B">
        <w:rPr>
          <w:lang w:val="en-US"/>
        </w:rPr>
        <w:tab/>
      </w:r>
      <w:r w:rsidRPr="00A4272B">
        <w:rPr>
          <w:lang w:val="en-US"/>
        </w:rPr>
        <w:tab/>
      </w:r>
      <w:r w:rsidRPr="00A4272B">
        <w:rPr>
          <w:lang w:val="en-US"/>
        </w:rPr>
        <w:t> agricultural</w:t>
      </w:r>
    </w:p>
    <w:p w14:paraId="226B9354" w14:textId="77777777" w:rsidR="00F3536C" w:rsidRPr="00A4272B" w:rsidRDefault="00F3536C" w:rsidP="00006DC8">
      <w:pPr>
        <w:autoSpaceDE w:val="0"/>
        <w:ind w:left="720"/>
        <w:rPr>
          <w:lang w:val="en-US"/>
        </w:rPr>
      </w:pPr>
      <w:r w:rsidRPr="00A4272B">
        <w:rPr>
          <w:lang w:val="en-US"/>
        </w:rPr>
        <w:t> high altitude</w:t>
      </w:r>
      <w:r w:rsidRPr="00A4272B">
        <w:rPr>
          <w:lang w:val="en-US"/>
        </w:rPr>
        <w:tab/>
      </w:r>
      <w:r w:rsidRPr="00A4272B">
        <w:rPr>
          <w:lang w:val="en-US"/>
        </w:rPr>
        <w:tab/>
      </w:r>
      <w:r w:rsidRPr="00A4272B">
        <w:rPr>
          <w:lang w:val="en-US"/>
        </w:rPr>
        <w:t> waste sector</w:t>
      </w:r>
    </w:p>
    <w:p w14:paraId="13FFCB98" w14:textId="77777777" w:rsidR="00F3536C" w:rsidRPr="00A4272B" w:rsidRDefault="00F3536C" w:rsidP="00006DC8">
      <w:pPr>
        <w:autoSpaceDE w:val="0"/>
        <w:ind w:left="720"/>
        <w:rPr>
          <w:lang w:val="en-US"/>
        </w:rPr>
      </w:pPr>
      <w:r w:rsidRPr="00A4272B">
        <w:rPr>
          <w:lang w:val="en-US"/>
        </w:rPr>
        <w:t> polar</w:t>
      </w:r>
      <w:r w:rsidRPr="00A4272B">
        <w:rPr>
          <w:lang w:val="en-US"/>
        </w:rPr>
        <w:tab/>
      </w:r>
      <w:r w:rsidRPr="00A4272B">
        <w:rPr>
          <w:lang w:val="en-US"/>
        </w:rPr>
        <w:tab/>
      </w:r>
      <w:r w:rsidRPr="00A4272B">
        <w:rPr>
          <w:lang w:val="en-US"/>
        </w:rPr>
        <w:tab/>
      </w:r>
      <w:r w:rsidRPr="00A4272B">
        <w:rPr>
          <w:lang w:val="en-US"/>
        </w:rPr>
        <w:t xml:space="preserve"> none, </w:t>
      </w:r>
      <w:r w:rsidRPr="00A4272B">
        <w:rPr>
          <w:i/>
          <w:lang w:val="en-US"/>
        </w:rPr>
        <w:t>i.e</w:t>
      </w:r>
      <w:r w:rsidRPr="00A4272B">
        <w:rPr>
          <w:lang w:val="en-US"/>
        </w:rPr>
        <w:t>. continental background site</w:t>
      </w:r>
    </w:p>
    <w:p w14:paraId="57324409" w14:textId="6A1AAC2F" w:rsidR="00F3536C" w:rsidRPr="00A4272B" w:rsidRDefault="00F3536C" w:rsidP="00006DC8">
      <w:pPr>
        <w:autoSpaceDE w:val="0"/>
        <w:ind w:left="720"/>
        <w:rPr>
          <w:rFonts w:cs="TimesNewRoman"/>
          <w:lang w:val="en-US"/>
        </w:rPr>
      </w:pPr>
      <w:r w:rsidRPr="00A4272B">
        <w:rPr>
          <w:lang w:val="en-US"/>
        </w:rPr>
        <w:t> marine/coastal</w:t>
      </w:r>
    </w:p>
    <w:p w14:paraId="589F588B" w14:textId="77777777" w:rsidR="00F3536C" w:rsidRPr="00A4272B" w:rsidRDefault="00F3536C" w:rsidP="00C85C14">
      <w:pPr>
        <w:keepNext/>
        <w:autoSpaceDE w:val="0"/>
        <w:spacing w:after="0"/>
        <w:ind w:left="1238"/>
        <w:rPr>
          <w:rFonts w:cs="TimesNewRoman"/>
          <w:sz w:val="18"/>
          <w:szCs w:val="18"/>
          <w:lang w:val="en-US"/>
        </w:rPr>
      </w:pPr>
      <w:r w:rsidRPr="00A4272B">
        <w:rPr>
          <w:rFonts w:cs="TimesNewRoman"/>
          <w:sz w:val="18"/>
          <w:szCs w:val="18"/>
          <w:lang w:val="en-US"/>
        </w:rPr>
        <w:lastRenderedPageBreak/>
        <w:t>Note: population density can be used as an approximate guide for site classification as follows:</w:t>
      </w:r>
    </w:p>
    <w:p w14:paraId="7414A80E" w14:textId="6BAC0D62" w:rsidR="00F3536C" w:rsidRPr="00A4272B" w:rsidRDefault="003B4BCD">
      <w:pPr>
        <w:pStyle w:val="ListParagraph"/>
        <w:keepNext/>
        <w:numPr>
          <w:ilvl w:val="0"/>
          <w:numId w:val="39"/>
        </w:numPr>
        <w:tabs>
          <w:tab w:val="clear" w:pos="1598"/>
        </w:tabs>
        <w:autoSpaceDE w:val="0"/>
        <w:spacing w:after="0"/>
        <w:ind w:left="1440" w:hanging="202"/>
        <w:rPr>
          <w:rFonts w:cs="TimesNewRoman"/>
          <w:sz w:val="18"/>
          <w:szCs w:val="18"/>
        </w:rPr>
      </w:pPr>
      <w:r w:rsidRPr="00A4272B">
        <w:rPr>
          <w:rFonts w:cs="TimesNewRoman"/>
          <w:sz w:val="18"/>
          <w:szCs w:val="18"/>
        </w:rPr>
        <w:t>U</w:t>
      </w:r>
      <w:r w:rsidR="00F3536C" w:rsidRPr="00A4272B">
        <w:rPr>
          <w:rFonts w:cs="TimesNewRoman"/>
          <w:sz w:val="18"/>
          <w:szCs w:val="18"/>
        </w:rPr>
        <w:t>rban</w:t>
      </w:r>
      <w:r w:rsidRPr="00A4272B">
        <w:rPr>
          <w:rFonts w:cs="TimesNewRoman"/>
          <w:sz w:val="18"/>
          <w:szCs w:val="18"/>
        </w:rPr>
        <w:t xml:space="preserve">: </w:t>
      </w:r>
      <w:r w:rsidR="00F3536C" w:rsidRPr="00A4272B">
        <w:rPr>
          <w:rFonts w:cs="TimesNewRoman"/>
          <w:sz w:val="18"/>
          <w:szCs w:val="18"/>
        </w:rPr>
        <w:t>&gt;200 000 inhabitants within a 10 km radius.</w:t>
      </w:r>
    </w:p>
    <w:p w14:paraId="57801FF0" w14:textId="5C22E6E7" w:rsidR="00F3536C" w:rsidRPr="00A4272B" w:rsidRDefault="003B4BCD">
      <w:pPr>
        <w:pStyle w:val="ListParagraph"/>
        <w:numPr>
          <w:ilvl w:val="0"/>
          <w:numId w:val="39"/>
        </w:numPr>
        <w:tabs>
          <w:tab w:val="clear" w:pos="1598"/>
        </w:tabs>
        <w:autoSpaceDE w:val="0"/>
        <w:spacing w:after="0"/>
        <w:ind w:left="1440" w:hanging="202"/>
        <w:rPr>
          <w:rFonts w:cs="TimesNewRoman"/>
          <w:sz w:val="18"/>
          <w:szCs w:val="18"/>
        </w:rPr>
      </w:pPr>
      <w:r w:rsidRPr="00A4272B">
        <w:rPr>
          <w:rFonts w:cs="TimesNewRoman"/>
          <w:sz w:val="18"/>
          <w:szCs w:val="18"/>
        </w:rPr>
        <w:t>S</w:t>
      </w:r>
      <w:r w:rsidR="00F3536C" w:rsidRPr="00A4272B">
        <w:rPr>
          <w:rFonts w:cs="TimesNewRoman"/>
          <w:sz w:val="18"/>
          <w:szCs w:val="18"/>
        </w:rPr>
        <w:t>ub-urban</w:t>
      </w:r>
      <w:r w:rsidRPr="00A4272B">
        <w:rPr>
          <w:rFonts w:cs="TimesNewRoman"/>
          <w:sz w:val="18"/>
          <w:szCs w:val="18"/>
        </w:rPr>
        <w:t>: B</w:t>
      </w:r>
      <w:r w:rsidR="00F3536C" w:rsidRPr="00A4272B">
        <w:rPr>
          <w:rFonts w:cs="TimesNewRoman"/>
          <w:sz w:val="18"/>
          <w:szCs w:val="18"/>
        </w:rPr>
        <w:t>etween 20 000 and 200 000 inhabitants within a 10 km radius</w:t>
      </w:r>
    </w:p>
    <w:p w14:paraId="695627F5" w14:textId="2CE4C445" w:rsidR="00F3536C" w:rsidRPr="00A4272B" w:rsidRDefault="003B4BCD">
      <w:pPr>
        <w:pStyle w:val="ListParagraph"/>
        <w:numPr>
          <w:ilvl w:val="0"/>
          <w:numId w:val="39"/>
        </w:numPr>
        <w:tabs>
          <w:tab w:val="clear" w:pos="1598"/>
        </w:tabs>
        <w:autoSpaceDE w:val="0"/>
        <w:spacing w:after="0"/>
        <w:ind w:left="1440" w:hanging="202"/>
        <w:rPr>
          <w:rFonts w:cs="TimesNewRoman"/>
          <w:sz w:val="18"/>
          <w:szCs w:val="18"/>
        </w:rPr>
      </w:pPr>
      <w:r w:rsidRPr="00A4272B">
        <w:rPr>
          <w:rFonts w:cs="TimesNewRoman"/>
          <w:sz w:val="18"/>
          <w:szCs w:val="18"/>
        </w:rPr>
        <w:t>R</w:t>
      </w:r>
      <w:r w:rsidR="00F3536C" w:rsidRPr="00A4272B">
        <w:rPr>
          <w:rFonts w:cs="TimesNewRoman"/>
          <w:sz w:val="18"/>
          <w:szCs w:val="18"/>
        </w:rPr>
        <w:t>ural</w:t>
      </w:r>
      <w:r w:rsidRPr="00A4272B">
        <w:rPr>
          <w:rFonts w:cs="TimesNewRoman"/>
          <w:sz w:val="18"/>
          <w:szCs w:val="18"/>
        </w:rPr>
        <w:t>: B</w:t>
      </w:r>
      <w:r w:rsidR="00F3536C" w:rsidRPr="00A4272B">
        <w:rPr>
          <w:rFonts w:cs="TimesNewRoman"/>
          <w:sz w:val="18"/>
          <w:szCs w:val="18"/>
        </w:rPr>
        <w:t>etween 2000 and 20 000 inhabitants within 10 km radius</w:t>
      </w:r>
    </w:p>
    <w:p w14:paraId="2947BFD1" w14:textId="6994D953" w:rsidR="00F3536C" w:rsidRPr="00A4272B" w:rsidRDefault="003B4BCD">
      <w:pPr>
        <w:pStyle w:val="ListParagraph"/>
        <w:numPr>
          <w:ilvl w:val="0"/>
          <w:numId w:val="39"/>
        </w:numPr>
        <w:tabs>
          <w:tab w:val="clear" w:pos="1598"/>
        </w:tabs>
        <w:autoSpaceDE w:val="0"/>
        <w:ind w:left="1440" w:hanging="202"/>
        <w:rPr>
          <w:sz w:val="18"/>
          <w:szCs w:val="18"/>
        </w:rPr>
      </w:pPr>
      <w:r w:rsidRPr="00A4272B">
        <w:rPr>
          <w:rFonts w:cs="TimesNewRoman"/>
          <w:sz w:val="18"/>
          <w:szCs w:val="18"/>
        </w:rPr>
        <w:t>R</w:t>
      </w:r>
      <w:r w:rsidR="00F3536C" w:rsidRPr="00A4272B">
        <w:rPr>
          <w:rFonts w:cs="TimesNewRoman"/>
          <w:sz w:val="18"/>
          <w:szCs w:val="18"/>
        </w:rPr>
        <w:t>emote</w:t>
      </w:r>
      <w:r w:rsidRPr="00A4272B">
        <w:rPr>
          <w:rFonts w:cs="TimesNewRoman"/>
          <w:sz w:val="18"/>
          <w:szCs w:val="18"/>
        </w:rPr>
        <w:t>: R</w:t>
      </w:r>
      <w:r w:rsidR="00F3536C" w:rsidRPr="00A4272B">
        <w:rPr>
          <w:rFonts w:cs="TimesNewRoman"/>
          <w:sz w:val="18"/>
          <w:szCs w:val="18"/>
        </w:rPr>
        <w:t>elatively uninhabited (&lt;2000 inhabitants within a 10 km radius)</w:t>
      </w:r>
    </w:p>
    <w:p w14:paraId="359C78BA" w14:textId="1B6109E4" w:rsidR="00AD429C" w:rsidRPr="00A4272B" w:rsidRDefault="00AD429C" w:rsidP="00AD429C">
      <w:pPr>
        <w:autoSpaceDE w:val="0"/>
        <w:rPr>
          <w:lang w:val="en-US"/>
        </w:rPr>
      </w:pPr>
      <w:r w:rsidRPr="00A4272B">
        <w:rPr>
          <w:lang w:val="en-US"/>
        </w:rPr>
        <w:t xml:space="preserve">Detailed site information and classification are essential for comparing data within and across regions. While new sampling networks should prioritize sites that represent large sub-regions or areas (e.g., rural sites), establishing sites in urban, industrial, and agricultural areas as 'context sites' can be beneficial for comparison. In regions relatively unaffected by certain POPs, adding context sites can enhance the detection and reporting of POPs. However, it is important to ensure these 'context sites' are not heavily influenced by nearby point sources; locations such as city parks or university </w:t>
      </w:r>
      <w:r w:rsidR="00C85C14" w:rsidRPr="00A4272B">
        <w:rPr>
          <w:lang w:val="en-US"/>
        </w:rPr>
        <w:t>green spaces</w:t>
      </w:r>
      <w:r w:rsidRPr="00A4272B">
        <w:rPr>
          <w:lang w:val="en-US"/>
        </w:rPr>
        <w:t xml:space="preserve"> are ideal. If sampling must be conducted on buildings, it is important to note that some POPs (e.g., PCBs, flame retardants) may originate from the building itself, potentially impacting data interpretation as it may not fully represent the broader area.</w:t>
      </w:r>
    </w:p>
    <w:p w14:paraId="2A28EB4D" w14:textId="77777777" w:rsidR="00AD429C" w:rsidRPr="00A4272B" w:rsidRDefault="00AD429C" w:rsidP="00AD429C">
      <w:pPr>
        <w:autoSpaceDE w:val="0"/>
        <w:rPr>
          <w:lang w:val="en-US"/>
        </w:rPr>
      </w:pPr>
      <w:r w:rsidRPr="00A4272B">
        <w:rPr>
          <w:lang w:val="en-US"/>
        </w:rPr>
        <w:t>Over time, some long-term monitoring sites may become affected by new developments or infrastructure, potentially causing gradual or sudden changes in POP levels due to nearby sources. In such cases, relocating the site may be advantageous to ensure that measured trends reflect regional changes rather than the influence of a few local sources.</w:t>
      </w:r>
    </w:p>
    <w:p w14:paraId="312972FC" w14:textId="555C5123" w:rsidR="00AD429C" w:rsidRPr="00A4272B" w:rsidRDefault="00AD429C" w:rsidP="00AD429C">
      <w:pPr>
        <w:autoSpaceDE w:val="0"/>
        <w:rPr>
          <w:lang w:val="en-US"/>
        </w:rPr>
      </w:pPr>
      <w:r w:rsidRPr="00A4272B">
        <w:rPr>
          <w:lang w:val="en-US"/>
        </w:rPr>
        <w:t xml:space="preserve">This approach offers a qualitative description of each sampling site, valuable for data storage, as many air quality databases include fields for describing and categorizing sites. Additionally, the concept of a "remoteness index" (discussed in the next </w:t>
      </w:r>
      <w:r w:rsidR="002A6D39" w:rsidRPr="00A4272B">
        <w:rPr>
          <w:lang w:val="en-US"/>
        </w:rPr>
        <w:t>chapter</w:t>
      </w:r>
      <w:r w:rsidRPr="00A4272B">
        <w:rPr>
          <w:lang w:val="en-US"/>
        </w:rPr>
        <w:t>) provides a quantitative measure of a site’s proximity to agricultural or industrial sources of POPs, which can aid data interpretation and comparisons between sites. Remoteness index values can also inform site selection at the beginning of a study.</w:t>
      </w:r>
    </w:p>
    <w:p w14:paraId="48E12CF7" w14:textId="3E4DCBFC" w:rsidR="00AD429C" w:rsidRPr="00A4272B" w:rsidRDefault="00AD429C" w:rsidP="00AD429C">
      <w:pPr>
        <w:autoSpaceDE w:val="0"/>
        <w:rPr>
          <w:lang w:val="en-US"/>
        </w:rPr>
      </w:pPr>
      <w:r w:rsidRPr="00A4272B">
        <w:rPr>
          <w:lang w:val="en-US"/>
        </w:rPr>
        <w:t>A recent advancement in characterizing air monitoring sites utilizes open-source global land cover data to assess the impact of local POP sources (Schuster et al., 2023). Based on this method, “source impact indicator” values are assigned to sites, enabling integration of global monitoring data from various studies for a broader global temporal trend analysis. This approach can also help assess changes in local source impacts over time at specific sites, accounting for shifts in the types of sources that may affect air contaminant concentrations. Although this method may be technically complex for regional air monitoring, it can be applied at higher reporting levels to combine multiple datasets into a unified global assessment of POP trends.</w:t>
      </w:r>
    </w:p>
    <w:p w14:paraId="51294191" w14:textId="6EF8970F" w:rsidR="00F3536C" w:rsidRPr="00A4272B" w:rsidRDefault="00F3536C" w:rsidP="00817D9F">
      <w:pPr>
        <w:pStyle w:val="Heading4"/>
        <w:rPr>
          <w:rFonts w:hint="eastAsia"/>
        </w:rPr>
      </w:pPr>
      <w:bookmarkStart w:id="95" w:name="_Toc514239665"/>
      <w:bookmarkStart w:id="96" w:name="_Toc514240569"/>
      <w:bookmarkStart w:id="97" w:name="_Toc514240733"/>
      <w:bookmarkStart w:id="98" w:name="_Toc514243120"/>
      <w:bookmarkStart w:id="99" w:name="_Toc514752013"/>
      <w:bookmarkStart w:id="100" w:name="_Toc535584331"/>
      <w:bookmarkStart w:id="101" w:name="_Toc531637"/>
      <w:bookmarkStart w:id="102" w:name="_Toc532157"/>
      <w:bookmarkStart w:id="103" w:name="_Toc532370"/>
      <w:bookmarkStart w:id="104" w:name="_Toc1467871"/>
      <w:bookmarkStart w:id="105" w:name="_Toc1468044"/>
      <w:bookmarkStart w:id="106" w:name="_Toc1483928"/>
      <w:bookmarkStart w:id="107" w:name="_Toc65306472"/>
      <w:r w:rsidRPr="00A4272B">
        <w:t>Characterization of transport to the sites</w:t>
      </w:r>
      <w:bookmarkEnd w:id="95"/>
      <w:bookmarkEnd w:id="96"/>
      <w:bookmarkEnd w:id="97"/>
      <w:bookmarkEnd w:id="98"/>
      <w:bookmarkEnd w:id="99"/>
      <w:bookmarkEnd w:id="100"/>
      <w:bookmarkEnd w:id="101"/>
      <w:bookmarkEnd w:id="102"/>
      <w:bookmarkEnd w:id="103"/>
      <w:bookmarkEnd w:id="104"/>
      <w:bookmarkEnd w:id="105"/>
      <w:bookmarkEnd w:id="106"/>
      <w:bookmarkEnd w:id="107"/>
    </w:p>
    <w:p w14:paraId="0E770E6A" w14:textId="77777777" w:rsidR="00AD429C" w:rsidRPr="00A4272B" w:rsidRDefault="00AD429C" w:rsidP="00AD429C">
      <w:pPr>
        <w:autoSpaceDE w:val="0"/>
        <w:rPr>
          <w:color w:val="000000"/>
          <w:lang w:val="en-US"/>
        </w:rPr>
      </w:pPr>
      <w:r w:rsidRPr="00A4272B">
        <w:rPr>
          <w:color w:val="000000"/>
          <w:lang w:val="en-US"/>
        </w:rPr>
        <w:t>A better understanding of POP concentrations and trends at a given site can be achieved by evaluating regional and global transport pathways. This requires knowledge of both local (within ~10 km) and regional-scale air transport pathways to the site. Local meteorological measurements help characterize meso-scale influences, while Lagrangian or Eulerian transport models are used to reconstruct large-scale transport pathways. For water-soluble POPs, it is also essential to consider oceanic and riverine transport, as well as air-water exchange, particularly at coastal sites.</w:t>
      </w:r>
    </w:p>
    <w:p w14:paraId="0870B787" w14:textId="77777777" w:rsidR="00AD429C" w:rsidRPr="00A4272B" w:rsidRDefault="00AD429C" w:rsidP="00AD429C">
      <w:pPr>
        <w:autoSpaceDE w:val="0"/>
        <w:rPr>
          <w:color w:val="000000"/>
          <w:lang w:val="en-US"/>
        </w:rPr>
      </w:pPr>
      <w:r w:rsidRPr="00A4272B">
        <w:rPr>
          <w:color w:val="000000"/>
          <w:lang w:val="en-US"/>
        </w:rPr>
        <w:t>As a preliminary step, assessing the long-range transport potential (LRTP) of various POPs may provide useful insights. The OECD POV and LRTP Screening Tool ("the OECD Tool") has been widely used for combined persistence (P) and LRTP hazard assessments in regulatory contexts, including the Stockholm Convention. The OECD Tool calculates two LRTP metrics:</w:t>
      </w:r>
    </w:p>
    <w:p w14:paraId="673D604D" w14:textId="1BDF9FE3" w:rsidR="00AD429C" w:rsidRPr="00A4272B" w:rsidRDefault="00AD429C">
      <w:pPr>
        <w:numPr>
          <w:ilvl w:val="0"/>
          <w:numId w:val="40"/>
        </w:numPr>
        <w:autoSpaceDE w:val="0"/>
        <w:rPr>
          <w:color w:val="000000"/>
          <w:lang w:val="en-US"/>
        </w:rPr>
      </w:pPr>
      <w:r w:rsidRPr="00A4272B">
        <w:rPr>
          <w:b/>
          <w:bCs/>
          <w:color w:val="000000"/>
          <w:lang w:val="en-US"/>
        </w:rPr>
        <w:t>Characteristic Travel Distance (CTD)</w:t>
      </w:r>
      <w:r w:rsidRPr="00A4272B">
        <w:rPr>
          <w:color w:val="000000"/>
          <w:lang w:val="en-US"/>
        </w:rPr>
        <w:t>: This metric, defined as the “half-distance” (analogous to a half-life) for a substance in a mobile phase, represents the transport-oriented metric of the OECD Tool. Separate CTDs in air and water are calculated, taking into account the chemical’s degradation and transport pathways based on its physical-chemical properties (Wegman et al., 2009). CTDs for chemicals released into air and water are listed in Table 4.1.1. It is important to interpret these distances relatively, as they depend on model parameterizations (Stroebe et al., 2004)</w:t>
      </w:r>
      <w:r w:rsidR="003F50B4" w:rsidRPr="00A4272B">
        <w:rPr>
          <w:color w:val="000000"/>
          <w:lang w:val="en-US"/>
        </w:rPr>
        <w:t>;</w:t>
      </w:r>
    </w:p>
    <w:p w14:paraId="38A454E5" w14:textId="77777777" w:rsidR="00AD429C" w:rsidRPr="00A4272B" w:rsidRDefault="00AD429C">
      <w:pPr>
        <w:numPr>
          <w:ilvl w:val="0"/>
          <w:numId w:val="40"/>
        </w:numPr>
        <w:autoSpaceDE w:val="0"/>
        <w:rPr>
          <w:color w:val="000000"/>
          <w:lang w:val="en-US"/>
        </w:rPr>
      </w:pPr>
      <w:r w:rsidRPr="00A4272B">
        <w:rPr>
          <w:b/>
          <w:bCs/>
          <w:color w:val="000000"/>
          <w:lang w:val="en-US"/>
        </w:rPr>
        <w:t>Transfer Efficiency (TE)</w:t>
      </w:r>
      <w:r w:rsidRPr="00A4272B">
        <w:rPr>
          <w:color w:val="000000"/>
          <w:lang w:val="en-US"/>
        </w:rPr>
        <w:t>: The transfer-oriented metric, defined as the rate of gross deposition of a pollutant to soil and water in a distant region divided by the emission rate in the source region. TE values for selected POPs were calculated for air emissions. Some POPs undergo multiple cycles of deposition and re-volatilization during their environmental lifetime, resulting in transfer efficiencies that may exceed 100%.</w:t>
      </w:r>
    </w:p>
    <w:p w14:paraId="1359B6C0" w14:textId="77777777" w:rsidR="00AD429C" w:rsidRPr="00A4272B" w:rsidRDefault="00AD429C" w:rsidP="00AD429C">
      <w:pPr>
        <w:autoSpaceDE w:val="0"/>
        <w:rPr>
          <w:color w:val="000000"/>
          <w:lang w:val="en-US"/>
        </w:rPr>
      </w:pPr>
      <w:r w:rsidRPr="00A4272B">
        <w:rPr>
          <w:color w:val="000000"/>
          <w:lang w:val="en-US"/>
        </w:rPr>
        <w:t>The CTD results indicate that, with the exception of PFOS and aldrin, most of the listed POPs are "flyers," relying heavily on atmospheric transport. POPs for which water transport pathways are significant ("swimmers") include PFOS, chlordecone, and toxaphene.</w:t>
      </w:r>
    </w:p>
    <w:p w14:paraId="44B35604" w14:textId="0178761A" w:rsidR="00F3536C" w:rsidRPr="00A4272B" w:rsidRDefault="00AD429C" w:rsidP="00006DC8">
      <w:pPr>
        <w:autoSpaceDE w:val="0"/>
        <w:rPr>
          <w:color w:val="000000"/>
          <w:lang w:val="en-US"/>
        </w:rPr>
      </w:pPr>
      <w:r w:rsidRPr="00A4272B">
        <w:rPr>
          <w:color w:val="000000"/>
          <w:lang w:val="en-US"/>
        </w:rPr>
        <w:t>A comprehensive review of metrics for describing the long-range transport of POPs is presented by Scheringer (2009).</w:t>
      </w:r>
    </w:p>
    <w:p w14:paraId="1759BCFD" w14:textId="2D14CC78" w:rsidR="00D45162" w:rsidRPr="00A4272B" w:rsidRDefault="00F3536C" w:rsidP="007C6054">
      <w:pPr>
        <w:keepNext/>
        <w:autoSpaceDE w:val="0"/>
        <w:rPr>
          <w:b/>
          <w:lang w:val="en-US"/>
        </w:rPr>
      </w:pPr>
      <w:r w:rsidRPr="00A4272B">
        <w:rPr>
          <w:b/>
          <w:lang w:val="en-US"/>
        </w:rPr>
        <w:lastRenderedPageBreak/>
        <w:t xml:space="preserve">Table 4.1.1: </w:t>
      </w:r>
      <w:r w:rsidR="00AD429C" w:rsidRPr="00A4272B">
        <w:rPr>
          <w:b/>
          <w:lang w:val="en-US"/>
        </w:rPr>
        <w:t>Characteristic travel distances (CTDs, km) for air and water and transport efficiencies (%) for selected POPs. (POPs are ranked from highest to lowest CTDs for air, with calculations performed at 25 °C). Calculations were conducted using the OECD Tool.</w:t>
      </w:r>
      <w:r w:rsidRPr="00A4272B">
        <w:rPr>
          <w:b/>
          <w:lang w:val="en-US"/>
        </w:rPr>
        <w:t>*</w:t>
      </w:r>
    </w:p>
    <w:tbl>
      <w:tblPr>
        <w:tblStyle w:val="TableGrid"/>
        <w:tblW w:w="0" w:type="auto"/>
        <w:tblLook w:val="04A0" w:firstRow="1" w:lastRow="0" w:firstColumn="1" w:lastColumn="0" w:noHBand="0" w:noVBand="1"/>
      </w:tblPr>
      <w:tblGrid>
        <w:gridCol w:w="2785"/>
        <w:gridCol w:w="2160"/>
        <w:gridCol w:w="2173"/>
        <w:gridCol w:w="2373"/>
      </w:tblGrid>
      <w:tr w:rsidR="007A108B" w:rsidRPr="00A4272B" w14:paraId="38AF3EE6" w14:textId="77777777" w:rsidTr="00AD429C">
        <w:trPr>
          <w:tblHeader/>
        </w:trPr>
        <w:tc>
          <w:tcPr>
            <w:tcW w:w="2785" w:type="dxa"/>
            <w:shd w:val="clear" w:color="auto" w:fill="D9D9D9" w:themeFill="background1" w:themeFillShade="D9"/>
            <w:vAlign w:val="center"/>
          </w:tcPr>
          <w:p w14:paraId="6606DF8F" w14:textId="77777777" w:rsidR="007A108B" w:rsidRPr="00A4272B" w:rsidRDefault="007A108B" w:rsidP="00AD429C">
            <w:pPr>
              <w:autoSpaceDE w:val="0"/>
              <w:spacing w:before="40" w:after="40"/>
              <w:rPr>
                <w:sz w:val="18"/>
                <w:szCs w:val="18"/>
                <w:lang w:val="en-US"/>
              </w:rPr>
            </w:pPr>
            <w:r w:rsidRPr="00A4272B">
              <w:rPr>
                <w:b/>
                <w:sz w:val="18"/>
                <w:szCs w:val="18"/>
                <w:lang w:val="en-US"/>
              </w:rPr>
              <w:t>Chemical</w:t>
            </w:r>
          </w:p>
        </w:tc>
        <w:tc>
          <w:tcPr>
            <w:tcW w:w="2160" w:type="dxa"/>
            <w:shd w:val="clear" w:color="auto" w:fill="D9D9D9" w:themeFill="background1" w:themeFillShade="D9"/>
            <w:vAlign w:val="center"/>
          </w:tcPr>
          <w:p w14:paraId="30BB5B80" w14:textId="77777777" w:rsidR="007A108B" w:rsidRPr="00A4272B" w:rsidRDefault="007A108B" w:rsidP="00AD429C">
            <w:pPr>
              <w:autoSpaceDE w:val="0"/>
              <w:spacing w:before="40" w:after="40"/>
              <w:rPr>
                <w:sz w:val="18"/>
                <w:szCs w:val="18"/>
                <w:lang w:val="en-US"/>
              </w:rPr>
            </w:pPr>
            <w:r w:rsidRPr="00A4272B">
              <w:rPr>
                <w:b/>
                <w:sz w:val="18"/>
                <w:szCs w:val="18"/>
                <w:lang w:val="en-US"/>
              </w:rPr>
              <w:t>CTD in air, km</w:t>
            </w:r>
          </w:p>
        </w:tc>
        <w:tc>
          <w:tcPr>
            <w:tcW w:w="2173" w:type="dxa"/>
            <w:shd w:val="clear" w:color="auto" w:fill="D9D9D9" w:themeFill="background1" w:themeFillShade="D9"/>
            <w:vAlign w:val="center"/>
          </w:tcPr>
          <w:p w14:paraId="1EB1FC38" w14:textId="77777777" w:rsidR="007A108B" w:rsidRPr="00A4272B" w:rsidRDefault="007A108B" w:rsidP="00AD429C">
            <w:pPr>
              <w:autoSpaceDE w:val="0"/>
              <w:spacing w:before="40" w:after="40"/>
              <w:rPr>
                <w:b/>
                <w:sz w:val="18"/>
                <w:szCs w:val="18"/>
                <w:lang w:val="en-US"/>
              </w:rPr>
            </w:pPr>
            <w:r w:rsidRPr="00A4272B">
              <w:rPr>
                <w:b/>
                <w:sz w:val="18"/>
                <w:szCs w:val="18"/>
                <w:lang w:val="en-US"/>
              </w:rPr>
              <w:t>CTD in water, km</w:t>
            </w:r>
          </w:p>
        </w:tc>
        <w:tc>
          <w:tcPr>
            <w:tcW w:w="2373" w:type="dxa"/>
            <w:shd w:val="clear" w:color="auto" w:fill="D9D9D9" w:themeFill="background1" w:themeFillShade="D9"/>
            <w:vAlign w:val="center"/>
          </w:tcPr>
          <w:p w14:paraId="183B5EC4" w14:textId="2B7E16F5" w:rsidR="007A108B" w:rsidRPr="00A4272B" w:rsidRDefault="007A108B" w:rsidP="00AD429C">
            <w:pPr>
              <w:autoSpaceDE w:val="0"/>
              <w:spacing w:before="40" w:after="40"/>
              <w:rPr>
                <w:b/>
                <w:sz w:val="18"/>
                <w:szCs w:val="18"/>
                <w:lang w:val="en-US"/>
              </w:rPr>
            </w:pPr>
            <w:r w:rsidRPr="00A4272B">
              <w:rPr>
                <w:b/>
                <w:sz w:val="18"/>
                <w:szCs w:val="18"/>
                <w:lang w:val="en-US"/>
              </w:rPr>
              <w:t>TE% (emission to air)</w:t>
            </w:r>
          </w:p>
        </w:tc>
      </w:tr>
      <w:tr w:rsidR="007A108B" w:rsidRPr="00A4272B" w14:paraId="329EE754" w14:textId="77777777" w:rsidTr="00AD429C">
        <w:tc>
          <w:tcPr>
            <w:tcW w:w="2785" w:type="dxa"/>
            <w:vAlign w:val="center"/>
          </w:tcPr>
          <w:p w14:paraId="360CD226" w14:textId="77777777" w:rsidR="007A108B" w:rsidRPr="00A4272B" w:rsidRDefault="007A108B" w:rsidP="00AD429C">
            <w:pPr>
              <w:autoSpaceDE w:val="0"/>
              <w:spacing w:before="40" w:after="40"/>
              <w:rPr>
                <w:sz w:val="18"/>
                <w:szCs w:val="18"/>
                <w:lang w:val="en-US"/>
              </w:rPr>
            </w:pPr>
            <w:r w:rsidRPr="00A4272B">
              <w:rPr>
                <w:sz w:val="18"/>
                <w:szCs w:val="18"/>
                <w:lang w:val="en-US"/>
              </w:rPr>
              <w:t>Hexachlorobenzene</w:t>
            </w:r>
          </w:p>
        </w:tc>
        <w:tc>
          <w:tcPr>
            <w:tcW w:w="2160" w:type="dxa"/>
            <w:vAlign w:val="center"/>
          </w:tcPr>
          <w:p w14:paraId="24E6D86B" w14:textId="77777777" w:rsidR="007A108B" w:rsidRPr="00A4272B" w:rsidRDefault="007A108B" w:rsidP="00AD429C">
            <w:pPr>
              <w:autoSpaceDE w:val="0"/>
              <w:spacing w:before="40" w:after="40"/>
              <w:rPr>
                <w:sz w:val="18"/>
                <w:szCs w:val="18"/>
                <w:lang w:val="en-US"/>
              </w:rPr>
            </w:pPr>
            <w:r w:rsidRPr="00A4272B">
              <w:rPr>
                <w:sz w:val="18"/>
                <w:szCs w:val="18"/>
                <w:lang w:val="en-US"/>
              </w:rPr>
              <w:t>230,000</w:t>
            </w:r>
          </w:p>
        </w:tc>
        <w:tc>
          <w:tcPr>
            <w:tcW w:w="2173" w:type="dxa"/>
            <w:vAlign w:val="center"/>
          </w:tcPr>
          <w:p w14:paraId="470947D4" w14:textId="77777777" w:rsidR="007A108B" w:rsidRPr="00A4272B" w:rsidRDefault="007A108B" w:rsidP="00AD429C">
            <w:pPr>
              <w:autoSpaceDE w:val="0"/>
              <w:spacing w:before="40" w:after="40"/>
              <w:rPr>
                <w:sz w:val="18"/>
                <w:szCs w:val="18"/>
                <w:lang w:val="en-US"/>
              </w:rPr>
            </w:pPr>
            <w:r w:rsidRPr="00A4272B">
              <w:rPr>
                <w:sz w:val="18"/>
                <w:szCs w:val="18"/>
                <w:lang w:val="en-US"/>
              </w:rPr>
              <w:t>700</w:t>
            </w:r>
          </w:p>
        </w:tc>
        <w:tc>
          <w:tcPr>
            <w:tcW w:w="2373" w:type="dxa"/>
            <w:vAlign w:val="center"/>
          </w:tcPr>
          <w:p w14:paraId="4A156A61" w14:textId="77777777" w:rsidR="007A108B" w:rsidRPr="00A4272B" w:rsidRDefault="007A108B" w:rsidP="00AD429C">
            <w:pPr>
              <w:autoSpaceDE w:val="0"/>
              <w:spacing w:before="40" w:after="40"/>
              <w:rPr>
                <w:sz w:val="18"/>
                <w:szCs w:val="18"/>
                <w:lang w:val="en-US"/>
              </w:rPr>
            </w:pPr>
            <w:r w:rsidRPr="00A4272B">
              <w:rPr>
                <w:sz w:val="18"/>
                <w:szCs w:val="18"/>
                <w:lang w:val="en-US"/>
              </w:rPr>
              <w:t>2,500</w:t>
            </w:r>
          </w:p>
        </w:tc>
      </w:tr>
      <w:tr w:rsidR="007A108B" w:rsidRPr="00A4272B" w14:paraId="2E448FB7" w14:textId="77777777" w:rsidTr="00AD429C">
        <w:tc>
          <w:tcPr>
            <w:tcW w:w="2785" w:type="dxa"/>
            <w:vAlign w:val="center"/>
          </w:tcPr>
          <w:p w14:paraId="151D3E10" w14:textId="77777777" w:rsidR="007A108B" w:rsidRPr="00A4272B" w:rsidRDefault="007A108B" w:rsidP="00AD429C">
            <w:pPr>
              <w:autoSpaceDE w:val="0"/>
              <w:spacing w:before="40" w:after="40"/>
              <w:rPr>
                <w:sz w:val="18"/>
                <w:szCs w:val="18"/>
                <w:lang w:val="en-US"/>
              </w:rPr>
            </w:pPr>
            <w:r w:rsidRPr="00A4272B">
              <w:rPr>
                <w:sz w:val="18"/>
                <w:szCs w:val="18"/>
                <w:lang w:val="en-US"/>
              </w:rPr>
              <w:t>Hexachlorobutadiene (HCBD)</w:t>
            </w:r>
            <w:r w:rsidRPr="00A4272B">
              <w:rPr>
                <w:sz w:val="18"/>
                <w:szCs w:val="18"/>
                <w:vertAlign w:val="superscript"/>
                <w:lang w:val="en-US"/>
              </w:rPr>
              <w:t>1</w:t>
            </w:r>
          </w:p>
        </w:tc>
        <w:tc>
          <w:tcPr>
            <w:tcW w:w="2160" w:type="dxa"/>
            <w:vAlign w:val="center"/>
          </w:tcPr>
          <w:p w14:paraId="1DE2964D" w14:textId="77777777" w:rsidR="007A108B" w:rsidRPr="00A4272B" w:rsidRDefault="007A108B" w:rsidP="00AD429C">
            <w:pPr>
              <w:autoSpaceDE w:val="0"/>
              <w:spacing w:before="40" w:after="40"/>
              <w:rPr>
                <w:sz w:val="18"/>
                <w:szCs w:val="18"/>
                <w:lang w:val="en-US"/>
              </w:rPr>
            </w:pPr>
            <w:r w:rsidRPr="00A4272B">
              <w:rPr>
                <w:sz w:val="18"/>
                <w:szCs w:val="18"/>
                <w:lang w:val="en-US"/>
              </w:rPr>
              <w:t>160,000</w:t>
            </w:r>
          </w:p>
        </w:tc>
        <w:tc>
          <w:tcPr>
            <w:tcW w:w="2173" w:type="dxa"/>
            <w:vAlign w:val="center"/>
          </w:tcPr>
          <w:p w14:paraId="18ACBB14" w14:textId="77777777" w:rsidR="007A108B" w:rsidRPr="00A4272B" w:rsidRDefault="007A108B" w:rsidP="00AD429C">
            <w:pPr>
              <w:autoSpaceDE w:val="0"/>
              <w:spacing w:before="40" w:after="40"/>
              <w:rPr>
                <w:sz w:val="18"/>
                <w:szCs w:val="18"/>
                <w:lang w:val="en-US"/>
              </w:rPr>
            </w:pPr>
            <w:r w:rsidRPr="00A4272B">
              <w:rPr>
                <w:sz w:val="18"/>
                <w:szCs w:val="18"/>
                <w:lang w:val="en-US"/>
              </w:rPr>
              <w:t>100</w:t>
            </w:r>
          </w:p>
        </w:tc>
        <w:tc>
          <w:tcPr>
            <w:tcW w:w="2373" w:type="dxa"/>
            <w:vAlign w:val="center"/>
          </w:tcPr>
          <w:p w14:paraId="35919D19" w14:textId="77777777" w:rsidR="007A108B" w:rsidRPr="00A4272B" w:rsidRDefault="007A108B" w:rsidP="00AD429C">
            <w:pPr>
              <w:autoSpaceDE w:val="0"/>
              <w:spacing w:before="40" w:after="40"/>
              <w:rPr>
                <w:sz w:val="18"/>
                <w:szCs w:val="18"/>
                <w:lang w:val="en-US"/>
              </w:rPr>
            </w:pPr>
            <w:r w:rsidRPr="00A4272B">
              <w:rPr>
                <w:sz w:val="18"/>
                <w:szCs w:val="18"/>
                <w:lang w:val="en-US"/>
              </w:rPr>
              <w:t>50</w:t>
            </w:r>
          </w:p>
        </w:tc>
      </w:tr>
      <w:tr w:rsidR="007A108B" w:rsidRPr="00A4272B" w14:paraId="5B25AA39" w14:textId="77777777" w:rsidTr="00AD429C">
        <w:tc>
          <w:tcPr>
            <w:tcW w:w="2785" w:type="dxa"/>
            <w:vAlign w:val="center"/>
          </w:tcPr>
          <w:p w14:paraId="174A2BD6" w14:textId="77777777" w:rsidR="007A108B" w:rsidRPr="00A4272B" w:rsidRDefault="007A108B" w:rsidP="00AD429C">
            <w:pPr>
              <w:autoSpaceDE w:val="0"/>
              <w:spacing w:before="40" w:after="40"/>
              <w:rPr>
                <w:sz w:val="18"/>
                <w:szCs w:val="18"/>
                <w:lang w:val="en-US"/>
              </w:rPr>
            </w:pPr>
            <w:r w:rsidRPr="00A4272B">
              <w:rPr>
                <w:sz w:val="18"/>
                <w:szCs w:val="18"/>
                <w:lang w:val="en-US"/>
              </w:rPr>
              <w:t>Pentachlorobenzene</w:t>
            </w:r>
          </w:p>
        </w:tc>
        <w:tc>
          <w:tcPr>
            <w:tcW w:w="2160" w:type="dxa"/>
            <w:vAlign w:val="center"/>
          </w:tcPr>
          <w:p w14:paraId="138067BE" w14:textId="77777777" w:rsidR="007A108B" w:rsidRPr="00A4272B" w:rsidRDefault="007A108B" w:rsidP="00AD429C">
            <w:pPr>
              <w:autoSpaceDE w:val="0"/>
              <w:spacing w:before="40" w:after="40"/>
              <w:rPr>
                <w:sz w:val="18"/>
                <w:szCs w:val="18"/>
                <w:lang w:val="en-US"/>
              </w:rPr>
            </w:pPr>
            <w:r w:rsidRPr="00A4272B">
              <w:rPr>
                <w:sz w:val="18"/>
                <w:szCs w:val="18"/>
                <w:lang w:val="en-US"/>
              </w:rPr>
              <w:t>120,000</w:t>
            </w:r>
          </w:p>
        </w:tc>
        <w:tc>
          <w:tcPr>
            <w:tcW w:w="2173" w:type="dxa"/>
            <w:vAlign w:val="center"/>
          </w:tcPr>
          <w:p w14:paraId="4018A3F0" w14:textId="77777777" w:rsidR="007A108B" w:rsidRPr="00A4272B" w:rsidRDefault="007A108B" w:rsidP="00AD429C">
            <w:pPr>
              <w:autoSpaceDE w:val="0"/>
              <w:spacing w:before="40" w:after="40"/>
              <w:rPr>
                <w:sz w:val="18"/>
                <w:szCs w:val="18"/>
                <w:lang w:val="en-US"/>
              </w:rPr>
            </w:pPr>
            <w:r w:rsidRPr="00A4272B">
              <w:rPr>
                <w:sz w:val="18"/>
                <w:szCs w:val="18"/>
                <w:lang w:val="en-US"/>
              </w:rPr>
              <w:t>200</w:t>
            </w:r>
          </w:p>
        </w:tc>
        <w:tc>
          <w:tcPr>
            <w:tcW w:w="2373" w:type="dxa"/>
            <w:vAlign w:val="center"/>
          </w:tcPr>
          <w:p w14:paraId="0C5605B5" w14:textId="77777777" w:rsidR="007A108B" w:rsidRPr="00A4272B" w:rsidRDefault="007A108B" w:rsidP="00AD429C">
            <w:pPr>
              <w:autoSpaceDE w:val="0"/>
              <w:spacing w:before="40" w:after="40"/>
              <w:rPr>
                <w:sz w:val="18"/>
                <w:szCs w:val="18"/>
                <w:lang w:val="en-US"/>
              </w:rPr>
            </w:pPr>
            <w:r w:rsidRPr="00A4272B">
              <w:rPr>
                <w:sz w:val="18"/>
                <w:szCs w:val="18"/>
                <w:lang w:val="en-US"/>
              </w:rPr>
              <w:t>50</w:t>
            </w:r>
          </w:p>
        </w:tc>
      </w:tr>
      <w:tr w:rsidR="007A108B" w:rsidRPr="00A4272B" w14:paraId="1EDF3C25" w14:textId="77777777" w:rsidTr="00AD429C">
        <w:tc>
          <w:tcPr>
            <w:tcW w:w="2785" w:type="dxa"/>
            <w:vAlign w:val="center"/>
          </w:tcPr>
          <w:p w14:paraId="4F0032C2" w14:textId="77777777" w:rsidR="007A108B" w:rsidRPr="00A4272B" w:rsidRDefault="007A108B" w:rsidP="00AD429C">
            <w:pPr>
              <w:autoSpaceDE w:val="0"/>
              <w:spacing w:before="40" w:after="40"/>
              <w:rPr>
                <w:sz w:val="18"/>
                <w:szCs w:val="18"/>
                <w:lang w:val="en-US"/>
              </w:rPr>
            </w:pPr>
            <w:r w:rsidRPr="00A4272B">
              <w:rPr>
                <w:sz w:val="18"/>
                <w:szCs w:val="18"/>
                <w:lang w:val="en-US"/>
              </w:rPr>
              <w:t>Octabromo diphenyl ethers</w:t>
            </w:r>
          </w:p>
        </w:tc>
        <w:tc>
          <w:tcPr>
            <w:tcW w:w="2160" w:type="dxa"/>
            <w:vAlign w:val="center"/>
          </w:tcPr>
          <w:p w14:paraId="55A82573" w14:textId="77777777" w:rsidR="007A108B" w:rsidRPr="00A4272B" w:rsidRDefault="007A108B" w:rsidP="00AD429C">
            <w:pPr>
              <w:autoSpaceDE w:val="0"/>
              <w:spacing w:before="40" w:after="40"/>
              <w:rPr>
                <w:sz w:val="18"/>
                <w:szCs w:val="18"/>
                <w:lang w:val="en-US"/>
              </w:rPr>
            </w:pPr>
            <w:r w:rsidRPr="00A4272B">
              <w:rPr>
                <w:sz w:val="18"/>
                <w:szCs w:val="18"/>
                <w:lang w:val="en-US"/>
              </w:rPr>
              <w:t>22,000</w:t>
            </w:r>
          </w:p>
        </w:tc>
        <w:tc>
          <w:tcPr>
            <w:tcW w:w="2173" w:type="dxa"/>
            <w:vAlign w:val="center"/>
          </w:tcPr>
          <w:p w14:paraId="2EB198FA" w14:textId="77777777" w:rsidR="007A108B" w:rsidRPr="00A4272B" w:rsidRDefault="007A108B" w:rsidP="00AD429C">
            <w:pPr>
              <w:autoSpaceDE w:val="0"/>
              <w:spacing w:before="40" w:after="40"/>
              <w:rPr>
                <w:sz w:val="18"/>
                <w:szCs w:val="18"/>
                <w:lang w:val="en-US"/>
              </w:rPr>
            </w:pPr>
            <w:r w:rsidRPr="00A4272B">
              <w:rPr>
                <w:sz w:val="18"/>
                <w:szCs w:val="18"/>
                <w:lang w:val="en-US"/>
              </w:rPr>
              <w:t>360</w:t>
            </w:r>
          </w:p>
        </w:tc>
        <w:tc>
          <w:tcPr>
            <w:tcW w:w="2373" w:type="dxa"/>
            <w:vAlign w:val="center"/>
          </w:tcPr>
          <w:p w14:paraId="6E466D62" w14:textId="77777777" w:rsidR="007A108B" w:rsidRPr="00A4272B" w:rsidRDefault="007A108B" w:rsidP="00AD429C">
            <w:pPr>
              <w:autoSpaceDE w:val="0"/>
              <w:spacing w:before="40" w:after="40"/>
              <w:rPr>
                <w:sz w:val="18"/>
                <w:szCs w:val="18"/>
                <w:lang w:val="en-US"/>
              </w:rPr>
            </w:pPr>
            <w:r w:rsidRPr="00A4272B">
              <w:rPr>
                <w:sz w:val="18"/>
                <w:szCs w:val="18"/>
                <w:lang w:val="en-US"/>
              </w:rPr>
              <w:t>110</w:t>
            </w:r>
          </w:p>
        </w:tc>
      </w:tr>
      <w:tr w:rsidR="007A108B" w:rsidRPr="00A4272B" w14:paraId="53DCDAEB" w14:textId="77777777" w:rsidTr="00AD429C">
        <w:tc>
          <w:tcPr>
            <w:tcW w:w="2785" w:type="dxa"/>
            <w:vAlign w:val="center"/>
          </w:tcPr>
          <w:p w14:paraId="75130E83" w14:textId="77777777" w:rsidR="007A108B" w:rsidRPr="00A4272B" w:rsidRDefault="007A108B" w:rsidP="00AD429C">
            <w:pPr>
              <w:autoSpaceDE w:val="0"/>
              <w:spacing w:before="40" w:after="40"/>
              <w:rPr>
                <w:sz w:val="18"/>
                <w:szCs w:val="18"/>
                <w:lang w:val="en-US"/>
              </w:rPr>
            </w:pPr>
            <w:r w:rsidRPr="00A4272B">
              <w:rPr>
                <w:sz w:val="18"/>
                <w:szCs w:val="18"/>
                <w:lang w:val="en-US"/>
              </w:rPr>
              <w:t>PCB-180 (hepta homolog)</w:t>
            </w:r>
          </w:p>
        </w:tc>
        <w:tc>
          <w:tcPr>
            <w:tcW w:w="2160" w:type="dxa"/>
            <w:vAlign w:val="center"/>
          </w:tcPr>
          <w:p w14:paraId="7720A4D5" w14:textId="77777777" w:rsidR="007A108B" w:rsidRPr="00A4272B" w:rsidRDefault="007A108B" w:rsidP="00AD429C">
            <w:pPr>
              <w:autoSpaceDE w:val="0"/>
              <w:spacing w:before="40" w:after="40"/>
              <w:rPr>
                <w:sz w:val="18"/>
                <w:szCs w:val="18"/>
                <w:lang w:val="en-US"/>
              </w:rPr>
            </w:pPr>
            <w:r w:rsidRPr="00A4272B">
              <w:rPr>
                <w:sz w:val="18"/>
                <w:szCs w:val="18"/>
                <w:lang w:val="en-US"/>
              </w:rPr>
              <w:t>17,000</w:t>
            </w:r>
          </w:p>
        </w:tc>
        <w:tc>
          <w:tcPr>
            <w:tcW w:w="2173" w:type="dxa"/>
            <w:vAlign w:val="center"/>
          </w:tcPr>
          <w:p w14:paraId="3A60794A" w14:textId="77777777" w:rsidR="007A108B" w:rsidRPr="00A4272B" w:rsidRDefault="007A108B" w:rsidP="00AD429C">
            <w:pPr>
              <w:autoSpaceDE w:val="0"/>
              <w:spacing w:before="40" w:after="40"/>
              <w:rPr>
                <w:sz w:val="18"/>
                <w:szCs w:val="18"/>
                <w:lang w:val="en-US"/>
              </w:rPr>
            </w:pPr>
            <w:r w:rsidRPr="00A4272B">
              <w:rPr>
                <w:sz w:val="18"/>
                <w:szCs w:val="18"/>
                <w:lang w:val="en-US"/>
              </w:rPr>
              <w:t>340</w:t>
            </w:r>
          </w:p>
        </w:tc>
        <w:tc>
          <w:tcPr>
            <w:tcW w:w="2373" w:type="dxa"/>
            <w:vAlign w:val="center"/>
          </w:tcPr>
          <w:p w14:paraId="2219D3BE" w14:textId="77777777" w:rsidR="007A108B" w:rsidRPr="00A4272B" w:rsidRDefault="007A108B" w:rsidP="00AD429C">
            <w:pPr>
              <w:autoSpaceDE w:val="0"/>
              <w:spacing w:before="40" w:after="40"/>
              <w:rPr>
                <w:sz w:val="18"/>
                <w:szCs w:val="18"/>
                <w:lang w:val="en-US"/>
              </w:rPr>
            </w:pPr>
            <w:r w:rsidRPr="00A4272B">
              <w:rPr>
                <w:sz w:val="18"/>
                <w:szCs w:val="18"/>
                <w:lang w:val="en-US"/>
              </w:rPr>
              <w:t>91</w:t>
            </w:r>
          </w:p>
        </w:tc>
      </w:tr>
      <w:tr w:rsidR="007A108B" w:rsidRPr="00A4272B" w14:paraId="6CA9A23D" w14:textId="77777777" w:rsidTr="00AD429C">
        <w:tc>
          <w:tcPr>
            <w:tcW w:w="2785" w:type="dxa"/>
            <w:vAlign w:val="center"/>
          </w:tcPr>
          <w:p w14:paraId="5AC73A5E" w14:textId="16E63433" w:rsidR="007A108B" w:rsidRPr="00A4272B" w:rsidRDefault="002A6D39" w:rsidP="00AD429C">
            <w:pPr>
              <w:autoSpaceDE w:val="0"/>
              <w:spacing w:before="40" w:after="40"/>
              <w:rPr>
                <w:sz w:val="18"/>
                <w:szCs w:val="18"/>
                <w:lang w:val="en-US"/>
              </w:rPr>
            </w:pPr>
            <w:r w:rsidRPr="00A4272B">
              <w:rPr>
                <w:sz w:val="18"/>
                <w:szCs w:val="18"/>
                <w:lang w:val="en-US"/>
              </w:rPr>
              <w:t>Alpha-</w:t>
            </w:r>
            <w:r w:rsidR="007A108B" w:rsidRPr="00A4272B">
              <w:rPr>
                <w:sz w:val="18"/>
                <w:szCs w:val="18"/>
                <w:lang w:val="en-US"/>
              </w:rPr>
              <w:t>HCH</w:t>
            </w:r>
          </w:p>
        </w:tc>
        <w:tc>
          <w:tcPr>
            <w:tcW w:w="2160" w:type="dxa"/>
            <w:vAlign w:val="center"/>
          </w:tcPr>
          <w:p w14:paraId="28170F8D" w14:textId="77777777" w:rsidR="007A108B" w:rsidRPr="00A4272B" w:rsidRDefault="007A108B" w:rsidP="00AD429C">
            <w:pPr>
              <w:autoSpaceDE w:val="0"/>
              <w:spacing w:before="40" w:after="40"/>
              <w:rPr>
                <w:sz w:val="18"/>
                <w:szCs w:val="18"/>
                <w:lang w:val="en-US"/>
              </w:rPr>
            </w:pPr>
            <w:r w:rsidRPr="00A4272B">
              <w:rPr>
                <w:sz w:val="18"/>
                <w:szCs w:val="18"/>
                <w:lang w:val="en-US"/>
              </w:rPr>
              <w:t>7,800</w:t>
            </w:r>
          </w:p>
        </w:tc>
        <w:tc>
          <w:tcPr>
            <w:tcW w:w="2173" w:type="dxa"/>
            <w:vAlign w:val="center"/>
          </w:tcPr>
          <w:p w14:paraId="17BC612D" w14:textId="77777777" w:rsidR="007A108B" w:rsidRPr="00A4272B" w:rsidRDefault="007A108B" w:rsidP="00AD429C">
            <w:pPr>
              <w:autoSpaceDE w:val="0"/>
              <w:spacing w:before="40" w:after="40"/>
              <w:rPr>
                <w:sz w:val="18"/>
                <w:szCs w:val="18"/>
                <w:lang w:val="en-US"/>
              </w:rPr>
            </w:pPr>
            <w:r w:rsidRPr="00A4272B">
              <w:rPr>
                <w:sz w:val="18"/>
                <w:szCs w:val="18"/>
                <w:lang w:val="en-US"/>
              </w:rPr>
              <w:t>830</w:t>
            </w:r>
          </w:p>
        </w:tc>
        <w:tc>
          <w:tcPr>
            <w:tcW w:w="2373" w:type="dxa"/>
            <w:vAlign w:val="center"/>
          </w:tcPr>
          <w:p w14:paraId="30E8C3BB" w14:textId="77777777" w:rsidR="007A108B" w:rsidRPr="00A4272B" w:rsidRDefault="007A108B" w:rsidP="00AD429C">
            <w:pPr>
              <w:autoSpaceDE w:val="0"/>
              <w:spacing w:before="40" w:after="40"/>
              <w:rPr>
                <w:sz w:val="18"/>
                <w:szCs w:val="18"/>
                <w:lang w:val="en-US"/>
              </w:rPr>
            </w:pPr>
            <w:r w:rsidRPr="00A4272B">
              <w:rPr>
                <w:sz w:val="18"/>
                <w:szCs w:val="18"/>
                <w:lang w:val="en-US"/>
              </w:rPr>
              <w:t>54</w:t>
            </w:r>
          </w:p>
        </w:tc>
      </w:tr>
      <w:tr w:rsidR="007A108B" w:rsidRPr="00A4272B" w14:paraId="1BD3F606" w14:textId="77777777" w:rsidTr="00AD429C">
        <w:tc>
          <w:tcPr>
            <w:tcW w:w="2785" w:type="dxa"/>
            <w:vAlign w:val="center"/>
          </w:tcPr>
          <w:p w14:paraId="42C1FF09" w14:textId="77777777" w:rsidR="007A108B" w:rsidRPr="00A4272B" w:rsidRDefault="007A108B" w:rsidP="00AD429C">
            <w:pPr>
              <w:autoSpaceDE w:val="0"/>
              <w:spacing w:before="40" w:after="40"/>
              <w:rPr>
                <w:sz w:val="18"/>
                <w:szCs w:val="18"/>
                <w:lang w:val="en-US"/>
              </w:rPr>
            </w:pPr>
            <w:r w:rsidRPr="00A4272B">
              <w:rPr>
                <w:sz w:val="18"/>
                <w:szCs w:val="18"/>
                <w:lang w:val="en-US"/>
              </w:rPr>
              <w:t>PCB-28 (tri homolog)</w:t>
            </w:r>
          </w:p>
        </w:tc>
        <w:tc>
          <w:tcPr>
            <w:tcW w:w="2160" w:type="dxa"/>
            <w:vAlign w:val="center"/>
          </w:tcPr>
          <w:p w14:paraId="2761E64B" w14:textId="77777777" w:rsidR="007A108B" w:rsidRPr="00A4272B" w:rsidRDefault="007A108B" w:rsidP="00AD429C">
            <w:pPr>
              <w:autoSpaceDE w:val="0"/>
              <w:spacing w:before="40" w:after="40"/>
              <w:rPr>
                <w:sz w:val="18"/>
                <w:szCs w:val="18"/>
                <w:lang w:val="en-US"/>
              </w:rPr>
            </w:pPr>
            <w:r w:rsidRPr="00A4272B">
              <w:rPr>
                <w:sz w:val="18"/>
                <w:szCs w:val="18"/>
                <w:lang w:val="en-US"/>
              </w:rPr>
              <w:t>5,100</w:t>
            </w:r>
          </w:p>
        </w:tc>
        <w:tc>
          <w:tcPr>
            <w:tcW w:w="2173" w:type="dxa"/>
            <w:vAlign w:val="center"/>
          </w:tcPr>
          <w:p w14:paraId="71CCA5E8" w14:textId="77777777" w:rsidR="007A108B" w:rsidRPr="00A4272B" w:rsidRDefault="007A108B" w:rsidP="00AD429C">
            <w:pPr>
              <w:autoSpaceDE w:val="0"/>
              <w:spacing w:before="40" w:after="40"/>
              <w:rPr>
                <w:sz w:val="18"/>
                <w:szCs w:val="18"/>
                <w:lang w:val="en-US"/>
              </w:rPr>
            </w:pPr>
            <w:r w:rsidRPr="00A4272B">
              <w:rPr>
                <w:sz w:val="18"/>
                <w:szCs w:val="18"/>
                <w:lang w:val="en-US"/>
              </w:rPr>
              <w:t>190</w:t>
            </w:r>
          </w:p>
        </w:tc>
        <w:tc>
          <w:tcPr>
            <w:tcW w:w="2373" w:type="dxa"/>
            <w:vAlign w:val="center"/>
          </w:tcPr>
          <w:p w14:paraId="5305AD3E" w14:textId="77777777" w:rsidR="007A108B" w:rsidRPr="00A4272B" w:rsidRDefault="007A108B" w:rsidP="00AD429C">
            <w:pPr>
              <w:autoSpaceDE w:val="0"/>
              <w:spacing w:before="40" w:after="40"/>
              <w:rPr>
                <w:sz w:val="18"/>
                <w:szCs w:val="18"/>
                <w:lang w:val="en-US"/>
              </w:rPr>
            </w:pPr>
            <w:r w:rsidRPr="00A4272B">
              <w:rPr>
                <w:sz w:val="18"/>
                <w:szCs w:val="18"/>
                <w:lang w:val="en-US"/>
              </w:rPr>
              <w:t>2.2</w:t>
            </w:r>
          </w:p>
        </w:tc>
      </w:tr>
      <w:tr w:rsidR="007A108B" w:rsidRPr="00A4272B" w14:paraId="69BE3358" w14:textId="77777777" w:rsidTr="00AD429C">
        <w:tc>
          <w:tcPr>
            <w:tcW w:w="2785" w:type="dxa"/>
            <w:vAlign w:val="center"/>
          </w:tcPr>
          <w:p w14:paraId="2D91F722" w14:textId="77777777" w:rsidR="007A108B" w:rsidRPr="00A4272B" w:rsidRDefault="007A108B" w:rsidP="00AD429C">
            <w:pPr>
              <w:autoSpaceDE w:val="0"/>
              <w:spacing w:before="40" w:after="40"/>
              <w:rPr>
                <w:sz w:val="18"/>
                <w:szCs w:val="18"/>
                <w:lang w:val="en-US"/>
              </w:rPr>
            </w:pPr>
            <w:r w:rsidRPr="00A4272B">
              <w:rPr>
                <w:sz w:val="18"/>
                <w:szCs w:val="18"/>
                <w:lang w:val="en-US"/>
              </w:rPr>
              <w:t>Pentachloroanisole (PCA)</w:t>
            </w:r>
            <w:r w:rsidRPr="00A4272B">
              <w:rPr>
                <w:sz w:val="18"/>
                <w:szCs w:val="18"/>
                <w:vertAlign w:val="superscript"/>
                <w:lang w:val="en-US"/>
              </w:rPr>
              <w:t>2</w:t>
            </w:r>
          </w:p>
        </w:tc>
        <w:tc>
          <w:tcPr>
            <w:tcW w:w="2160" w:type="dxa"/>
            <w:vAlign w:val="center"/>
          </w:tcPr>
          <w:p w14:paraId="53C29A9C" w14:textId="77777777" w:rsidR="007A108B" w:rsidRPr="00A4272B" w:rsidRDefault="007A108B" w:rsidP="00AD429C">
            <w:pPr>
              <w:autoSpaceDE w:val="0"/>
              <w:spacing w:before="40" w:after="40"/>
              <w:rPr>
                <w:sz w:val="18"/>
                <w:szCs w:val="18"/>
                <w:lang w:val="en-US"/>
              </w:rPr>
            </w:pPr>
            <w:r w:rsidRPr="00A4272B">
              <w:rPr>
                <w:sz w:val="18"/>
                <w:szCs w:val="18"/>
                <w:lang w:val="en-US"/>
              </w:rPr>
              <w:t>4,300</w:t>
            </w:r>
          </w:p>
        </w:tc>
        <w:tc>
          <w:tcPr>
            <w:tcW w:w="2173" w:type="dxa"/>
            <w:vAlign w:val="center"/>
          </w:tcPr>
          <w:p w14:paraId="6BB2228B" w14:textId="77777777" w:rsidR="007A108B" w:rsidRPr="00A4272B" w:rsidRDefault="007A108B" w:rsidP="00AD429C">
            <w:pPr>
              <w:autoSpaceDE w:val="0"/>
              <w:spacing w:before="40" w:after="40"/>
              <w:rPr>
                <w:sz w:val="18"/>
                <w:szCs w:val="18"/>
                <w:lang w:val="en-US"/>
              </w:rPr>
            </w:pPr>
            <w:r w:rsidRPr="00A4272B">
              <w:rPr>
                <w:sz w:val="18"/>
                <w:szCs w:val="18"/>
                <w:lang w:val="en-US"/>
              </w:rPr>
              <w:t>220</w:t>
            </w:r>
          </w:p>
        </w:tc>
        <w:tc>
          <w:tcPr>
            <w:tcW w:w="2373" w:type="dxa"/>
            <w:vAlign w:val="center"/>
          </w:tcPr>
          <w:p w14:paraId="2BE42077" w14:textId="77777777" w:rsidR="007A108B" w:rsidRPr="00A4272B" w:rsidRDefault="007A108B" w:rsidP="00AD429C">
            <w:pPr>
              <w:autoSpaceDE w:val="0"/>
              <w:spacing w:before="40" w:after="40"/>
              <w:rPr>
                <w:sz w:val="18"/>
                <w:szCs w:val="18"/>
                <w:lang w:val="en-US"/>
              </w:rPr>
            </w:pPr>
            <w:r w:rsidRPr="00A4272B">
              <w:rPr>
                <w:sz w:val="18"/>
                <w:szCs w:val="18"/>
                <w:lang w:val="en-US"/>
              </w:rPr>
              <w:t>5.2</w:t>
            </w:r>
          </w:p>
        </w:tc>
      </w:tr>
      <w:tr w:rsidR="007A108B" w:rsidRPr="00A4272B" w14:paraId="310BAD49" w14:textId="77777777" w:rsidTr="00AD429C">
        <w:tc>
          <w:tcPr>
            <w:tcW w:w="2785" w:type="dxa"/>
            <w:vAlign w:val="center"/>
          </w:tcPr>
          <w:p w14:paraId="40C4A710" w14:textId="77777777" w:rsidR="007A108B" w:rsidRPr="00A4272B" w:rsidRDefault="007A108B" w:rsidP="00AD429C">
            <w:pPr>
              <w:autoSpaceDE w:val="0"/>
              <w:spacing w:before="40" w:after="40"/>
              <w:rPr>
                <w:sz w:val="18"/>
                <w:szCs w:val="18"/>
                <w:lang w:val="en-US"/>
              </w:rPr>
            </w:pPr>
            <w:r w:rsidRPr="00A4272B">
              <w:rPr>
                <w:sz w:val="18"/>
                <w:szCs w:val="18"/>
                <w:lang w:val="en-US"/>
              </w:rPr>
              <w:t>γ-HCH</w:t>
            </w:r>
          </w:p>
        </w:tc>
        <w:tc>
          <w:tcPr>
            <w:tcW w:w="2160" w:type="dxa"/>
            <w:vAlign w:val="center"/>
          </w:tcPr>
          <w:p w14:paraId="5349E076" w14:textId="77777777" w:rsidR="007A108B" w:rsidRPr="00A4272B" w:rsidRDefault="007A108B" w:rsidP="00AD429C">
            <w:pPr>
              <w:autoSpaceDE w:val="0"/>
              <w:spacing w:before="40" w:after="40"/>
              <w:rPr>
                <w:sz w:val="18"/>
                <w:szCs w:val="18"/>
                <w:lang w:val="en-US"/>
              </w:rPr>
            </w:pPr>
            <w:r w:rsidRPr="00A4272B">
              <w:rPr>
                <w:sz w:val="18"/>
                <w:szCs w:val="18"/>
                <w:lang w:val="en-US"/>
              </w:rPr>
              <w:t>4,200</w:t>
            </w:r>
          </w:p>
        </w:tc>
        <w:tc>
          <w:tcPr>
            <w:tcW w:w="2173" w:type="dxa"/>
            <w:vAlign w:val="center"/>
          </w:tcPr>
          <w:p w14:paraId="5434EBED" w14:textId="77777777" w:rsidR="007A108B" w:rsidRPr="00A4272B" w:rsidRDefault="007A108B" w:rsidP="00AD429C">
            <w:pPr>
              <w:autoSpaceDE w:val="0"/>
              <w:spacing w:before="40" w:after="40"/>
              <w:rPr>
                <w:sz w:val="18"/>
                <w:szCs w:val="18"/>
                <w:lang w:val="en-US"/>
              </w:rPr>
            </w:pPr>
            <w:r w:rsidRPr="00A4272B">
              <w:rPr>
                <w:sz w:val="18"/>
                <w:szCs w:val="18"/>
                <w:lang w:val="en-US"/>
              </w:rPr>
              <w:t>220</w:t>
            </w:r>
          </w:p>
        </w:tc>
        <w:tc>
          <w:tcPr>
            <w:tcW w:w="2373" w:type="dxa"/>
            <w:vAlign w:val="center"/>
          </w:tcPr>
          <w:p w14:paraId="0D4BD3DE" w14:textId="77777777" w:rsidR="007A108B" w:rsidRPr="00A4272B" w:rsidRDefault="007A108B" w:rsidP="00AD429C">
            <w:pPr>
              <w:autoSpaceDE w:val="0"/>
              <w:spacing w:before="40" w:after="40"/>
              <w:rPr>
                <w:sz w:val="18"/>
                <w:szCs w:val="18"/>
                <w:lang w:val="en-US"/>
              </w:rPr>
            </w:pPr>
            <w:r w:rsidRPr="00A4272B">
              <w:rPr>
                <w:sz w:val="18"/>
                <w:szCs w:val="18"/>
                <w:lang w:val="en-US"/>
              </w:rPr>
              <w:t>19</w:t>
            </w:r>
          </w:p>
        </w:tc>
      </w:tr>
      <w:tr w:rsidR="007A108B" w:rsidRPr="00A4272B" w14:paraId="09392AF3" w14:textId="77777777" w:rsidTr="00AD429C">
        <w:tc>
          <w:tcPr>
            <w:tcW w:w="2785" w:type="dxa"/>
            <w:vAlign w:val="center"/>
          </w:tcPr>
          <w:p w14:paraId="2803A7DB" w14:textId="77777777" w:rsidR="007A108B" w:rsidRPr="00A4272B" w:rsidRDefault="007A108B" w:rsidP="00AD429C">
            <w:pPr>
              <w:autoSpaceDE w:val="0"/>
              <w:spacing w:before="40" w:after="40"/>
              <w:rPr>
                <w:sz w:val="18"/>
                <w:szCs w:val="18"/>
                <w:lang w:val="en-US"/>
              </w:rPr>
            </w:pPr>
            <w:r w:rsidRPr="00A4272B">
              <w:rPr>
                <w:sz w:val="18"/>
                <w:szCs w:val="18"/>
                <w:lang w:val="en-US"/>
              </w:rPr>
              <w:t>BDE-99</w:t>
            </w:r>
          </w:p>
        </w:tc>
        <w:tc>
          <w:tcPr>
            <w:tcW w:w="2160" w:type="dxa"/>
            <w:vAlign w:val="center"/>
          </w:tcPr>
          <w:p w14:paraId="2F4B4A56" w14:textId="77777777" w:rsidR="007A108B" w:rsidRPr="00A4272B" w:rsidRDefault="007A108B" w:rsidP="00AD429C">
            <w:pPr>
              <w:autoSpaceDE w:val="0"/>
              <w:spacing w:before="40" w:after="40"/>
              <w:rPr>
                <w:sz w:val="18"/>
                <w:szCs w:val="18"/>
                <w:lang w:val="en-US"/>
              </w:rPr>
            </w:pPr>
            <w:r w:rsidRPr="00A4272B">
              <w:rPr>
                <w:sz w:val="18"/>
                <w:szCs w:val="18"/>
                <w:lang w:val="en-US"/>
              </w:rPr>
              <w:t>3,700</w:t>
            </w:r>
          </w:p>
        </w:tc>
        <w:tc>
          <w:tcPr>
            <w:tcW w:w="2173" w:type="dxa"/>
            <w:vAlign w:val="center"/>
          </w:tcPr>
          <w:p w14:paraId="766F8D8C" w14:textId="77777777" w:rsidR="007A108B" w:rsidRPr="00A4272B" w:rsidRDefault="007A108B" w:rsidP="00AD429C">
            <w:pPr>
              <w:autoSpaceDE w:val="0"/>
              <w:spacing w:before="40" w:after="40"/>
              <w:rPr>
                <w:sz w:val="18"/>
                <w:szCs w:val="18"/>
                <w:lang w:val="en-US"/>
              </w:rPr>
            </w:pPr>
            <w:r w:rsidRPr="00A4272B">
              <w:rPr>
                <w:sz w:val="18"/>
                <w:szCs w:val="18"/>
                <w:lang w:val="en-US"/>
              </w:rPr>
              <w:t>540</w:t>
            </w:r>
          </w:p>
        </w:tc>
        <w:tc>
          <w:tcPr>
            <w:tcW w:w="2373" w:type="dxa"/>
            <w:vAlign w:val="center"/>
          </w:tcPr>
          <w:p w14:paraId="30961890" w14:textId="77777777" w:rsidR="007A108B" w:rsidRPr="00A4272B" w:rsidRDefault="007A108B" w:rsidP="00AD429C">
            <w:pPr>
              <w:autoSpaceDE w:val="0"/>
              <w:spacing w:before="40" w:after="40"/>
              <w:rPr>
                <w:sz w:val="18"/>
                <w:szCs w:val="18"/>
                <w:lang w:val="en-US"/>
              </w:rPr>
            </w:pPr>
            <w:r w:rsidRPr="00A4272B">
              <w:rPr>
                <w:sz w:val="18"/>
                <w:szCs w:val="18"/>
                <w:lang w:val="en-US"/>
              </w:rPr>
              <w:t>15</w:t>
            </w:r>
          </w:p>
        </w:tc>
      </w:tr>
      <w:tr w:rsidR="007A108B" w:rsidRPr="00A4272B" w14:paraId="3CA20F03" w14:textId="77777777" w:rsidTr="00AD429C">
        <w:tc>
          <w:tcPr>
            <w:tcW w:w="2785" w:type="dxa"/>
            <w:vAlign w:val="center"/>
          </w:tcPr>
          <w:p w14:paraId="71316F8F" w14:textId="77777777" w:rsidR="007A108B" w:rsidRPr="00A4272B" w:rsidRDefault="007A108B" w:rsidP="00AD429C">
            <w:pPr>
              <w:autoSpaceDE w:val="0"/>
              <w:spacing w:before="40" w:after="40"/>
              <w:rPr>
                <w:sz w:val="18"/>
                <w:szCs w:val="18"/>
                <w:lang w:val="en-US"/>
              </w:rPr>
            </w:pPr>
            <w:r w:rsidRPr="00A4272B">
              <w:rPr>
                <w:sz w:val="18"/>
                <w:szCs w:val="18"/>
                <w:lang w:val="en-US"/>
              </w:rPr>
              <w:t>DDT</w:t>
            </w:r>
          </w:p>
        </w:tc>
        <w:tc>
          <w:tcPr>
            <w:tcW w:w="2160" w:type="dxa"/>
            <w:vAlign w:val="center"/>
          </w:tcPr>
          <w:p w14:paraId="1091C580" w14:textId="77777777" w:rsidR="007A108B" w:rsidRPr="00A4272B" w:rsidRDefault="007A108B" w:rsidP="00AD429C">
            <w:pPr>
              <w:autoSpaceDE w:val="0"/>
              <w:spacing w:before="40" w:after="40"/>
              <w:rPr>
                <w:sz w:val="18"/>
                <w:szCs w:val="18"/>
                <w:lang w:val="en-US"/>
              </w:rPr>
            </w:pPr>
            <w:r w:rsidRPr="00A4272B">
              <w:rPr>
                <w:sz w:val="18"/>
                <w:szCs w:val="18"/>
                <w:lang w:val="en-US"/>
              </w:rPr>
              <w:t>3,600</w:t>
            </w:r>
          </w:p>
        </w:tc>
        <w:tc>
          <w:tcPr>
            <w:tcW w:w="2173" w:type="dxa"/>
            <w:vAlign w:val="center"/>
          </w:tcPr>
          <w:p w14:paraId="43527F6A" w14:textId="77777777" w:rsidR="007A108B" w:rsidRPr="00A4272B" w:rsidRDefault="007A108B" w:rsidP="00AD429C">
            <w:pPr>
              <w:autoSpaceDE w:val="0"/>
              <w:spacing w:before="40" w:after="40"/>
              <w:rPr>
                <w:sz w:val="18"/>
                <w:szCs w:val="18"/>
                <w:lang w:val="en-US"/>
              </w:rPr>
            </w:pPr>
            <w:r w:rsidRPr="00A4272B">
              <w:rPr>
                <w:sz w:val="18"/>
                <w:szCs w:val="18"/>
                <w:lang w:val="en-US"/>
              </w:rPr>
              <w:t>490</w:t>
            </w:r>
          </w:p>
        </w:tc>
        <w:tc>
          <w:tcPr>
            <w:tcW w:w="2373" w:type="dxa"/>
            <w:vAlign w:val="center"/>
          </w:tcPr>
          <w:p w14:paraId="4EEEDD06" w14:textId="77777777" w:rsidR="007A108B" w:rsidRPr="00A4272B" w:rsidRDefault="007A108B" w:rsidP="00AD429C">
            <w:pPr>
              <w:autoSpaceDE w:val="0"/>
              <w:spacing w:before="40" w:after="40"/>
              <w:rPr>
                <w:sz w:val="18"/>
                <w:szCs w:val="18"/>
                <w:lang w:val="en-US"/>
              </w:rPr>
            </w:pPr>
            <w:r w:rsidRPr="00A4272B">
              <w:rPr>
                <w:sz w:val="18"/>
                <w:szCs w:val="18"/>
                <w:lang w:val="en-US"/>
              </w:rPr>
              <w:t>10</w:t>
            </w:r>
          </w:p>
        </w:tc>
      </w:tr>
      <w:tr w:rsidR="007A108B" w:rsidRPr="00A4272B" w14:paraId="0458E327" w14:textId="77777777" w:rsidTr="00AD429C">
        <w:tc>
          <w:tcPr>
            <w:tcW w:w="2785" w:type="dxa"/>
            <w:vAlign w:val="center"/>
          </w:tcPr>
          <w:p w14:paraId="3026CC25" w14:textId="79A9EC86" w:rsidR="007A108B" w:rsidRPr="00A4272B" w:rsidRDefault="002A6D39" w:rsidP="00AD429C">
            <w:pPr>
              <w:autoSpaceDE w:val="0"/>
              <w:spacing w:before="40" w:after="40"/>
              <w:rPr>
                <w:sz w:val="18"/>
                <w:szCs w:val="18"/>
                <w:lang w:val="en-US"/>
              </w:rPr>
            </w:pPr>
            <w:r w:rsidRPr="00A4272B">
              <w:rPr>
                <w:sz w:val="18"/>
                <w:szCs w:val="18"/>
                <w:lang w:val="en-US"/>
              </w:rPr>
              <w:t>Beta</w:t>
            </w:r>
            <w:r w:rsidR="007A108B" w:rsidRPr="00A4272B">
              <w:rPr>
                <w:sz w:val="18"/>
                <w:szCs w:val="18"/>
                <w:lang w:val="en-US"/>
              </w:rPr>
              <w:t>-HCH</w:t>
            </w:r>
          </w:p>
        </w:tc>
        <w:tc>
          <w:tcPr>
            <w:tcW w:w="2160" w:type="dxa"/>
            <w:vAlign w:val="center"/>
          </w:tcPr>
          <w:p w14:paraId="5B726A0D" w14:textId="77777777" w:rsidR="007A108B" w:rsidRPr="00A4272B" w:rsidRDefault="007A108B" w:rsidP="00AD429C">
            <w:pPr>
              <w:autoSpaceDE w:val="0"/>
              <w:spacing w:before="40" w:after="40"/>
              <w:rPr>
                <w:sz w:val="18"/>
                <w:szCs w:val="18"/>
                <w:lang w:val="en-US"/>
              </w:rPr>
            </w:pPr>
            <w:r w:rsidRPr="00A4272B">
              <w:rPr>
                <w:sz w:val="18"/>
                <w:szCs w:val="18"/>
                <w:lang w:val="en-US"/>
              </w:rPr>
              <w:t>3,100</w:t>
            </w:r>
          </w:p>
        </w:tc>
        <w:tc>
          <w:tcPr>
            <w:tcW w:w="2173" w:type="dxa"/>
            <w:vAlign w:val="center"/>
          </w:tcPr>
          <w:p w14:paraId="4F5B60EB" w14:textId="77777777" w:rsidR="007A108B" w:rsidRPr="00A4272B" w:rsidRDefault="007A108B" w:rsidP="00AD429C">
            <w:pPr>
              <w:autoSpaceDE w:val="0"/>
              <w:spacing w:before="40" w:after="40"/>
              <w:rPr>
                <w:sz w:val="18"/>
                <w:szCs w:val="18"/>
                <w:lang w:val="en-US"/>
              </w:rPr>
            </w:pPr>
            <w:r w:rsidRPr="00A4272B">
              <w:rPr>
                <w:sz w:val="18"/>
                <w:szCs w:val="18"/>
                <w:lang w:val="en-US"/>
              </w:rPr>
              <w:t>430</w:t>
            </w:r>
          </w:p>
        </w:tc>
        <w:tc>
          <w:tcPr>
            <w:tcW w:w="2373" w:type="dxa"/>
            <w:vAlign w:val="center"/>
          </w:tcPr>
          <w:p w14:paraId="7FA1FC4C" w14:textId="77777777" w:rsidR="007A108B" w:rsidRPr="00A4272B" w:rsidRDefault="007A108B" w:rsidP="00AD429C">
            <w:pPr>
              <w:autoSpaceDE w:val="0"/>
              <w:spacing w:before="40" w:after="40"/>
              <w:rPr>
                <w:sz w:val="18"/>
                <w:szCs w:val="18"/>
                <w:lang w:val="en-US"/>
              </w:rPr>
            </w:pPr>
            <w:r w:rsidRPr="00A4272B">
              <w:rPr>
                <w:sz w:val="18"/>
                <w:szCs w:val="18"/>
                <w:lang w:val="en-US"/>
              </w:rPr>
              <w:t>3.7</w:t>
            </w:r>
          </w:p>
        </w:tc>
      </w:tr>
      <w:tr w:rsidR="007A108B" w:rsidRPr="00A4272B" w14:paraId="44EE3C1E" w14:textId="77777777" w:rsidTr="00AD429C">
        <w:tc>
          <w:tcPr>
            <w:tcW w:w="2785" w:type="dxa"/>
            <w:vAlign w:val="center"/>
          </w:tcPr>
          <w:p w14:paraId="610F063D" w14:textId="77777777" w:rsidR="007A108B" w:rsidRPr="00A4272B" w:rsidRDefault="007A108B" w:rsidP="00AD429C">
            <w:pPr>
              <w:autoSpaceDE w:val="0"/>
              <w:spacing w:before="40" w:after="40"/>
              <w:rPr>
                <w:sz w:val="18"/>
                <w:szCs w:val="18"/>
                <w:lang w:val="en-US"/>
              </w:rPr>
            </w:pPr>
            <w:r w:rsidRPr="00A4272B">
              <w:rPr>
                <w:sz w:val="18"/>
                <w:szCs w:val="18"/>
                <w:lang w:val="en-US"/>
              </w:rPr>
              <w:t>Hexabromobiphenyl</w:t>
            </w:r>
          </w:p>
        </w:tc>
        <w:tc>
          <w:tcPr>
            <w:tcW w:w="2160" w:type="dxa"/>
            <w:vAlign w:val="center"/>
          </w:tcPr>
          <w:p w14:paraId="186F3F69" w14:textId="77777777" w:rsidR="007A108B" w:rsidRPr="00A4272B" w:rsidRDefault="007A108B" w:rsidP="00AD429C">
            <w:pPr>
              <w:autoSpaceDE w:val="0"/>
              <w:spacing w:before="40" w:after="40"/>
              <w:rPr>
                <w:sz w:val="18"/>
                <w:szCs w:val="18"/>
                <w:lang w:val="en-US"/>
              </w:rPr>
            </w:pPr>
            <w:r w:rsidRPr="00A4272B">
              <w:rPr>
                <w:sz w:val="18"/>
                <w:szCs w:val="18"/>
                <w:lang w:val="en-US"/>
              </w:rPr>
              <w:t>3,000</w:t>
            </w:r>
          </w:p>
        </w:tc>
        <w:tc>
          <w:tcPr>
            <w:tcW w:w="2173" w:type="dxa"/>
            <w:vAlign w:val="center"/>
          </w:tcPr>
          <w:p w14:paraId="7EE04C2C" w14:textId="77777777" w:rsidR="007A108B" w:rsidRPr="00A4272B" w:rsidRDefault="007A108B" w:rsidP="00AD429C">
            <w:pPr>
              <w:autoSpaceDE w:val="0"/>
              <w:spacing w:before="40" w:after="40"/>
              <w:rPr>
                <w:sz w:val="18"/>
                <w:szCs w:val="18"/>
                <w:lang w:val="en-US"/>
              </w:rPr>
            </w:pPr>
            <w:r w:rsidRPr="00A4272B">
              <w:rPr>
                <w:sz w:val="18"/>
                <w:szCs w:val="18"/>
                <w:lang w:val="en-US"/>
              </w:rPr>
              <w:t>540</w:t>
            </w:r>
          </w:p>
        </w:tc>
        <w:tc>
          <w:tcPr>
            <w:tcW w:w="2373" w:type="dxa"/>
            <w:vAlign w:val="center"/>
          </w:tcPr>
          <w:p w14:paraId="7DD73A8D" w14:textId="77777777" w:rsidR="007A108B" w:rsidRPr="00A4272B" w:rsidRDefault="007A108B" w:rsidP="00AD429C">
            <w:pPr>
              <w:autoSpaceDE w:val="0"/>
              <w:spacing w:before="40" w:after="40"/>
              <w:rPr>
                <w:sz w:val="18"/>
                <w:szCs w:val="18"/>
                <w:lang w:val="en-US"/>
              </w:rPr>
            </w:pPr>
            <w:r w:rsidRPr="00A4272B">
              <w:rPr>
                <w:sz w:val="18"/>
                <w:szCs w:val="18"/>
                <w:lang w:val="en-US"/>
              </w:rPr>
              <w:t>13</w:t>
            </w:r>
          </w:p>
        </w:tc>
      </w:tr>
      <w:tr w:rsidR="007A108B" w:rsidRPr="00A4272B" w14:paraId="15253DBB" w14:textId="77777777" w:rsidTr="00AD429C">
        <w:tc>
          <w:tcPr>
            <w:tcW w:w="2785" w:type="dxa"/>
            <w:vAlign w:val="center"/>
          </w:tcPr>
          <w:p w14:paraId="02851F59" w14:textId="77777777" w:rsidR="007A108B" w:rsidRPr="00A4272B" w:rsidRDefault="007A108B" w:rsidP="00AD429C">
            <w:pPr>
              <w:autoSpaceDE w:val="0"/>
              <w:spacing w:before="40" w:after="40"/>
              <w:rPr>
                <w:sz w:val="18"/>
                <w:szCs w:val="18"/>
                <w:lang w:val="en-US"/>
              </w:rPr>
            </w:pPr>
            <w:r w:rsidRPr="00A4272B">
              <w:rPr>
                <w:sz w:val="18"/>
                <w:szCs w:val="18"/>
                <w:lang w:val="en-US"/>
              </w:rPr>
              <w:t>BDE-209</w:t>
            </w:r>
          </w:p>
        </w:tc>
        <w:tc>
          <w:tcPr>
            <w:tcW w:w="2160" w:type="dxa"/>
            <w:vAlign w:val="center"/>
          </w:tcPr>
          <w:p w14:paraId="481041A5" w14:textId="77777777" w:rsidR="007A108B" w:rsidRPr="00A4272B" w:rsidRDefault="007A108B" w:rsidP="00AD429C">
            <w:pPr>
              <w:autoSpaceDE w:val="0"/>
              <w:spacing w:before="40" w:after="40"/>
              <w:rPr>
                <w:sz w:val="18"/>
                <w:szCs w:val="18"/>
                <w:lang w:val="en-US"/>
              </w:rPr>
            </w:pPr>
            <w:r w:rsidRPr="00A4272B">
              <w:rPr>
                <w:sz w:val="18"/>
                <w:szCs w:val="18"/>
                <w:lang w:val="en-US"/>
              </w:rPr>
              <w:t>2,900</w:t>
            </w:r>
          </w:p>
        </w:tc>
        <w:tc>
          <w:tcPr>
            <w:tcW w:w="2173" w:type="dxa"/>
            <w:vAlign w:val="center"/>
          </w:tcPr>
          <w:p w14:paraId="32B32625" w14:textId="77777777" w:rsidR="007A108B" w:rsidRPr="00A4272B" w:rsidRDefault="007A108B" w:rsidP="00AD429C">
            <w:pPr>
              <w:autoSpaceDE w:val="0"/>
              <w:spacing w:before="40" w:after="40"/>
              <w:rPr>
                <w:sz w:val="18"/>
                <w:szCs w:val="18"/>
                <w:lang w:val="en-US"/>
              </w:rPr>
            </w:pPr>
            <w:r w:rsidRPr="00A4272B">
              <w:rPr>
                <w:sz w:val="18"/>
                <w:szCs w:val="18"/>
                <w:lang w:val="en-US"/>
              </w:rPr>
              <w:t>120</w:t>
            </w:r>
          </w:p>
        </w:tc>
        <w:tc>
          <w:tcPr>
            <w:tcW w:w="2373" w:type="dxa"/>
            <w:vAlign w:val="center"/>
          </w:tcPr>
          <w:p w14:paraId="1DCB23B3" w14:textId="77777777" w:rsidR="007A108B" w:rsidRPr="00A4272B" w:rsidRDefault="007A108B" w:rsidP="00AD429C">
            <w:pPr>
              <w:autoSpaceDE w:val="0"/>
              <w:spacing w:before="40" w:after="40"/>
              <w:rPr>
                <w:sz w:val="18"/>
                <w:szCs w:val="18"/>
                <w:lang w:val="en-US"/>
              </w:rPr>
            </w:pPr>
            <w:r w:rsidRPr="00A4272B">
              <w:rPr>
                <w:sz w:val="18"/>
                <w:szCs w:val="18"/>
                <w:lang w:val="en-US"/>
              </w:rPr>
              <w:t>13</w:t>
            </w:r>
          </w:p>
        </w:tc>
      </w:tr>
      <w:tr w:rsidR="007A108B" w:rsidRPr="00A4272B" w14:paraId="31E16A27" w14:textId="77777777" w:rsidTr="00AD429C">
        <w:tc>
          <w:tcPr>
            <w:tcW w:w="2785" w:type="dxa"/>
            <w:vAlign w:val="center"/>
          </w:tcPr>
          <w:p w14:paraId="50BDEF25" w14:textId="77777777" w:rsidR="007A108B" w:rsidRPr="00A4272B" w:rsidRDefault="007A108B" w:rsidP="00AD429C">
            <w:pPr>
              <w:autoSpaceDE w:val="0"/>
              <w:spacing w:before="40" w:after="40"/>
              <w:rPr>
                <w:sz w:val="18"/>
                <w:szCs w:val="18"/>
                <w:lang w:val="en-US"/>
              </w:rPr>
            </w:pPr>
            <w:r w:rsidRPr="00A4272B">
              <w:rPr>
                <w:sz w:val="18"/>
                <w:szCs w:val="18"/>
                <w:lang w:val="en-US"/>
              </w:rPr>
              <w:t>Toxaphene</w:t>
            </w:r>
          </w:p>
        </w:tc>
        <w:tc>
          <w:tcPr>
            <w:tcW w:w="2160" w:type="dxa"/>
            <w:vAlign w:val="center"/>
          </w:tcPr>
          <w:p w14:paraId="218C51D5" w14:textId="77777777" w:rsidR="007A108B" w:rsidRPr="00A4272B" w:rsidRDefault="007A108B" w:rsidP="00AD429C">
            <w:pPr>
              <w:autoSpaceDE w:val="0"/>
              <w:spacing w:before="40" w:after="40"/>
              <w:rPr>
                <w:sz w:val="18"/>
                <w:szCs w:val="18"/>
                <w:lang w:val="en-US"/>
              </w:rPr>
            </w:pPr>
            <w:r w:rsidRPr="00A4272B">
              <w:rPr>
                <w:sz w:val="18"/>
                <w:szCs w:val="18"/>
                <w:lang w:val="en-US"/>
              </w:rPr>
              <w:t>2,800</w:t>
            </w:r>
          </w:p>
        </w:tc>
        <w:tc>
          <w:tcPr>
            <w:tcW w:w="2173" w:type="dxa"/>
            <w:vAlign w:val="center"/>
          </w:tcPr>
          <w:p w14:paraId="1F2C27BB" w14:textId="77777777" w:rsidR="007A108B" w:rsidRPr="00A4272B" w:rsidRDefault="007A108B" w:rsidP="00AD429C">
            <w:pPr>
              <w:autoSpaceDE w:val="0"/>
              <w:spacing w:before="40" w:after="40"/>
              <w:rPr>
                <w:sz w:val="18"/>
                <w:szCs w:val="18"/>
                <w:lang w:val="en-US"/>
              </w:rPr>
            </w:pPr>
            <w:r w:rsidRPr="00A4272B">
              <w:rPr>
                <w:sz w:val="18"/>
                <w:szCs w:val="18"/>
                <w:lang w:val="en-US"/>
              </w:rPr>
              <w:t>1,600</w:t>
            </w:r>
          </w:p>
        </w:tc>
        <w:tc>
          <w:tcPr>
            <w:tcW w:w="2373" w:type="dxa"/>
            <w:vAlign w:val="center"/>
          </w:tcPr>
          <w:p w14:paraId="7BFCF21E" w14:textId="77777777" w:rsidR="007A108B" w:rsidRPr="00A4272B" w:rsidRDefault="007A108B" w:rsidP="00AD429C">
            <w:pPr>
              <w:autoSpaceDE w:val="0"/>
              <w:spacing w:before="40" w:after="40"/>
              <w:rPr>
                <w:sz w:val="18"/>
                <w:szCs w:val="18"/>
                <w:lang w:val="en-US"/>
              </w:rPr>
            </w:pPr>
            <w:r w:rsidRPr="00A4272B">
              <w:rPr>
                <w:sz w:val="18"/>
                <w:szCs w:val="18"/>
                <w:lang w:val="en-US"/>
              </w:rPr>
              <w:t>7.9</w:t>
            </w:r>
          </w:p>
        </w:tc>
      </w:tr>
      <w:tr w:rsidR="00AD429C" w:rsidRPr="00A4272B" w14:paraId="5E74DFD7" w14:textId="77777777" w:rsidTr="00AD429C">
        <w:tc>
          <w:tcPr>
            <w:tcW w:w="2785" w:type="dxa"/>
            <w:vAlign w:val="center"/>
          </w:tcPr>
          <w:p w14:paraId="10F46706" w14:textId="798A2395" w:rsidR="00AD429C" w:rsidRPr="00A4272B" w:rsidRDefault="00AD429C" w:rsidP="00AD429C">
            <w:pPr>
              <w:autoSpaceDE w:val="0"/>
              <w:spacing w:before="40" w:after="40"/>
              <w:rPr>
                <w:sz w:val="18"/>
                <w:szCs w:val="18"/>
                <w:lang w:val="en-US"/>
              </w:rPr>
            </w:pPr>
            <w:r w:rsidRPr="00A4272B">
              <w:rPr>
                <w:sz w:val="18"/>
                <w:szCs w:val="18"/>
                <w:lang w:val="en-US"/>
              </w:rPr>
              <w:t>Dechlorane Plus</w:t>
            </w:r>
          </w:p>
        </w:tc>
        <w:tc>
          <w:tcPr>
            <w:tcW w:w="2160" w:type="dxa"/>
            <w:vAlign w:val="center"/>
          </w:tcPr>
          <w:p w14:paraId="0B210389" w14:textId="13676120" w:rsidR="00AD429C" w:rsidRPr="00A4272B" w:rsidRDefault="00AD429C" w:rsidP="00AD429C">
            <w:pPr>
              <w:autoSpaceDE w:val="0"/>
              <w:spacing w:before="40" w:after="40"/>
              <w:rPr>
                <w:sz w:val="18"/>
                <w:szCs w:val="18"/>
                <w:lang w:val="en-US"/>
              </w:rPr>
            </w:pPr>
            <w:r w:rsidRPr="00A4272B">
              <w:rPr>
                <w:sz w:val="18"/>
                <w:szCs w:val="18"/>
                <w:lang w:val="en-US"/>
              </w:rPr>
              <w:t>1,822</w:t>
            </w:r>
          </w:p>
        </w:tc>
        <w:tc>
          <w:tcPr>
            <w:tcW w:w="2173" w:type="dxa"/>
            <w:vAlign w:val="center"/>
          </w:tcPr>
          <w:p w14:paraId="0C9154A5" w14:textId="6B9DA57D" w:rsidR="00AD429C" w:rsidRPr="00A4272B" w:rsidRDefault="00AD429C" w:rsidP="00AD429C">
            <w:pPr>
              <w:autoSpaceDE w:val="0"/>
              <w:spacing w:before="40" w:after="40"/>
              <w:rPr>
                <w:sz w:val="18"/>
                <w:szCs w:val="18"/>
                <w:lang w:val="en-US"/>
              </w:rPr>
            </w:pPr>
            <w:r w:rsidRPr="00A4272B">
              <w:rPr>
                <w:sz w:val="18"/>
                <w:szCs w:val="18"/>
                <w:lang w:val="en-US"/>
              </w:rPr>
              <w:t>123</w:t>
            </w:r>
          </w:p>
        </w:tc>
        <w:tc>
          <w:tcPr>
            <w:tcW w:w="2373" w:type="dxa"/>
            <w:vAlign w:val="center"/>
          </w:tcPr>
          <w:p w14:paraId="3E69086C" w14:textId="19E28F18" w:rsidR="00AD429C" w:rsidRPr="00A4272B" w:rsidRDefault="00AD429C" w:rsidP="00AD429C">
            <w:pPr>
              <w:autoSpaceDE w:val="0"/>
              <w:spacing w:before="40" w:after="40"/>
              <w:rPr>
                <w:sz w:val="18"/>
                <w:szCs w:val="18"/>
                <w:lang w:val="en-US"/>
              </w:rPr>
            </w:pPr>
            <w:r w:rsidRPr="00A4272B">
              <w:rPr>
                <w:sz w:val="18"/>
                <w:szCs w:val="18"/>
                <w:lang w:val="en-US"/>
              </w:rPr>
              <w:t>4.97</w:t>
            </w:r>
          </w:p>
        </w:tc>
      </w:tr>
      <w:tr w:rsidR="00AD429C" w:rsidRPr="00A4272B" w14:paraId="1A1DDA23" w14:textId="77777777" w:rsidTr="00AD429C">
        <w:tc>
          <w:tcPr>
            <w:tcW w:w="2785" w:type="dxa"/>
            <w:vAlign w:val="center"/>
          </w:tcPr>
          <w:p w14:paraId="2FB21A62" w14:textId="77777777" w:rsidR="00AD429C" w:rsidRPr="00A4272B" w:rsidRDefault="00AD429C" w:rsidP="00AD429C">
            <w:pPr>
              <w:autoSpaceDE w:val="0"/>
              <w:spacing w:before="40" w:after="40"/>
              <w:rPr>
                <w:sz w:val="18"/>
                <w:szCs w:val="18"/>
                <w:lang w:val="en-US"/>
              </w:rPr>
            </w:pPr>
            <w:r w:rsidRPr="00A4272B">
              <w:rPr>
                <w:sz w:val="18"/>
                <w:szCs w:val="18"/>
                <w:lang w:val="en-US"/>
              </w:rPr>
              <w:t>Short-chain chlorinated paraffins</w:t>
            </w:r>
            <w:r w:rsidRPr="00A4272B">
              <w:rPr>
                <w:sz w:val="18"/>
                <w:szCs w:val="18"/>
                <w:vertAlign w:val="superscript"/>
                <w:lang w:val="en-US"/>
              </w:rPr>
              <w:t>1</w:t>
            </w:r>
          </w:p>
        </w:tc>
        <w:tc>
          <w:tcPr>
            <w:tcW w:w="2160" w:type="dxa"/>
            <w:vAlign w:val="center"/>
          </w:tcPr>
          <w:p w14:paraId="5EAAEEA0" w14:textId="77777777" w:rsidR="00AD429C" w:rsidRPr="00A4272B" w:rsidRDefault="00AD429C" w:rsidP="00AD429C">
            <w:pPr>
              <w:autoSpaceDE w:val="0"/>
              <w:spacing w:before="40" w:after="40"/>
              <w:rPr>
                <w:sz w:val="18"/>
                <w:szCs w:val="18"/>
                <w:lang w:val="en-US"/>
              </w:rPr>
            </w:pPr>
            <w:r w:rsidRPr="00A4272B">
              <w:rPr>
                <w:sz w:val="18"/>
                <w:szCs w:val="18"/>
                <w:lang w:val="en-US"/>
              </w:rPr>
              <w:t>1,800</w:t>
            </w:r>
          </w:p>
        </w:tc>
        <w:tc>
          <w:tcPr>
            <w:tcW w:w="2173" w:type="dxa"/>
            <w:vAlign w:val="center"/>
          </w:tcPr>
          <w:p w14:paraId="5E9165D6" w14:textId="77777777" w:rsidR="00AD429C" w:rsidRPr="00A4272B" w:rsidRDefault="00AD429C" w:rsidP="00AD429C">
            <w:pPr>
              <w:autoSpaceDE w:val="0"/>
              <w:spacing w:before="40" w:after="40"/>
              <w:rPr>
                <w:sz w:val="18"/>
                <w:szCs w:val="18"/>
                <w:lang w:val="en-US"/>
              </w:rPr>
            </w:pPr>
            <w:r w:rsidRPr="00A4272B">
              <w:rPr>
                <w:sz w:val="18"/>
                <w:szCs w:val="18"/>
                <w:lang w:val="en-US"/>
              </w:rPr>
              <w:t>230</w:t>
            </w:r>
          </w:p>
        </w:tc>
        <w:tc>
          <w:tcPr>
            <w:tcW w:w="2373" w:type="dxa"/>
            <w:vAlign w:val="center"/>
          </w:tcPr>
          <w:p w14:paraId="0AFCAA4C" w14:textId="77777777" w:rsidR="00AD429C" w:rsidRPr="00A4272B" w:rsidRDefault="00AD429C" w:rsidP="00AD429C">
            <w:pPr>
              <w:autoSpaceDE w:val="0"/>
              <w:spacing w:before="40" w:after="40"/>
              <w:rPr>
                <w:sz w:val="18"/>
                <w:szCs w:val="18"/>
                <w:lang w:val="en-US"/>
              </w:rPr>
            </w:pPr>
            <w:r w:rsidRPr="00A4272B">
              <w:rPr>
                <w:sz w:val="18"/>
                <w:szCs w:val="18"/>
                <w:lang w:val="en-US"/>
              </w:rPr>
              <w:t>0.78</w:t>
            </w:r>
          </w:p>
        </w:tc>
      </w:tr>
      <w:tr w:rsidR="00AD429C" w:rsidRPr="00A4272B" w14:paraId="0EF5BF11" w14:textId="77777777" w:rsidTr="00AD429C">
        <w:tc>
          <w:tcPr>
            <w:tcW w:w="2785" w:type="dxa"/>
            <w:vAlign w:val="center"/>
          </w:tcPr>
          <w:p w14:paraId="064630DB" w14:textId="77777777" w:rsidR="00AD429C" w:rsidRPr="00A4272B" w:rsidRDefault="00AD429C" w:rsidP="00AD429C">
            <w:pPr>
              <w:autoSpaceDE w:val="0"/>
              <w:spacing w:before="40" w:after="40"/>
              <w:rPr>
                <w:sz w:val="18"/>
                <w:szCs w:val="18"/>
                <w:lang w:val="en-US"/>
              </w:rPr>
            </w:pPr>
            <w:r w:rsidRPr="00A4272B">
              <w:rPr>
                <w:sz w:val="18"/>
                <w:szCs w:val="18"/>
                <w:lang w:val="en-US"/>
              </w:rPr>
              <w:t>2378-TCDD</w:t>
            </w:r>
          </w:p>
        </w:tc>
        <w:tc>
          <w:tcPr>
            <w:tcW w:w="2160" w:type="dxa"/>
            <w:vAlign w:val="center"/>
          </w:tcPr>
          <w:p w14:paraId="4DCD079E" w14:textId="77777777" w:rsidR="00AD429C" w:rsidRPr="00A4272B" w:rsidRDefault="00AD429C" w:rsidP="00AD429C">
            <w:pPr>
              <w:autoSpaceDE w:val="0"/>
              <w:spacing w:before="40" w:after="40"/>
              <w:rPr>
                <w:sz w:val="18"/>
                <w:szCs w:val="18"/>
                <w:lang w:val="en-US"/>
              </w:rPr>
            </w:pPr>
            <w:r w:rsidRPr="00A4272B">
              <w:rPr>
                <w:sz w:val="18"/>
                <w:szCs w:val="18"/>
                <w:lang w:val="en-US"/>
              </w:rPr>
              <w:t>1,600</w:t>
            </w:r>
          </w:p>
        </w:tc>
        <w:tc>
          <w:tcPr>
            <w:tcW w:w="2173" w:type="dxa"/>
            <w:vAlign w:val="center"/>
          </w:tcPr>
          <w:p w14:paraId="4DAA0BDE" w14:textId="77777777" w:rsidR="00AD429C" w:rsidRPr="00A4272B" w:rsidRDefault="00AD429C" w:rsidP="00AD429C">
            <w:pPr>
              <w:autoSpaceDE w:val="0"/>
              <w:spacing w:before="40" w:after="40"/>
              <w:rPr>
                <w:sz w:val="18"/>
                <w:szCs w:val="18"/>
                <w:lang w:val="en-US"/>
              </w:rPr>
            </w:pPr>
            <w:r w:rsidRPr="00A4272B">
              <w:rPr>
                <w:sz w:val="18"/>
                <w:szCs w:val="18"/>
                <w:lang w:val="en-US"/>
              </w:rPr>
              <w:t>130</w:t>
            </w:r>
          </w:p>
        </w:tc>
        <w:tc>
          <w:tcPr>
            <w:tcW w:w="2373" w:type="dxa"/>
            <w:vAlign w:val="center"/>
          </w:tcPr>
          <w:p w14:paraId="0F962AD4" w14:textId="77777777" w:rsidR="00AD429C" w:rsidRPr="00A4272B" w:rsidRDefault="00AD429C" w:rsidP="00AD429C">
            <w:pPr>
              <w:autoSpaceDE w:val="0"/>
              <w:spacing w:before="40" w:after="40"/>
              <w:rPr>
                <w:sz w:val="18"/>
                <w:szCs w:val="18"/>
                <w:lang w:val="en-US"/>
              </w:rPr>
            </w:pPr>
            <w:r w:rsidRPr="00A4272B">
              <w:rPr>
                <w:sz w:val="18"/>
                <w:szCs w:val="18"/>
                <w:lang w:val="en-US"/>
              </w:rPr>
              <w:t>0.58</w:t>
            </w:r>
          </w:p>
        </w:tc>
      </w:tr>
      <w:tr w:rsidR="00AD429C" w:rsidRPr="00A4272B" w14:paraId="2BD014F3" w14:textId="77777777" w:rsidTr="00AD429C">
        <w:tc>
          <w:tcPr>
            <w:tcW w:w="2785" w:type="dxa"/>
            <w:vAlign w:val="center"/>
          </w:tcPr>
          <w:p w14:paraId="04AF9D8F" w14:textId="77777777" w:rsidR="00AD429C" w:rsidRPr="00A4272B" w:rsidRDefault="00AD429C" w:rsidP="00AD429C">
            <w:pPr>
              <w:autoSpaceDE w:val="0"/>
              <w:spacing w:before="40" w:after="40"/>
              <w:rPr>
                <w:sz w:val="18"/>
                <w:szCs w:val="18"/>
                <w:lang w:val="en-US"/>
              </w:rPr>
            </w:pPr>
            <w:r w:rsidRPr="00A4272B">
              <w:rPr>
                <w:sz w:val="18"/>
                <w:szCs w:val="18"/>
                <w:lang w:val="en-US"/>
              </w:rPr>
              <w:t>Dieldrin</w:t>
            </w:r>
          </w:p>
        </w:tc>
        <w:tc>
          <w:tcPr>
            <w:tcW w:w="2160" w:type="dxa"/>
            <w:vAlign w:val="center"/>
          </w:tcPr>
          <w:p w14:paraId="603C3B22" w14:textId="77777777" w:rsidR="00AD429C" w:rsidRPr="00A4272B" w:rsidRDefault="00AD429C" w:rsidP="00AD429C">
            <w:pPr>
              <w:autoSpaceDE w:val="0"/>
              <w:spacing w:before="40" w:after="40"/>
              <w:rPr>
                <w:sz w:val="18"/>
                <w:szCs w:val="18"/>
                <w:lang w:val="en-US"/>
              </w:rPr>
            </w:pPr>
            <w:r w:rsidRPr="00A4272B">
              <w:rPr>
                <w:sz w:val="18"/>
                <w:szCs w:val="18"/>
                <w:lang w:val="en-US"/>
              </w:rPr>
              <w:t>1,100</w:t>
            </w:r>
          </w:p>
        </w:tc>
        <w:tc>
          <w:tcPr>
            <w:tcW w:w="2173" w:type="dxa"/>
            <w:vAlign w:val="center"/>
          </w:tcPr>
          <w:p w14:paraId="01B56C6F" w14:textId="77777777" w:rsidR="00AD429C" w:rsidRPr="00A4272B" w:rsidRDefault="00AD429C" w:rsidP="00AD429C">
            <w:pPr>
              <w:autoSpaceDE w:val="0"/>
              <w:spacing w:before="40" w:after="40"/>
              <w:rPr>
                <w:sz w:val="18"/>
                <w:szCs w:val="18"/>
                <w:lang w:val="en-US"/>
              </w:rPr>
            </w:pPr>
            <w:r w:rsidRPr="00A4272B">
              <w:rPr>
                <w:sz w:val="18"/>
                <w:szCs w:val="18"/>
                <w:lang w:val="en-US"/>
              </w:rPr>
              <w:t>580</w:t>
            </w:r>
          </w:p>
        </w:tc>
        <w:tc>
          <w:tcPr>
            <w:tcW w:w="2373" w:type="dxa"/>
            <w:vAlign w:val="center"/>
          </w:tcPr>
          <w:p w14:paraId="280D9313" w14:textId="77777777" w:rsidR="00AD429C" w:rsidRPr="00A4272B" w:rsidRDefault="00AD429C" w:rsidP="00AD429C">
            <w:pPr>
              <w:autoSpaceDE w:val="0"/>
              <w:spacing w:before="40" w:after="40"/>
              <w:rPr>
                <w:sz w:val="18"/>
                <w:szCs w:val="18"/>
                <w:lang w:val="en-US"/>
              </w:rPr>
            </w:pPr>
            <w:r w:rsidRPr="00A4272B">
              <w:rPr>
                <w:sz w:val="18"/>
                <w:szCs w:val="18"/>
                <w:lang w:val="en-US"/>
              </w:rPr>
              <w:t>0.89</w:t>
            </w:r>
          </w:p>
        </w:tc>
      </w:tr>
      <w:tr w:rsidR="00AD429C" w:rsidRPr="00A4272B" w14:paraId="5660DE2C" w14:textId="77777777" w:rsidTr="00AD429C">
        <w:tc>
          <w:tcPr>
            <w:tcW w:w="2785" w:type="dxa"/>
            <w:vAlign w:val="center"/>
          </w:tcPr>
          <w:p w14:paraId="68C07EF9" w14:textId="77777777" w:rsidR="00AD429C" w:rsidRPr="00A4272B" w:rsidRDefault="00AD429C" w:rsidP="00AD429C">
            <w:pPr>
              <w:autoSpaceDE w:val="0"/>
              <w:spacing w:before="40" w:after="40"/>
              <w:rPr>
                <w:sz w:val="18"/>
                <w:szCs w:val="18"/>
                <w:lang w:val="en-US"/>
              </w:rPr>
            </w:pPr>
            <w:r w:rsidRPr="00A4272B">
              <w:rPr>
                <w:sz w:val="18"/>
                <w:szCs w:val="18"/>
                <w:lang w:val="en-US"/>
              </w:rPr>
              <w:t>Chlordanes</w:t>
            </w:r>
          </w:p>
        </w:tc>
        <w:tc>
          <w:tcPr>
            <w:tcW w:w="2160" w:type="dxa"/>
            <w:vAlign w:val="center"/>
          </w:tcPr>
          <w:p w14:paraId="3BD40859" w14:textId="77777777" w:rsidR="00AD429C" w:rsidRPr="00A4272B" w:rsidRDefault="00AD429C" w:rsidP="00AD429C">
            <w:pPr>
              <w:autoSpaceDE w:val="0"/>
              <w:spacing w:before="40" w:after="40"/>
              <w:rPr>
                <w:sz w:val="18"/>
                <w:szCs w:val="18"/>
                <w:lang w:val="en-US"/>
              </w:rPr>
            </w:pPr>
            <w:r w:rsidRPr="00A4272B">
              <w:rPr>
                <w:sz w:val="18"/>
                <w:szCs w:val="18"/>
                <w:lang w:val="en-US"/>
              </w:rPr>
              <w:t>1,100</w:t>
            </w:r>
          </w:p>
        </w:tc>
        <w:tc>
          <w:tcPr>
            <w:tcW w:w="2173" w:type="dxa"/>
            <w:vAlign w:val="center"/>
          </w:tcPr>
          <w:p w14:paraId="50511BC4" w14:textId="77777777" w:rsidR="00AD429C" w:rsidRPr="00A4272B" w:rsidRDefault="00AD429C" w:rsidP="00AD429C">
            <w:pPr>
              <w:autoSpaceDE w:val="0"/>
              <w:spacing w:before="40" w:after="40"/>
              <w:rPr>
                <w:sz w:val="18"/>
                <w:szCs w:val="18"/>
                <w:lang w:val="en-US"/>
              </w:rPr>
            </w:pPr>
            <w:r w:rsidRPr="00A4272B">
              <w:rPr>
                <w:sz w:val="18"/>
                <w:szCs w:val="18"/>
                <w:lang w:val="en-US"/>
              </w:rPr>
              <w:t>300</w:t>
            </w:r>
          </w:p>
        </w:tc>
        <w:tc>
          <w:tcPr>
            <w:tcW w:w="2373" w:type="dxa"/>
            <w:vAlign w:val="center"/>
          </w:tcPr>
          <w:p w14:paraId="52A31B73" w14:textId="77777777" w:rsidR="00AD429C" w:rsidRPr="00A4272B" w:rsidRDefault="00AD429C" w:rsidP="00AD429C">
            <w:pPr>
              <w:autoSpaceDE w:val="0"/>
              <w:spacing w:before="40" w:after="40"/>
              <w:rPr>
                <w:sz w:val="18"/>
                <w:szCs w:val="18"/>
                <w:lang w:val="en-US"/>
              </w:rPr>
            </w:pPr>
            <w:r w:rsidRPr="00A4272B">
              <w:rPr>
                <w:sz w:val="18"/>
                <w:szCs w:val="18"/>
                <w:lang w:val="en-US"/>
              </w:rPr>
              <w:t>0.46</w:t>
            </w:r>
          </w:p>
        </w:tc>
      </w:tr>
      <w:tr w:rsidR="00AD429C" w:rsidRPr="00A4272B" w14:paraId="2BFD2967" w14:textId="77777777" w:rsidTr="00AD429C">
        <w:tc>
          <w:tcPr>
            <w:tcW w:w="2785" w:type="dxa"/>
            <w:vAlign w:val="center"/>
          </w:tcPr>
          <w:p w14:paraId="5D381E31" w14:textId="77777777" w:rsidR="00AD429C" w:rsidRPr="00A4272B" w:rsidRDefault="00AD429C" w:rsidP="00AD429C">
            <w:pPr>
              <w:autoSpaceDE w:val="0"/>
              <w:spacing w:before="40" w:after="40"/>
              <w:rPr>
                <w:sz w:val="18"/>
                <w:szCs w:val="18"/>
                <w:lang w:val="en-US"/>
              </w:rPr>
            </w:pPr>
            <w:r w:rsidRPr="00A4272B">
              <w:rPr>
                <w:sz w:val="18"/>
                <w:szCs w:val="18"/>
                <w:lang w:val="en-US"/>
              </w:rPr>
              <w:t>Chlordecone</w:t>
            </w:r>
          </w:p>
        </w:tc>
        <w:tc>
          <w:tcPr>
            <w:tcW w:w="2160" w:type="dxa"/>
            <w:vAlign w:val="center"/>
          </w:tcPr>
          <w:p w14:paraId="4CEB2055" w14:textId="77777777" w:rsidR="00AD429C" w:rsidRPr="00A4272B" w:rsidRDefault="00AD429C" w:rsidP="00AD429C">
            <w:pPr>
              <w:autoSpaceDE w:val="0"/>
              <w:spacing w:before="40" w:after="40"/>
              <w:rPr>
                <w:sz w:val="18"/>
                <w:szCs w:val="18"/>
                <w:lang w:val="en-US"/>
              </w:rPr>
            </w:pPr>
            <w:r w:rsidRPr="00A4272B">
              <w:rPr>
                <w:sz w:val="18"/>
                <w:szCs w:val="18"/>
                <w:lang w:val="en-US"/>
              </w:rPr>
              <w:t>710</w:t>
            </w:r>
          </w:p>
        </w:tc>
        <w:tc>
          <w:tcPr>
            <w:tcW w:w="2173" w:type="dxa"/>
            <w:vAlign w:val="center"/>
          </w:tcPr>
          <w:p w14:paraId="7344313F" w14:textId="77777777" w:rsidR="00AD429C" w:rsidRPr="00A4272B" w:rsidRDefault="00AD429C" w:rsidP="00AD429C">
            <w:pPr>
              <w:autoSpaceDE w:val="0"/>
              <w:spacing w:before="40" w:after="40"/>
              <w:rPr>
                <w:sz w:val="18"/>
                <w:szCs w:val="18"/>
                <w:lang w:val="en-US"/>
              </w:rPr>
            </w:pPr>
            <w:r w:rsidRPr="00A4272B">
              <w:rPr>
                <w:sz w:val="18"/>
                <w:szCs w:val="18"/>
                <w:lang w:val="en-US"/>
              </w:rPr>
              <w:t>1,700</w:t>
            </w:r>
          </w:p>
        </w:tc>
        <w:tc>
          <w:tcPr>
            <w:tcW w:w="2373" w:type="dxa"/>
            <w:vAlign w:val="center"/>
          </w:tcPr>
          <w:p w14:paraId="1A222BF6" w14:textId="77777777" w:rsidR="00AD429C" w:rsidRPr="00A4272B" w:rsidRDefault="00AD429C" w:rsidP="00AD429C">
            <w:pPr>
              <w:autoSpaceDE w:val="0"/>
              <w:spacing w:before="40" w:after="40"/>
              <w:rPr>
                <w:sz w:val="18"/>
                <w:szCs w:val="18"/>
                <w:lang w:val="en-US"/>
              </w:rPr>
            </w:pPr>
            <w:r w:rsidRPr="00A4272B">
              <w:rPr>
                <w:sz w:val="18"/>
                <w:szCs w:val="18"/>
                <w:lang w:val="en-US"/>
              </w:rPr>
              <w:t>3.2</w:t>
            </w:r>
          </w:p>
        </w:tc>
      </w:tr>
      <w:tr w:rsidR="00AD429C" w:rsidRPr="00A4272B" w14:paraId="226143E7" w14:textId="77777777" w:rsidTr="00AD429C">
        <w:tc>
          <w:tcPr>
            <w:tcW w:w="2785" w:type="dxa"/>
            <w:vAlign w:val="center"/>
          </w:tcPr>
          <w:p w14:paraId="3B657AC1" w14:textId="5338E603" w:rsidR="00AD429C" w:rsidRPr="00A4272B" w:rsidRDefault="00AD429C" w:rsidP="00AD429C">
            <w:pPr>
              <w:autoSpaceDE w:val="0"/>
              <w:spacing w:before="40" w:after="40"/>
              <w:rPr>
                <w:sz w:val="18"/>
                <w:szCs w:val="18"/>
                <w:lang w:val="en-US"/>
              </w:rPr>
            </w:pPr>
            <w:r w:rsidRPr="00A4272B">
              <w:rPr>
                <w:sz w:val="18"/>
                <w:szCs w:val="18"/>
                <w:lang w:val="en-US"/>
              </w:rPr>
              <w:t>UV-328</w:t>
            </w:r>
          </w:p>
        </w:tc>
        <w:tc>
          <w:tcPr>
            <w:tcW w:w="2160" w:type="dxa"/>
            <w:vAlign w:val="center"/>
          </w:tcPr>
          <w:p w14:paraId="3F230080" w14:textId="6683A794" w:rsidR="00AD429C" w:rsidRPr="00A4272B" w:rsidRDefault="00AD429C" w:rsidP="00AD429C">
            <w:pPr>
              <w:autoSpaceDE w:val="0"/>
              <w:spacing w:before="40" w:after="40"/>
              <w:rPr>
                <w:sz w:val="18"/>
                <w:szCs w:val="18"/>
                <w:lang w:val="en-US"/>
              </w:rPr>
            </w:pPr>
            <w:r w:rsidRPr="00A4272B">
              <w:rPr>
                <w:sz w:val="18"/>
                <w:szCs w:val="18"/>
                <w:lang w:val="en-US"/>
              </w:rPr>
              <w:t>535–2,422</w:t>
            </w:r>
          </w:p>
        </w:tc>
        <w:tc>
          <w:tcPr>
            <w:tcW w:w="2173" w:type="dxa"/>
            <w:vAlign w:val="center"/>
          </w:tcPr>
          <w:p w14:paraId="3CD705CB" w14:textId="63C0BA9F" w:rsidR="00AD429C" w:rsidRPr="00A4272B" w:rsidRDefault="00AD429C" w:rsidP="00AD429C">
            <w:pPr>
              <w:autoSpaceDE w:val="0"/>
              <w:spacing w:before="40" w:after="40"/>
              <w:rPr>
                <w:sz w:val="18"/>
                <w:szCs w:val="18"/>
                <w:lang w:val="en-US"/>
              </w:rPr>
            </w:pPr>
            <w:r w:rsidRPr="00A4272B">
              <w:rPr>
                <w:sz w:val="18"/>
                <w:szCs w:val="18"/>
                <w:lang w:val="en-US"/>
              </w:rPr>
              <w:t>NA</w:t>
            </w:r>
          </w:p>
        </w:tc>
        <w:tc>
          <w:tcPr>
            <w:tcW w:w="2373" w:type="dxa"/>
            <w:vAlign w:val="center"/>
          </w:tcPr>
          <w:p w14:paraId="200607AD" w14:textId="73C44824" w:rsidR="00AD429C" w:rsidRPr="00A4272B" w:rsidRDefault="00AD429C" w:rsidP="00AD429C">
            <w:pPr>
              <w:autoSpaceDE w:val="0"/>
              <w:spacing w:before="40" w:after="40"/>
              <w:rPr>
                <w:sz w:val="18"/>
                <w:szCs w:val="18"/>
                <w:lang w:val="en-US"/>
              </w:rPr>
            </w:pPr>
            <w:r w:rsidRPr="00A4272B">
              <w:rPr>
                <w:sz w:val="18"/>
                <w:szCs w:val="18"/>
                <w:lang w:val="en-US"/>
              </w:rPr>
              <w:t>0.32–6.58</w:t>
            </w:r>
          </w:p>
        </w:tc>
      </w:tr>
      <w:tr w:rsidR="00AD429C" w:rsidRPr="00A4272B" w14:paraId="7AA013BD" w14:textId="77777777" w:rsidTr="00AD429C">
        <w:tc>
          <w:tcPr>
            <w:tcW w:w="2785" w:type="dxa"/>
            <w:vAlign w:val="center"/>
          </w:tcPr>
          <w:p w14:paraId="3281EE9B" w14:textId="39293293" w:rsidR="00AD429C" w:rsidRPr="00A4272B" w:rsidRDefault="00AD429C" w:rsidP="00AD429C">
            <w:pPr>
              <w:autoSpaceDE w:val="0"/>
              <w:spacing w:before="40" w:after="40"/>
              <w:rPr>
                <w:sz w:val="18"/>
                <w:szCs w:val="18"/>
                <w:lang w:val="en-US"/>
              </w:rPr>
            </w:pPr>
            <w:r w:rsidRPr="00A4272B">
              <w:rPr>
                <w:sz w:val="18"/>
                <w:szCs w:val="18"/>
                <w:lang w:val="en-US"/>
              </w:rPr>
              <w:t>Methoxychlor</w:t>
            </w:r>
          </w:p>
        </w:tc>
        <w:tc>
          <w:tcPr>
            <w:tcW w:w="2160" w:type="dxa"/>
            <w:vAlign w:val="center"/>
          </w:tcPr>
          <w:p w14:paraId="3DAB747E" w14:textId="3B6EC483" w:rsidR="00AD429C" w:rsidRPr="00A4272B" w:rsidRDefault="00AD429C" w:rsidP="00AD429C">
            <w:pPr>
              <w:autoSpaceDE w:val="0"/>
              <w:spacing w:before="40" w:after="40"/>
              <w:rPr>
                <w:sz w:val="18"/>
                <w:szCs w:val="18"/>
                <w:lang w:val="en-US"/>
              </w:rPr>
            </w:pPr>
            <w:r w:rsidRPr="00A4272B">
              <w:rPr>
                <w:sz w:val="18"/>
                <w:szCs w:val="18"/>
                <w:lang w:val="en-US"/>
              </w:rPr>
              <w:t>498</w:t>
            </w:r>
          </w:p>
        </w:tc>
        <w:tc>
          <w:tcPr>
            <w:tcW w:w="2173" w:type="dxa"/>
            <w:vAlign w:val="center"/>
          </w:tcPr>
          <w:p w14:paraId="75A0EAD9" w14:textId="2375ABD6" w:rsidR="00AD429C" w:rsidRPr="00A4272B" w:rsidRDefault="00AD429C" w:rsidP="00AD429C">
            <w:pPr>
              <w:autoSpaceDE w:val="0"/>
              <w:spacing w:before="40" w:after="40"/>
              <w:rPr>
                <w:sz w:val="18"/>
                <w:szCs w:val="18"/>
                <w:lang w:val="en-US"/>
              </w:rPr>
            </w:pPr>
            <w:r w:rsidRPr="00A4272B">
              <w:rPr>
                <w:sz w:val="18"/>
                <w:szCs w:val="18"/>
                <w:lang w:val="en-US"/>
              </w:rPr>
              <w:t>NA</w:t>
            </w:r>
          </w:p>
        </w:tc>
        <w:tc>
          <w:tcPr>
            <w:tcW w:w="2373" w:type="dxa"/>
            <w:vAlign w:val="center"/>
          </w:tcPr>
          <w:p w14:paraId="395E884F" w14:textId="744DE6D6" w:rsidR="00AD429C" w:rsidRPr="00A4272B" w:rsidRDefault="00AD429C" w:rsidP="00AD429C">
            <w:pPr>
              <w:autoSpaceDE w:val="0"/>
              <w:spacing w:before="40" w:after="40"/>
              <w:rPr>
                <w:sz w:val="18"/>
                <w:szCs w:val="18"/>
                <w:lang w:val="en-US"/>
              </w:rPr>
            </w:pPr>
            <w:r w:rsidRPr="00A4272B">
              <w:rPr>
                <w:sz w:val="18"/>
                <w:szCs w:val="18"/>
                <w:lang w:val="en-US"/>
              </w:rPr>
              <w:t>0.02</w:t>
            </w:r>
          </w:p>
        </w:tc>
      </w:tr>
      <w:tr w:rsidR="00AD429C" w:rsidRPr="00A4272B" w14:paraId="10596619" w14:textId="77777777" w:rsidTr="00AD429C">
        <w:tc>
          <w:tcPr>
            <w:tcW w:w="2785" w:type="dxa"/>
            <w:vAlign w:val="center"/>
          </w:tcPr>
          <w:p w14:paraId="2A2A0E44" w14:textId="77777777" w:rsidR="00AD429C" w:rsidRPr="00A4272B" w:rsidRDefault="00AD429C" w:rsidP="00AD429C">
            <w:pPr>
              <w:autoSpaceDE w:val="0"/>
              <w:spacing w:before="40" w:after="40"/>
              <w:rPr>
                <w:sz w:val="18"/>
                <w:szCs w:val="18"/>
                <w:lang w:val="en-US"/>
              </w:rPr>
            </w:pPr>
            <w:r w:rsidRPr="00A4272B">
              <w:rPr>
                <w:sz w:val="18"/>
                <w:szCs w:val="18"/>
                <w:lang w:val="en-US"/>
              </w:rPr>
              <w:t>Aldrin</w:t>
            </w:r>
          </w:p>
        </w:tc>
        <w:tc>
          <w:tcPr>
            <w:tcW w:w="2160" w:type="dxa"/>
            <w:vAlign w:val="center"/>
          </w:tcPr>
          <w:p w14:paraId="2A7202DF" w14:textId="77777777" w:rsidR="00AD429C" w:rsidRPr="00A4272B" w:rsidRDefault="00AD429C" w:rsidP="00AD429C">
            <w:pPr>
              <w:autoSpaceDE w:val="0"/>
              <w:spacing w:before="40" w:after="40"/>
              <w:rPr>
                <w:sz w:val="18"/>
                <w:szCs w:val="18"/>
                <w:lang w:val="en-US"/>
              </w:rPr>
            </w:pPr>
            <w:r w:rsidRPr="00A4272B">
              <w:rPr>
                <w:sz w:val="18"/>
                <w:szCs w:val="18"/>
                <w:lang w:val="en-US"/>
              </w:rPr>
              <w:t>60</w:t>
            </w:r>
          </w:p>
        </w:tc>
        <w:tc>
          <w:tcPr>
            <w:tcW w:w="2173" w:type="dxa"/>
            <w:vAlign w:val="center"/>
          </w:tcPr>
          <w:p w14:paraId="72E4F961" w14:textId="77777777" w:rsidR="00AD429C" w:rsidRPr="00A4272B" w:rsidRDefault="00AD429C" w:rsidP="00AD429C">
            <w:pPr>
              <w:autoSpaceDE w:val="0"/>
              <w:spacing w:before="40" w:after="40"/>
              <w:rPr>
                <w:sz w:val="18"/>
                <w:szCs w:val="18"/>
                <w:lang w:val="en-US"/>
              </w:rPr>
            </w:pPr>
            <w:r w:rsidRPr="00A4272B">
              <w:rPr>
                <w:sz w:val="18"/>
                <w:szCs w:val="18"/>
                <w:lang w:val="en-US"/>
              </w:rPr>
              <w:t>130</w:t>
            </w:r>
          </w:p>
        </w:tc>
        <w:tc>
          <w:tcPr>
            <w:tcW w:w="2373" w:type="dxa"/>
            <w:vAlign w:val="center"/>
          </w:tcPr>
          <w:p w14:paraId="553FEC4F" w14:textId="77777777" w:rsidR="00AD429C" w:rsidRPr="00A4272B" w:rsidRDefault="00AD429C" w:rsidP="00AD429C">
            <w:pPr>
              <w:autoSpaceDE w:val="0"/>
              <w:spacing w:before="40" w:after="40"/>
              <w:rPr>
                <w:sz w:val="18"/>
                <w:szCs w:val="18"/>
                <w:lang w:val="en-US"/>
              </w:rPr>
            </w:pPr>
            <w:r w:rsidRPr="00A4272B">
              <w:rPr>
                <w:sz w:val="18"/>
                <w:szCs w:val="18"/>
                <w:lang w:val="en-US"/>
              </w:rPr>
              <w:t>0.00018</w:t>
            </w:r>
          </w:p>
        </w:tc>
      </w:tr>
      <w:tr w:rsidR="00AD429C" w:rsidRPr="00A4272B" w14:paraId="294C4ECF" w14:textId="77777777" w:rsidTr="00AD429C">
        <w:tc>
          <w:tcPr>
            <w:tcW w:w="2785" w:type="dxa"/>
            <w:vAlign w:val="center"/>
          </w:tcPr>
          <w:p w14:paraId="50AE86ED" w14:textId="77777777" w:rsidR="00AD429C" w:rsidRPr="00A4272B" w:rsidRDefault="00AD429C" w:rsidP="00AD429C">
            <w:pPr>
              <w:autoSpaceDE w:val="0"/>
              <w:spacing w:before="40" w:after="40"/>
              <w:rPr>
                <w:sz w:val="18"/>
                <w:szCs w:val="18"/>
                <w:lang w:val="en-US"/>
              </w:rPr>
            </w:pPr>
            <w:r w:rsidRPr="00A4272B">
              <w:rPr>
                <w:sz w:val="18"/>
                <w:szCs w:val="18"/>
                <w:lang w:val="en-US"/>
              </w:rPr>
              <w:t>PFOS**</w:t>
            </w:r>
          </w:p>
        </w:tc>
        <w:tc>
          <w:tcPr>
            <w:tcW w:w="2160" w:type="dxa"/>
            <w:vAlign w:val="center"/>
          </w:tcPr>
          <w:p w14:paraId="527B14A1" w14:textId="77777777" w:rsidR="00AD429C" w:rsidRPr="00A4272B" w:rsidRDefault="00AD429C" w:rsidP="00AD429C">
            <w:pPr>
              <w:autoSpaceDE w:val="0"/>
              <w:spacing w:before="40" w:after="40"/>
              <w:rPr>
                <w:sz w:val="18"/>
                <w:szCs w:val="18"/>
                <w:lang w:val="en-US"/>
              </w:rPr>
            </w:pPr>
            <w:r w:rsidRPr="00A4272B">
              <w:rPr>
                <w:sz w:val="18"/>
                <w:szCs w:val="18"/>
                <w:lang w:val="en-US"/>
              </w:rPr>
              <w:t>10</w:t>
            </w:r>
          </w:p>
        </w:tc>
        <w:tc>
          <w:tcPr>
            <w:tcW w:w="2173" w:type="dxa"/>
            <w:vAlign w:val="center"/>
          </w:tcPr>
          <w:p w14:paraId="56D338DB" w14:textId="77777777" w:rsidR="00AD429C" w:rsidRPr="00A4272B" w:rsidRDefault="00AD429C" w:rsidP="00AD429C">
            <w:pPr>
              <w:autoSpaceDE w:val="0"/>
              <w:spacing w:before="40" w:after="40"/>
              <w:rPr>
                <w:sz w:val="18"/>
                <w:szCs w:val="18"/>
                <w:lang w:val="en-US"/>
              </w:rPr>
            </w:pPr>
            <w:r w:rsidRPr="00A4272B">
              <w:rPr>
                <w:sz w:val="18"/>
                <w:szCs w:val="18"/>
                <w:lang w:val="en-US"/>
              </w:rPr>
              <w:t>63,000</w:t>
            </w:r>
          </w:p>
        </w:tc>
        <w:tc>
          <w:tcPr>
            <w:tcW w:w="2373" w:type="dxa"/>
            <w:vAlign w:val="center"/>
          </w:tcPr>
          <w:p w14:paraId="003917A2" w14:textId="77777777" w:rsidR="00AD429C" w:rsidRPr="00A4272B" w:rsidRDefault="00AD429C" w:rsidP="00AD429C">
            <w:pPr>
              <w:autoSpaceDE w:val="0"/>
              <w:spacing w:before="40" w:after="40"/>
              <w:rPr>
                <w:sz w:val="18"/>
                <w:szCs w:val="18"/>
                <w:lang w:val="en-US"/>
              </w:rPr>
            </w:pPr>
            <w:r w:rsidRPr="00A4272B">
              <w:rPr>
                <w:sz w:val="18"/>
                <w:szCs w:val="18"/>
                <w:lang w:val="en-US"/>
              </w:rPr>
              <w:t>0.049</w:t>
            </w:r>
          </w:p>
        </w:tc>
      </w:tr>
    </w:tbl>
    <w:p w14:paraId="7E697887" w14:textId="34048310" w:rsidR="00F3536C" w:rsidRPr="00A4272B" w:rsidRDefault="00F3536C" w:rsidP="00500B9C">
      <w:pPr>
        <w:autoSpaceDE w:val="0"/>
        <w:spacing w:before="120" w:after="40"/>
        <w:rPr>
          <w:sz w:val="18"/>
          <w:szCs w:val="18"/>
          <w:lang w:val="en-US"/>
        </w:rPr>
      </w:pPr>
      <w:r w:rsidRPr="00A4272B">
        <w:rPr>
          <w:sz w:val="18"/>
          <w:szCs w:val="18"/>
          <w:lang w:val="en-US"/>
        </w:rPr>
        <w:t xml:space="preserve">TE – transfer efficiency for emissions to air; HCH – hexachlorocyclohexane; PCB-polychlorinated biphenyl; DDT – dichlorodiphenyltrichloroethane; TCDD – tetrachlorodibenzodioxin; PFOS – perfluorooctane </w:t>
      </w:r>
      <w:r w:rsidR="00457FA0" w:rsidRPr="00A4272B">
        <w:rPr>
          <w:sz w:val="18"/>
          <w:szCs w:val="18"/>
          <w:lang w:val="en-US"/>
        </w:rPr>
        <w:t>sulfonate.</w:t>
      </w:r>
      <w:r w:rsidRPr="00A4272B">
        <w:rPr>
          <w:sz w:val="18"/>
          <w:szCs w:val="18"/>
          <w:lang w:val="en-US"/>
        </w:rPr>
        <w:t xml:space="preserve"> </w:t>
      </w:r>
    </w:p>
    <w:p w14:paraId="2F41E168" w14:textId="77777777" w:rsidR="00F3536C" w:rsidRPr="00A4272B" w:rsidRDefault="00F3536C" w:rsidP="00500B9C">
      <w:pPr>
        <w:autoSpaceDE w:val="0"/>
        <w:spacing w:before="40" w:after="40"/>
        <w:rPr>
          <w:sz w:val="18"/>
          <w:szCs w:val="18"/>
          <w:lang w:val="en-US"/>
        </w:rPr>
      </w:pPr>
      <w:r w:rsidRPr="00A4272B">
        <w:rPr>
          <w:sz w:val="18"/>
          <w:szCs w:val="18"/>
          <w:lang w:val="en-US"/>
        </w:rPr>
        <w:t xml:space="preserve">*Calculations using OECD Tool are summarized at: </w:t>
      </w:r>
      <w:hyperlink r:id="rId16" w:history="1">
        <w:r w:rsidRPr="00A4272B">
          <w:rPr>
            <w:rStyle w:val="Hyperlink"/>
            <w:sz w:val="18"/>
            <w:szCs w:val="18"/>
            <w:u w:val="single"/>
            <w:lang w:val="en-US"/>
          </w:rPr>
          <w:t>http://www.sust-chem.ethz.ch/docs/POP_Candidates_OECD_Tool.pdf</w:t>
        </w:r>
      </w:hyperlink>
    </w:p>
    <w:p w14:paraId="0D71311F" w14:textId="77777777" w:rsidR="00F3536C" w:rsidRPr="00A4272B" w:rsidRDefault="00F3536C" w:rsidP="00500B9C">
      <w:pPr>
        <w:autoSpaceDE w:val="0"/>
        <w:spacing w:before="40" w:after="40"/>
        <w:rPr>
          <w:sz w:val="18"/>
          <w:szCs w:val="18"/>
          <w:lang w:val="en-US"/>
        </w:rPr>
      </w:pPr>
      <w:hyperlink r:id="rId17" w:history="1">
        <w:r w:rsidRPr="00A4272B">
          <w:rPr>
            <w:rStyle w:val="Hyperlink"/>
            <w:sz w:val="18"/>
            <w:szCs w:val="18"/>
            <w:u w:val="single"/>
            <w:lang w:val="en-US"/>
          </w:rPr>
          <w:t>http://www.pops.int/documents/meetings/poprc/prepdocs/annexEsubmissions/All%20chemicals%20Switzerland.pdf</w:t>
        </w:r>
      </w:hyperlink>
    </w:p>
    <w:p w14:paraId="4A7619AC" w14:textId="0C24BBCD" w:rsidR="00F3536C" w:rsidRPr="00A4272B" w:rsidRDefault="00F3536C" w:rsidP="00500B9C">
      <w:pPr>
        <w:autoSpaceDE w:val="0"/>
        <w:spacing w:before="40" w:after="40"/>
        <w:rPr>
          <w:sz w:val="18"/>
          <w:szCs w:val="18"/>
          <w:lang w:val="en-US"/>
        </w:rPr>
      </w:pPr>
      <w:r w:rsidRPr="00A4272B">
        <w:rPr>
          <w:sz w:val="18"/>
          <w:szCs w:val="18"/>
          <w:lang w:val="en-US"/>
        </w:rPr>
        <w:t>**</w:t>
      </w:r>
      <w:r w:rsidR="00AD429C" w:rsidRPr="00A4272B">
        <w:rPr>
          <w:sz w:val="18"/>
          <w:szCs w:val="18"/>
          <w:lang w:val="en-US"/>
        </w:rPr>
        <w:t>C</w:t>
      </w:r>
      <w:r w:rsidRPr="00A4272B">
        <w:rPr>
          <w:sz w:val="18"/>
          <w:szCs w:val="18"/>
          <w:lang w:val="en-US"/>
        </w:rPr>
        <w:t>alculation of CTD for air for PFOS assumed no potential to volatilize to air.</w:t>
      </w:r>
    </w:p>
    <w:p w14:paraId="799CEEA0" w14:textId="77777777" w:rsidR="00AD429C" w:rsidRPr="00A4272B" w:rsidRDefault="00AD429C" w:rsidP="00AD429C">
      <w:pPr>
        <w:autoSpaceDE w:val="0"/>
        <w:spacing w:before="40" w:after="40"/>
        <w:rPr>
          <w:sz w:val="18"/>
          <w:szCs w:val="18"/>
          <w:lang w:val="en-US"/>
        </w:rPr>
      </w:pPr>
      <w:r w:rsidRPr="00A4272B">
        <w:rPr>
          <w:sz w:val="18"/>
          <w:szCs w:val="18"/>
          <w:lang w:val="en-US"/>
        </w:rPr>
        <w:t>*** Sverko et al., 2011.</w:t>
      </w:r>
    </w:p>
    <w:p w14:paraId="147B7AF8" w14:textId="2A6B5F2C" w:rsidR="00AD429C" w:rsidRPr="00A4272B" w:rsidRDefault="00AD429C" w:rsidP="00AD429C">
      <w:pPr>
        <w:autoSpaceDE w:val="0"/>
        <w:spacing w:before="40" w:after="40"/>
        <w:rPr>
          <w:sz w:val="18"/>
          <w:szCs w:val="18"/>
          <w:lang w:val="en-US"/>
        </w:rPr>
      </w:pPr>
      <w:r w:rsidRPr="00A4272B">
        <w:rPr>
          <w:sz w:val="18"/>
          <w:szCs w:val="18"/>
          <w:lang w:val="en-US"/>
        </w:rPr>
        <w:t>**** Additional information relevant to the risk profile for methoxychlor. UNEP/POPS/POPRC.16/INF/16.</w:t>
      </w:r>
    </w:p>
    <w:p w14:paraId="28FDC637" w14:textId="602945E5" w:rsidR="00AD429C" w:rsidRPr="00A4272B" w:rsidRDefault="00AD429C" w:rsidP="00AD429C">
      <w:pPr>
        <w:autoSpaceDE w:val="0"/>
        <w:spacing w:before="40" w:after="40"/>
        <w:rPr>
          <w:sz w:val="18"/>
          <w:szCs w:val="18"/>
          <w:lang w:val="en-US"/>
        </w:rPr>
      </w:pPr>
      <w:r w:rsidRPr="00A4272B">
        <w:rPr>
          <w:sz w:val="18"/>
          <w:szCs w:val="18"/>
          <w:lang w:val="en-US"/>
        </w:rPr>
        <w:t>***** Additional information relevant to the draft risk profile for UV-328. UNEP/POPS/POPRC.17/INF/17 The ranges in CTD and TE reflect different model assumptions governing the half-life of UV-328 in air.</w:t>
      </w:r>
    </w:p>
    <w:p w14:paraId="2FC3CA28" w14:textId="77777777" w:rsidR="00F3536C" w:rsidRPr="00A4272B" w:rsidRDefault="00F3536C" w:rsidP="00500B9C">
      <w:pPr>
        <w:autoSpaceDE w:val="0"/>
        <w:spacing w:before="40" w:after="40"/>
        <w:rPr>
          <w:sz w:val="18"/>
          <w:szCs w:val="18"/>
          <w:lang w:val="fr-CH"/>
        </w:rPr>
      </w:pPr>
      <w:r w:rsidRPr="00A4272B">
        <w:rPr>
          <w:sz w:val="18"/>
          <w:szCs w:val="18"/>
          <w:vertAlign w:val="superscript"/>
          <w:lang w:val="fr-CH"/>
        </w:rPr>
        <w:t>1</w:t>
      </w:r>
      <w:r w:rsidRPr="00A4272B">
        <w:rPr>
          <w:sz w:val="18"/>
          <w:szCs w:val="18"/>
          <w:lang w:val="fr-CH"/>
        </w:rPr>
        <w:t xml:space="preserve"> MacLeod et al., 2007; </w:t>
      </w:r>
      <w:r w:rsidRPr="00A4272B">
        <w:rPr>
          <w:sz w:val="18"/>
          <w:szCs w:val="18"/>
          <w:vertAlign w:val="superscript"/>
          <w:lang w:val="fr-CH"/>
        </w:rPr>
        <w:t>2</w:t>
      </w:r>
      <w:r w:rsidRPr="00A4272B">
        <w:rPr>
          <w:sz w:val="18"/>
          <w:szCs w:val="18"/>
          <w:lang w:val="fr-CH"/>
        </w:rPr>
        <w:t xml:space="preserve"> Reppas-Chrysovitsinos et al., 2017.</w:t>
      </w:r>
    </w:p>
    <w:p w14:paraId="0FCB1F5A" w14:textId="77777777" w:rsidR="00AD429C" w:rsidRPr="00A4272B" w:rsidRDefault="00AD429C" w:rsidP="00AD429C">
      <w:pPr>
        <w:tabs>
          <w:tab w:val="left" w:pos="5040"/>
        </w:tabs>
        <w:autoSpaceDE w:val="0"/>
        <w:spacing w:before="120"/>
        <w:rPr>
          <w:lang w:val="en-US"/>
        </w:rPr>
      </w:pPr>
      <w:r w:rsidRPr="00A4272B">
        <w:rPr>
          <w:lang w:val="en-US"/>
        </w:rPr>
        <w:t>Scheringer (2009) presented a review of metrics for describing the long-range transport (LRT) of POPs. More recently, a set of alternative LRT potential (LRTP) metrics has been proposed, known as the emissions fractions approach (EFA) (Breivik et al., 2022). Unlike the metrics in the OECD Tool, EFA metrics are coherent and multiplicative, integrating LRT via air and water, accounting for reversible atmospheric deposition, and distinguishing between transfer to and accumulation in soil and water in distant regions. Using a modified version of the OECD Tool that calculates both the existing metrics (CTD, TE) and the alternative EFA metrics, researchers concluded that hazard-based assessments aligned with Annex D of the Stockholm Convention—using criteria such as half-life, overall persistence (POV), and current LRTP metrics—could screen out many chemicals with potential adverse effects due to LRT, as specified in Annex E (Breivik et al., 2023). The OECD Tool is currently under review by an expert group from the OECD, with plans to update the model (OECD, 2023).</w:t>
      </w:r>
    </w:p>
    <w:p w14:paraId="7E7E708C" w14:textId="77777777" w:rsidR="00AD429C" w:rsidRPr="00A4272B" w:rsidRDefault="00AD429C" w:rsidP="00AD429C">
      <w:pPr>
        <w:tabs>
          <w:tab w:val="left" w:pos="5040"/>
        </w:tabs>
        <w:autoSpaceDE w:val="0"/>
        <w:spacing w:before="120"/>
        <w:rPr>
          <w:lang w:val="en-US"/>
        </w:rPr>
      </w:pPr>
      <w:r w:rsidRPr="00A4272B">
        <w:rPr>
          <w:lang w:val="en-US"/>
        </w:rPr>
        <w:t xml:space="preserve">A commonly used tool for analyzing transport pathways to detect and interpret trends in POP air concentrations is air-parcel back-trajectory analysis. Services for generating air parcel trajectories for user-defined locations are available online (e.g., NOAA’s HYSPLIT model at </w:t>
      </w:r>
      <w:hyperlink r:id="rId18" w:tgtFrame="_new" w:history="1">
        <w:r w:rsidRPr="00A4272B">
          <w:rPr>
            <w:rStyle w:val="Hyperlink"/>
            <w:lang w:val="en-US"/>
          </w:rPr>
          <w:t>https://ready.arl.noaa.gov/HYSPLIT_traj.php</w:t>
        </w:r>
      </w:hyperlink>
      <w:r w:rsidRPr="00A4272B">
        <w:rPr>
          <w:lang w:val="en-US"/>
        </w:rPr>
        <w:t xml:space="preserve">). This approach reconstructs the transport path of air to a sampling site based on observed wind fields. Various methodologies improve trend </w:t>
      </w:r>
      <w:r w:rsidRPr="00A4272B">
        <w:rPr>
          <w:lang w:val="en-US"/>
        </w:rPr>
        <w:lastRenderedPageBreak/>
        <w:t>detection, including trajectory sector analysis and cluster analysis. In cluster analysis, discriminant analysis identifies the main trajectory pathways to a site (Moody et al., 1998), which can also be applied to samples across different trajectory percentile ranges.</w:t>
      </w:r>
    </w:p>
    <w:p w14:paraId="53B0952F" w14:textId="77777777" w:rsidR="00AD429C" w:rsidRPr="00A4272B" w:rsidRDefault="00AD429C" w:rsidP="00AD429C">
      <w:pPr>
        <w:tabs>
          <w:tab w:val="left" w:pos="5040"/>
        </w:tabs>
        <w:autoSpaceDE w:val="0"/>
        <w:spacing w:before="120"/>
        <w:rPr>
          <w:lang w:val="en-US"/>
        </w:rPr>
      </w:pPr>
      <w:r w:rsidRPr="00A4272B">
        <w:rPr>
          <w:lang w:val="en-US"/>
        </w:rPr>
        <w:t>Another approach that identifies sources and preferred transport pathways is potential source contribution function (PSCF) analysis (Ashbaugh, 1983; Hsu et al., 2003a, b). In PSCF, a grid overlaying the map identifies upwind areas most frequently occupied by points in a back trajectory for high-concentration versus low-concentration trajectories. To ensure accuracy, trajectories initiated during temperature inversions below 500 m altitude should be excluded, and trajectory endpoints should be filtered against the mixing depth, as air masses above this layer are less influenced by ground emissions or those within the planetary boundary layer (Dvorská et al., 2009).</w:t>
      </w:r>
    </w:p>
    <w:p w14:paraId="3857FC53" w14:textId="77777777" w:rsidR="00AD429C" w:rsidRPr="00A4272B" w:rsidRDefault="00AD429C" w:rsidP="00AD429C">
      <w:pPr>
        <w:tabs>
          <w:tab w:val="left" w:pos="5040"/>
        </w:tabs>
        <w:autoSpaceDE w:val="0"/>
        <w:spacing w:before="120"/>
        <w:rPr>
          <w:lang w:val="en-US"/>
        </w:rPr>
      </w:pPr>
      <w:r w:rsidRPr="00A4272B">
        <w:rPr>
          <w:lang w:val="en-US"/>
        </w:rPr>
        <w:t>Using these methods to gain insight into upwind sources and air transport trends is significantly more effective for addressing policy questions than simple time-series analysis.</w:t>
      </w:r>
    </w:p>
    <w:p w14:paraId="2277C43C" w14:textId="5180285B" w:rsidR="00AD429C" w:rsidRPr="00A4272B" w:rsidRDefault="00AD429C" w:rsidP="00AD429C">
      <w:pPr>
        <w:tabs>
          <w:tab w:val="left" w:pos="5040"/>
        </w:tabs>
        <w:autoSpaceDE w:val="0"/>
        <w:spacing w:before="120"/>
        <w:rPr>
          <w:lang w:val="en-US"/>
        </w:rPr>
      </w:pPr>
      <w:r w:rsidRPr="00A4272B">
        <w:rPr>
          <w:lang w:val="en-US"/>
        </w:rPr>
        <w:t>Gouin et al. (2005) demonstrated how density maps (a modification of the PSCF approach) could interpret time-integrated data from passive samplers by identifying an air shed associated with the historical transport of air masses to a specific site (</w:t>
      </w:r>
      <w:r w:rsidR="009F04ED" w:rsidRPr="00A4272B">
        <w:rPr>
          <w:lang w:val="en-US"/>
        </w:rPr>
        <w:t>Figure</w:t>
      </w:r>
      <w:r w:rsidRPr="00A4272B">
        <w:rPr>
          <w:lang w:val="en-US"/>
        </w:rPr>
        <w:t xml:space="preserve"> 4.1.2).</w:t>
      </w:r>
    </w:p>
    <w:p w14:paraId="3F302E94" w14:textId="25A87EDB" w:rsidR="00F3536C" w:rsidRPr="00A4272B" w:rsidRDefault="00362F5F" w:rsidP="00260057">
      <w:pPr>
        <w:autoSpaceDE w:val="0"/>
        <w:ind w:left="624"/>
        <w:rPr>
          <w:color w:val="000000"/>
          <w:lang w:val="en-US"/>
        </w:rPr>
      </w:pPr>
      <w:r w:rsidRPr="00A4272B">
        <w:rPr>
          <w:noProof/>
          <w:lang w:val="en-US"/>
        </w:rPr>
        <mc:AlternateContent>
          <mc:Choice Requires="wpg">
            <w:drawing>
              <wp:inline distT="0" distB="0" distL="0" distR="0" wp14:anchorId="4C176A94" wp14:editId="3960937F">
                <wp:extent cx="5486400" cy="2713355"/>
                <wp:effectExtent l="0" t="4445" r="3175" b="0"/>
                <wp:docPr id="20481256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713355"/>
                          <a:chOff x="0" y="0"/>
                          <a:chExt cx="8640" cy="4273"/>
                        </a:xfrm>
                      </wpg:grpSpPr>
                      <wps:wsp>
                        <wps:cNvPr id="460034714" name="Rectangle 6"/>
                        <wps:cNvSpPr>
                          <a:spLocks noChangeArrowheads="1"/>
                        </wps:cNvSpPr>
                        <wps:spPr bwMode="auto">
                          <a:xfrm>
                            <a:off x="0" y="0"/>
                            <a:ext cx="8639" cy="4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1423574032" name="AutoShape 7"/>
                        <wps:cNvSpPr>
                          <a:spLocks noChangeArrowheads="1"/>
                        </wps:cNvSpPr>
                        <wps:spPr bwMode="auto">
                          <a:xfrm>
                            <a:off x="3842" y="1799"/>
                            <a:ext cx="523" cy="898"/>
                          </a:xfrm>
                          <a:prstGeom prst="stripedRightArrow">
                            <a:avLst>
                              <a:gd name="adj1" fmla="val 50000"/>
                              <a:gd name="adj2" fmla="val 25000"/>
                            </a:avLst>
                          </a:prstGeom>
                          <a:solidFill>
                            <a:srgbClr val="FF9900"/>
                          </a:solidFill>
                          <a:ln w="14760" cap="sq">
                            <a:solidFill>
                              <a:srgbClr val="FFFFFF"/>
                            </a:solidFill>
                            <a:miter lim="800000"/>
                            <a:headEnd/>
                            <a:tailEnd/>
                          </a:ln>
                        </wps:spPr>
                        <wps:bodyPr rot="0" vert="horz" wrap="none" lIns="91440" tIns="45720" rIns="91440" bIns="45720" anchor="ctr" anchorCtr="0" upright="1">
                          <a:noAutofit/>
                        </wps:bodyPr>
                      </wps:wsp>
                      <pic:pic xmlns:pic="http://schemas.openxmlformats.org/drawingml/2006/picture">
                        <pic:nvPicPr>
                          <pic:cNvPr id="124928785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1" cy="427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757912101"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506" y="0"/>
                            <a:ext cx="4132" cy="422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g:wgp>
                  </a:graphicData>
                </a:graphic>
              </wp:inline>
            </w:drawing>
          </mc:Choice>
          <mc:Fallback>
            <w:pict>
              <v:group w14:anchorId="18B7CA2B" id="Group 26" o:spid="_x0000_s1026" style="width:6in;height:213.65pt;mso-position-horizontal-relative:char;mso-position-vertical-relative:line" coordsize="8640,427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">
                <v:rect id="Rectangle 6" o:spid="_x0000_s1027" style="position:absolute;width:8639;height:4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" filled="f" stroked="f" strokecolor="gray">
                  <v:stroke joinstyle="round"/>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7" o:spid="_x0000_s1028" type="#_x0000_t93" style="position:absolute;left:3842;top:1799;width:523;height:8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" fillcolor="#f90" strokecolor="white" strokeweight=".41mm">
                  <v:stroke endcap="squar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3691;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" strokecolor="gray">
                  <v:fill recolor="t" type="frame"/>
                  <v:stroke joinstyle="round"/>
                  <v:imagedata r:id="rId25" o:title=""/>
                </v:shape>
                <v:shape id="Picture 9" o:spid="_x0000_s1030" type="#_x0000_t75" style="position:absolute;left:4506;width:4132;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" strokecolor="gray">
                  <v:fill recolor="t" type="frame"/>
                  <v:stroke joinstyle="round"/>
                  <v:imagedata r:id="rId26" o:title=""/>
                </v:shape>
                <w10:anchorlock/>
              </v:group>
            </w:pict>
          </mc:Fallback>
        </mc:AlternateContent>
      </w:r>
    </w:p>
    <w:p w14:paraId="3677AC13" w14:textId="192D1F4D" w:rsidR="00F3536C" w:rsidRPr="00A4272B" w:rsidRDefault="00F3536C" w:rsidP="00260057">
      <w:pPr>
        <w:autoSpaceDE w:val="0"/>
        <w:rPr>
          <w:b/>
          <w:color w:val="000000"/>
          <w:lang w:val="en-US"/>
        </w:rPr>
      </w:pPr>
      <w:r w:rsidRPr="00A4272B">
        <w:rPr>
          <w:b/>
          <w:lang w:val="en-US"/>
        </w:rPr>
        <w:t xml:space="preserve">Figure 4.1.2: </w:t>
      </w:r>
      <w:r w:rsidR="00AD429C" w:rsidRPr="00A4272B">
        <w:rPr>
          <w:b/>
          <w:lang w:val="en-US"/>
        </w:rPr>
        <w:t xml:space="preserve">Example of a probability density map (right panel) constructed from daily 3-day air parcel back trajectories for a time-integrated air sample (left panel). </w:t>
      </w:r>
      <w:r w:rsidR="00D66BAA" w:rsidRPr="00A4272B">
        <w:rPr>
          <w:bCs/>
          <w:sz w:val="18"/>
          <w:szCs w:val="18"/>
          <w:lang w:val="en-US"/>
        </w:rPr>
        <w:t>(</w:t>
      </w:r>
      <w:r w:rsidR="00AD429C" w:rsidRPr="00A4272B">
        <w:rPr>
          <w:bCs/>
          <w:sz w:val="18"/>
          <w:szCs w:val="18"/>
          <w:lang w:val="en-US"/>
        </w:rPr>
        <w:t>Darker shades in the right panel indicate regions where air masses passed more frequently before reaching the sampling site. The shaded areas represent "air sheds" for the sampling or receiving site</w:t>
      </w:r>
      <w:r w:rsidRPr="00A4272B">
        <w:rPr>
          <w:bCs/>
          <w:color w:val="000000"/>
          <w:sz w:val="18"/>
          <w:szCs w:val="18"/>
          <w:lang w:val="en-US"/>
        </w:rPr>
        <w:t>.</w:t>
      </w:r>
      <w:r w:rsidR="00D66BAA" w:rsidRPr="00A4272B">
        <w:rPr>
          <w:bCs/>
          <w:color w:val="000000"/>
          <w:sz w:val="18"/>
          <w:szCs w:val="18"/>
          <w:lang w:val="en-US"/>
        </w:rPr>
        <w:t>)</w:t>
      </w:r>
    </w:p>
    <w:p w14:paraId="26BC25AD" w14:textId="77777777" w:rsidR="00AD429C" w:rsidRPr="00A4272B" w:rsidRDefault="00AD429C" w:rsidP="00AD429C">
      <w:pPr>
        <w:autoSpaceDE w:val="0"/>
        <w:rPr>
          <w:color w:val="000000"/>
          <w:lang w:val="en-US"/>
        </w:rPr>
      </w:pPr>
      <w:r w:rsidRPr="00A4272B">
        <w:rPr>
          <w:color w:val="000000"/>
          <w:lang w:val="en-US"/>
        </w:rPr>
        <w:t>Several models exist for regional and global POP transport in the environment, including the atmosphere (see Chapter 4 of the RBA/PTS Global Report, UNEP, 2003). These models simulate the large-scale spatial and temporal distribution of POP compounds, covering direct emissions to the atmosphere, transport and dispersion, chemical transformation in the atmosphere, and air-surface exchange processes. They range from coarsely resolved box models (e.g., Breivik and Wania, 2002; MacLeod et al., 2001; Wania et al., 1999) to meteorology-based models with high spatial and temporal resolution (e.g., Koziol and Pudykiewicz, 2001; Semeena et al., 2006; Hansen et al., 2004). Model domains vary from regional to global scales.</w:t>
      </w:r>
    </w:p>
    <w:p w14:paraId="2363A6DD" w14:textId="351D6650" w:rsidR="00AD429C" w:rsidRPr="00A4272B" w:rsidRDefault="00AD429C" w:rsidP="00AD429C">
      <w:pPr>
        <w:autoSpaceDE w:val="0"/>
        <w:rPr>
          <w:color w:val="000000"/>
          <w:lang w:val="en-US"/>
        </w:rPr>
      </w:pPr>
      <w:r w:rsidRPr="00A4272B">
        <w:rPr>
          <w:color w:val="000000"/>
          <w:lang w:val="en-US"/>
        </w:rPr>
        <w:t xml:space="preserve">These models can be valuable in network design and may be evaluated using POP observations. Together, model data and observations can support the evaluation of the effectiveness of measures under the Stockholm Convention, likely in an iterative process where model predictions and measurements are compared to refine both model design and measurement strategies. Due to their complexity, direct use of transport models may be limited to groups or </w:t>
      </w:r>
      <w:r w:rsidR="002A6D39" w:rsidRPr="00A4272B">
        <w:rPr>
          <w:color w:val="000000"/>
          <w:lang w:val="en-US"/>
        </w:rPr>
        <w:t xml:space="preserve">programmes </w:t>
      </w:r>
      <w:r w:rsidRPr="00A4272B">
        <w:rPr>
          <w:color w:val="000000"/>
          <w:lang w:val="en-US"/>
        </w:rPr>
        <w:t>with specialized expertise.</w:t>
      </w:r>
    </w:p>
    <w:p w14:paraId="321C1029" w14:textId="013238E1" w:rsidR="00F3536C" w:rsidRPr="00A4272B" w:rsidRDefault="00AD429C" w:rsidP="00AD429C">
      <w:pPr>
        <w:autoSpaceDE w:val="0"/>
        <w:rPr>
          <w:color w:val="000000"/>
          <w:lang w:val="en-US"/>
        </w:rPr>
      </w:pPr>
      <w:r w:rsidRPr="00A4272B">
        <w:rPr>
          <w:color w:val="000000"/>
          <w:lang w:val="en-US"/>
        </w:rPr>
        <w:t>A simpler alternative for characterizing transport to sites is the "Remoteness Index," which integrates many of the concepts and techniques discussed above (von Waldow et al., 2010). The remoteness index helps make informed decisions about the geographic location of sampling sites based on potential regional and global inputs. It also aids in spatial and temporal interpretation of monitoring data. The remoteness index approach uses emission scenarios for various chemical classes and applies real meteorological data within a global transport model framework to predict the geographic impact extent. Remoteness index maps, based on scenarios for industrial or agricultural chemicals, are shown in Figure 4.1.3. Detailed regional maps of the remoteness index can also be found in von Waldow et al. (2010)</w:t>
      </w:r>
      <w:r w:rsidR="00F3536C" w:rsidRPr="00A4272B">
        <w:rPr>
          <w:lang w:val="en-US"/>
        </w:rPr>
        <w:t>.</w:t>
      </w:r>
    </w:p>
    <w:p w14:paraId="3F3A9AE5" w14:textId="28733B8C" w:rsidR="00F3536C" w:rsidRPr="00A4272B" w:rsidRDefault="00362F5F" w:rsidP="007A108B">
      <w:pPr>
        <w:autoSpaceDE w:val="0"/>
        <w:rPr>
          <w:lang w:val="en-US"/>
        </w:rPr>
      </w:pPr>
      <w:r w:rsidRPr="00A4272B">
        <w:rPr>
          <w:noProof/>
          <w:color w:val="000000"/>
          <w:sz w:val="22"/>
          <w:szCs w:val="22"/>
          <w:lang w:val="en-US"/>
        </w:rPr>
        <w:lastRenderedPageBreak/>
        <w:drawing>
          <wp:inline distT="0" distB="0" distL="0" distR="0" wp14:anchorId="67C03396" wp14:editId="5387F781">
            <wp:extent cx="5257800" cy="3495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495675"/>
                    </a:xfrm>
                    <a:prstGeom prst="rect">
                      <a:avLst/>
                    </a:prstGeom>
                    <a:solidFill>
                      <a:srgbClr val="FFFFFF"/>
                    </a:solidFill>
                    <a:ln>
                      <a:noFill/>
                    </a:ln>
                  </pic:spPr>
                </pic:pic>
              </a:graphicData>
            </a:graphic>
          </wp:inline>
        </w:drawing>
      </w:r>
    </w:p>
    <w:p w14:paraId="5AD6A28F" w14:textId="2C297E05" w:rsidR="00362F5F" w:rsidRPr="00A4272B" w:rsidRDefault="00362F5F" w:rsidP="007A108B">
      <w:pPr>
        <w:autoSpaceDE w:val="0"/>
        <w:rPr>
          <w:lang w:val="en-US"/>
        </w:rPr>
      </w:pPr>
      <w:r w:rsidRPr="00A4272B">
        <w:rPr>
          <w:noProof/>
          <w:sz w:val="22"/>
          <w:szCs w:val="22"/>
          <w:lang w:val="en-US"/>
        </w:rPr>
        <w:drawing>
          <wp:inline distT="0" distB="0" distL="0" distR="0" wp14:anchorId="4ED4601B" wp14:editId="13EEBA54">
            <wp:extent cx="5153024" cy="3552825"/>
            <wp:effectExtent l="0" t="0" r="9525" b="9525"/>
            <wp:docPr id="16" name="Picture 16" descr="A map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of the earth&#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153024" cy="3552825"/>
                    </a:xfrm>
                    <a:prstGeom prst="rect">
                      <a:avLst/>
                    </a:prstGeom>
                  </pic:spPr>
                </pic:pic>
              </a:graphicData>
            </a:graphic>
          </wp:inline>
        </w:drawing>
      </w:r>
    </w:p>
    <w:p w14:paraId="4C24B81C" w14:textId="4C55B4B2" w:rsidR="00F3536C" w:rsidRPr="00A4272B" w:rsidRDefault="00F3536C" w:rsidP="007A108B">
      <w:pPr>
        <w:autoSpaceDE w:val="0"/>
        <w:rPr>
          <w:b/>
          <w:lang w:val="en-US"/>
        </w:rPr>
      </w:pPr>
      <w:r w:rsidRPr="00A4272B">
        <w:rPr>
          <w:b/>
          <w:lang w:val="en-US"/>
        </w:rPr>
        <w:t xml:space="preserve">Figure 4.1.3: </w:t>
      </w:r>
      <w:r w:rsidR="00777DDD" w:rsidRPr="00A4272B">
        <w:rPr>
          <w:b/>
          <w:lang w:val="en-US"/>
        </w:rPr>
        <w:t xml:space="preserve">Global distribution of the remoteness index for the CROP (top) and ECON (bottom) scenarios. </w:t>
      </w:r>
      <w:r w:rsidR="00D66BAA" w:rsidRPr="00A4272B">
        <w:rPr>
          <w:bCs/>
          <w:sz w:val="18"/>
          <w:szCs w:val="18"/>
          <w:lang w:val="en-US"/>
        </w:rPr>
        <w:t>(</w:t>
      </w:r>
      <w:r w:rsidR="00777DDD" w:rsidRPr="00A4272B">
        <w:rPr>
          <w:bCs/>
          <w:sz w:val="18"/>
          <w:szCs w:val="18"/>
          <w:lang w:val="en-US"/>
        </w:rPr>
        <w:t>The CROP scenario represents pesticide emissions, while the ECON scenario represents technical emissions (von Waldow et al., 2010)</w:t>
      </w:r>
      <w:r w:rsidRPr="00A4272B">
        <w:rPr>
          <w:bCs/>
          <w:sz w:val="18"/>
          <w:szCs w:val="18"/>
          <w:lang w:val="en-US"/>
        </w:rPr>
        <w:t>.</w:t>
      </w:r>
      <w:r w:rsidR="00D66BAA" w:rsidRPr="00A4272B">
        <w:rPr>
          <w:bCs/>
          <w:sz w:val="18"/>
          <w:szCs w:val="18"/>
          <w:lang w:val="en-US"/>
        </w:rPr>
        <w:t>)</w:t>
      </w:r>
    </w:p>
    <w:p w14:paraId="67C03396" w14:textId="77777777" w:rsidR="00777DDD" w:rsidRPr="00A4272B" w:rsidRDefault="00777DDD" w:rsidP="00777DDD">
      <w:pPr>
        <w:autoSpaceDE w:val="0"/>
        <w:rPr>
          <w:lang w:val="en-US"/>
        </w:rPr>
      </w:pPr>
      <w:r w:rsidRPr="00A4272B">
        <w:rPr>
          <w:lang w:val="en-US"/>
        </w:rPr>
        <w:t>A comprehensive review of modeling approaches for quantifying long-range transport (LRT) of POPs in the Northern Hemisphere was conducted by the Task Force on Hemispheric Transport of Air Pollution (TF on HTAP) under the UNECE Convention on Long-Range Transboundary Air Pollution (LRTAP) (UNECE, 2010; http://www.htap.org/). The task force found that modeling studies for the most widely studied POPs generally align well with atmospheric concentration measurements, often agreeing within a factor of three to four. However, in some cases, substantial differences were observed, suggesting considerable uncertainties in emission inventories, modeling methods, or both.</w:t>
      </w:r>
    </w:p>
    <w:p w14:paraId="37B7EA02" w14:textId="222EECED" w:rsidR="00F3536C" w:rsidRPr="00A4272B" w:rsidRDefault="00777DDD" w:rsidP="00777DDD">
      <w:pPr>
        <w:autoSpaceDE w:val="0"/>
        <w:rPr>
          <w:b/>
          <w:color w:val="000000"/>
          <w:lang w:val="en-US"/>
        </w:rPr>
      </w:pPr>
      <w:r w:rsidRPr="00A4272B">
        <w:rPr>
          <w:lang w:val="en-US"/>
        </w:rPr>
        <w:t xml:space="preserve">Global-scale modeling of POPs indicates ongoing intercontinental transport by westerly winds within the Northern Hemisphere and transport from temperate regions toward the Arctic. For instance, models suggest that more than 50% </w:t>
      </w:r>
      <w:r w:rsidRPr="00A4272B">
        <w:rPr>
          <w:lang w:val="en-US"/>
        </w:rPr>
        <w:lastRenderedPageBreak/>
        <w:t>of the PCBs currently being deposited in the Great Lakes region of North America are attributable to distant emission sources.</w:t>
      </w:r>
    </w:p>
    <w:p w14:paraId="529857FC" w14:textId="77777777" w:rsidR="00777DDD" w:rsidRPr="00A4272B" w:rsidRDefault="00F3536C" w:rsidP="00817D9F">
      <w:pPr>
        <w:pStyle w:val="Heading4"/>
        <w:rPr>
          <w:rFonts w:hint="eastAsia"/>
        </w:rPr>
      </w:pPr>
      <w:r w:rsidRPr="00A4272B">
        <w:t>Special considerations for newly listed POPs</w:t>
      </w:r>
    </w:p>
    <w:p w14:paraId="3036F796" w14:textId="56A85893" w:rsidR="00777DDD" w:rsidRPr="00A4272B" w:rsidRDefault="00777DDD">
      <w:pPr>
        <w:pStyle w:val="ListParagraph"/>
        <w:numPr>
          <w:ilvl w:val="0"/>
          <w:numId w:val="41"/>
        </w:numPr>
        <w:autoSpaceDE w:val="0"/>
        <w:rPr>
          <w:b/>
          <w:bCs/>
        </w:rPr>
      </w:pPr>
      <w:r w:rsidRPr="00A4272B">
        <w:rPr>
          <w:b/>
          <w:bCs/>
        </w:rPr>
        <w:t>PFASs (PFOS, PFOA, and PFHxS):</w:t>
      </w:r>
    </w:p>
    <w:p w14:paraId="6998B671" w14:textId="23FCEE9F" w:rsidR="00777DDD" w:rsidRPr="00A4272B" w:rsidRDefault="00777DDD" w:rsidP="00777DDD">
      <w:pPr>
        <w:autoSpaceDE w:val="0"/>
        <w:ind w:left="720"/>
        <w:rPr>
          <w:lang w:val="en-US"/>
        </w:rPr>
      </w:pPr>
      <w:r w:rsidRPr="00A4272B">
        <w:rPr>
          <w:lang w:val="en-US"/>
        </w:rPr>
        <w:t>Any air monitoring strategy aimed at investigating the occurrence and long-range transport of PFASs to remote regions should include their derivatives (transformation products) and precursor compounds. PFOS in the gas phase is limited due to its ionizable nature, which causes it to partition strongly to water and, in the atmosphere, to aerosols (Table 4.1.1). Sea salt spray aerosols are a notable emission source of PFASs, which should be considered for monitoring stations near coastal areas (Johansson et al., 2017, 2019; Sha et al., 2021). At background and remote sites, some PFASs can arrive through atmospheric pathways mediated by the long-range transport of more volatile precursor chemicals—such as sulfonamido alcohols for PFOS and PFHxS, and telomer alcohols for PFOA. Therefore, to fully understand PFAS occurrence at these sites, monitoring should include these derivatives and precursors</w:t>
      </w:r>
      <w:r w:rsidR="003F50B4" w:rsidRPr="00A4272B">
        <w:rPr>
          <w:lang w:val="en-US"/>
        </w:rPr>
        <w:t>.</w:t>
      </w:r>
    </w:p>
    <w:p w14:paraId="229C0949" w14:textId="77777777" w:rsidR="00777DDD" w:rsidRPr="00A4272B" w:rsidRDefault="00777DDD" w:rsidP="00777DDD">
      <w:pPr>
        <w:autoSpaceDE w:val="0"/>
        <w:ind w:left="720"/>
        <w:rPr>
          <w:lang w:val="en-US"/>
        </w:rPr>
      </w:pPr>
      <w:r w:rsidRPr="00A4272B">
        <w:rPr>
          <w:lang w:val="en-US"/>
        </w:rPr>
        <w:t>This extended PFAS target list aligns with COP4 Decision SC:4/17, which added perfluorooctane sulfonic acid (PFOS), its salts, and perfluorooctane sulfonyl fluoride to Annex A and B of the Convention. The decision references the European Union (EU) definition of PFOS, encompassing all molecules with the molecular formula C8F17SO2Y, where Y represents OH, metal or other salts, halide, amide, and other derivatives, including polymers (European Union, 2006). Similar considerations apply to PFOA and PFHxS, with the full list of compounds targeted for air monitoring provided in Chapter 2, Table 2.2.</w:t>
      </w:r>
    </w:p>
    <w:p w14:paraId="571CEF23" w14:textId="770D2CA7" w:rsidR="00777DDD" w:rsidRPr="00A4272B" w:rsidRDefault="00777DDD" w:rsidP="00777DDD">
      <w:pPr>
        <w:autoSpaceDE w:val="0"/>
        <w:ind w:left="720"/>
        <w:rPr>
          <w:lang w:val="en-US"/>
        </w:rPr>
      </w:pPr>
      <w:r w:rsidRPr="00A4272B">
        <w:rPr>
          <w:lang w:val="en-US"/>
        </w:rPr>
        <w:t>Ahrens et al. (2011, 2012) assessed various air sampling approaches for PFASs and their precursor compounds, evaluating their partitioning between particles and gas. These studies highlight specific considerations when sampling PFASs in air, using conventional high-volume samplers or passive sampling approaches. Further guidance on air sampling of PFASs is provided in Section 4.1.3</w:t>
      </w:r>
      <w:r w:rsidR="003F50B4" w:rsidRPr="00A4272B">
        <w:rPr>
          <w:lang w:val="en-US"/>
        </w:rPr>
        <w:t>;</w:t>
      </w:r>
    </w:p>
    <w:p w14:paraId="3B9294E7" w14:textId="0528F607" w:rsidR="00777DDD" w:rsidRPr="00A4272B" w:rsidRDefault="00777DDD">
      <w:pPr>
        <w:pStyle w:val="ListParagraph"/>
        <w:numPr>
          <w:ilvl w:val="0"/>
          <w:numId w:val="41"/>
        </w:numPr>
        <w:autoSpaceDE w:val="0"/>
        <w:rPr>
          <w:b/>
          <w:bCs/>
        </w:rPr>
      </w:pPr>
      <w:r w:rsidRPr="00A4272B">
        <w:rPr>
          <w:b/>
          <w:bCs/>
        </w:rPr>
        <w:t xml:space="preserve">HCBD, PCP, and </w:t>
      </w:r>
      <w:r w:rsidR="00E46054" w:rsidRPr="00A4272B">
        <w:rPr>
          <w:b/>
          <w:bCs/>
        </w:rPr>
        <w:t>o</w:t>
      </w:r>
      <w:r w:rsidRPr="00A4272B">
        <w:rPr>
          <w:b/>
          <w:bCs/>
        </w:rPr>
        <w:t xml:space="preserve">ther </w:t>
      </w:r>
      <w:r w:rsidR="00E46054" w:rsidRPr="00A4272B">
        <w:rPr>
          <w:b/>
          <w:bCs/>
        </w:rPr>
        <w:t>v</w:t>
      </w:r>
      <w:r w:rsidRPr="00A4272B">
        <w:rPr>
          <w:b/>
          <w:bCs/>
        </w:rPr>
        <w:t>olatile POPs:</w:t>
      </w:r>
    </w:p>
    <w:p w14:paraId="0C0F05B5" w14:textId="1FBC648B" w:rsidR="00777DDD" w:rsidRPr="00A4272B" w:rsidRDefault="00777DDD" w:rsidP="00777DDD">
      <w:pPr>
        <w:pStyle w:val="ListParagraph"/>
        <w:autoSpaceDE w:val="0"/>
      </w:pPr>
      <w:r w:rsidRPr="00A4272B">
        <w:t>The high volatility of some POPs can challenge typical air sampling methods, as matrices like polyurethane foam (PUF) and even XAD-resin have limited sorptive capacity (Rauert et al., 2018b). Therefore, data should be interpreted using the latest tools and information, as discussed further in Section 4.1.3 on air sampling</w:t>
      </w:r>
      <w:r w:rsidR="003F50B4" w:rsidRPr="00A4272B">
        <w:t>;</w:t>
      </w:r>
    </w:p>
    <w:p w14:paraId="10DD7ADF" w14:textId="355CEE4D" w:rsidR="00777DDD" w:rsidRPr="00A4272B" w:rsidRDefault="00777DDD">
      <w:pPr>
        <w:pStyle w:val="ListParagraph"/>
        <w:numPr>
          <w:ilvl w:val="0"/>
          <w:numId w:val="41"/>
        </w:numPr>
        <w:autoSpaceDE w:val="0"/>
        <w:rPr>
          <w:b/>
          <w:bCs/>
        </w:rPr>
      </w:pPr>
      <w:r w:rsidRPr="00A4272B">
        <w:rPr>
          <w:b/>
          <w:bCs/>
        </w:rPr>
        <w:t>POP in commercial products and building materials:</w:t>
      </w:r>
    </w:p>
    <w:p w14:paraId="375AAB20" w14:textId="0E4B0412" w:rsidR="00777DDD" w:rsidRPr="00A4272B" w:rsidRDefault="00777DDD" w:rsidP="00777DDD">
      <w:pPr>
        <w:autoSpaceDE w:val="0"/>
        <w:ind w:left="720"/>
        <w:rPr>
          <w:lang w:val="en-US"/>
        </w:rPr>
      </w:pPr>
      <w:r w:rsidRPr="00A4272B">
        <w:rPr>
          <w:lang w:val="en-US"/>
        </w:rPr>
        <w:t>Some newer POPs (e.g., BDE-209, HBCD, SCCPs, Dechlorane Plus, UV-328) are widely used in products, leading to potential off-gassing or contamination that can impact sample integrity. Identifying and avoiding contamination sources is essential when selecting sampling locations and during laboratory sample processing</w:t>
      </w:r>
      <w:r w:rsidR="003F50B4" w:rsidRPr="00A4272B">
        <w:rPr>
          <w:lang w:val="en-US"/>
        </w:rPr>
        <w:t>;</w:t>
      </w:r>
    </w:p>
    <w:p w14:paraId="0E73B3A6" w14:textId="5857708E" w:rsidR="00777DDD" w:rsidRPr="00A4272B" w:rsidRDefault="00777DDD">
      <w:pPr>
        <w:pStyle w:val="ListParagraph"/>
        <w:numPr>
          <w:ilvl w:val="0"/>
          <w:numId w:val="41"/>
        </w:numPr>
        <w:autoSpaceDE w:val="0"/>
        <w:rPr>
          <w:b/>
          <w:bCs/>
        </w:rPr>
      </w:pPr>
      <w:r w:rsidRPr="00A4272B">
        <w:rPr>
          <w:b/>
          <w:bCs/>
        </w:rPr>
        <w:t>POPs in plastics and long-range transport (LRT):</w:t>
      </w:r>
    </w:p>
    <w:p w14:paraId="2C63B135" w14:textId="7FC2FB35" w:rsidR="00777DDD" w:rsidRPr="00A4272B" w:rsidRDefault="00777DDD" w:rsidP="00777DDD">
      <w:pPr>
        <w:autoSpaceDE w:val="0"/>
        <w:ind w:left="720"/>
        <w:rPr>
          <w:lang w:val="en-US"/>
        </w:rPr>
      </w:pPr>
      <w:r w:rsidRPr="00A4272B">
        <w:rPr>
          <w:lang w:val="en-US"/>
        </w:rPr>
        <w:t>The POPs Review Committee established an intersessional working group in 2021 to study LRT assessments under Annex D of the Stockholm Convention. The group produced a comprehensive draft document on long-range environmental transport (UNEP/POPS/POPRC.19/INF/14/Rev.1), incorporating recent literature on the potential role of microplastics as vectors for LRT of polymer additives. POPRC recommends using this document as an information resource in future evaluations for chemical listings, with updates as needed (POPRC-19/5)</w:t>
      </w:r>
      <w:r w:rsidR="003F50B4" w:rsidRPr="00A4272B">
        <w:rPr>
          <w:lang w:val="en-US"/>
        </w:rPr>
        <w:t>;</w:t>
      </w:r>
    </w:p>
    <w:p w14:paraId="262358FD" w14:textId="0CD75A51" w:rsidR="00777DDD" w:rsidRPr="00A4272B" w:rsidRDefault="00777DDD">
      <w:pPr>
        <w:pStyle w:val="ListParagraph"/>
        <w:numPr>
          <w:ilvl w:val="0"/>
          <w:numId w:val="41"/>
        </w:numPr>
        <w:autoSpaceDE w:val="0"/>
        <w:rPr>
          <w:b/>
          <w:bCs/>
        </w:rPr>
      </w:pPr>
      <w:r w:rsidRPr="00A4272B">
        <w:rPr>
          <w:b/>
          <w:bCs/>
        </w:rPr>
        <w:t>Precipitation and ice core data for water-</w:t>
      </w:r>
      <w:r w:rsidR="006D058E" w:rsidRPr="00A4272B">
        <w:rPr>
          <w:b/>
          <w:bCs/>
        </w:rPr>
        <w:t xml:space="preserve">soluble </w:t>
      </w:r>
      <w:r w:rsidRPr="00A4272B">
        <w:rPr>
          <w:b/>
          <w:bCs/>
        </w:rPr>
        <w:t>POPs:</w:t>
      </w:r>
    </w:p>
    <w:p w14:paraId="07921C25" w14:textId="1B9AF336" w:rsidR="00777DDD" w:rsidRPr="00A4272B" w:rsidRDefault="00777DDD" w:rsidP="00777DDD">
      <w:pPr>
        <w:autoSpaceDE w:val="0"/>
        <w:ind w:left="720"/>
        <w:rPr>
          <w:lang w:val="en-US"/>
        </w:rPr>
      </w:pPr>
      <w:r w:rsidRPr="00A4272B">
        <w:rPr>
          <w:lang w:val="en-US"/>
        </w:rPr>
        <w:t xml:space="preserve">For PFASs and other water-soluble POPs that are less prevalent in air, monitoring levels in precipitation and ice/firn cores can help address data gaps in the GMP reporting. Some long-term monitoring </w:t>
      </w:r>
      <w:r w:rsidR="00AF4A1F" w:rsidRPr="00A4272B">
        <w:rPr>
          <w:lang w:val="en-US"/>
        </w:rPr>
        <w:t>programmes,</w:t>
      </w:r>
      <w:r w:rsidRPr="00A4272B">
        <w:rPr>
          <w:lang w:val="en-US"/>
        </w:rPr>
        <w:t xml:space="preserve"> often collocated with air measurements, already include precipitation data for POPs (including PFASs). Multi-year datasets now support time-trend analysis, such as the trends from 2006 to 2018 reported under Canada’s Great Lakes Basin Monitoring and Surveillance </w:t>
      </w:r>
      <w:r w:rsidR="002A6D39" w:rsidRPr="00A4272B">
        <w:rPr>
          <w:lang w:val="en-US"/>
        </w:rPr>
        <w:t xml:space="preserve">Programme </w:t>
      </w:r>
      <w:r w:rsidRPr="00A4272B">
        <w:rPr>
          <w:lang w:val="en-US"/>
        </w:rPr>
        <w:t>(Gewurtz et al., 2019) and recent PFAS measurements in the U.S. Great Lakes through the Integrated Atmospheric Deposition Network (IADN) since 2020. At the Swedish EMEP station of Råö, PFOS concentrations in precipitation showed a decreasing trend from 2009 to 2019 (Fredricsson et al., 2021).</w:t>
      </w:r>
    </w:p>
    <w:p w14:paraId="0B4E5B69" w14:textId="77777777" w:rsidR="00777DDD" w:rsidRPr="00A4272B" w:rsidRDefault="00777DDD" w:rsidP="00777DDD">
      <w:pPr>
        <w:autoSpaceDE w:val="0"/>
        <w:ind w:left="720"/>
        <w:rPr>
          <w:lang w:val="en-US"/>
        </w:rPr>
      </w:pPr>
      <w:r w:rsidRPr="00A4272B">
        <w:rPr>
          <w:lang w:val="en-US"/>
        </w:rPr>
        <w:t>Ice and firn cores collected from remote glaciers provide valuable historical records of atmospheric POP deposition. For instance, Pickard et al. (2018, 2020) reported multi-decadal PFAS deposition trends from an ice core collected at the Devon Ice Cap in Nunavut, Canada, covering 1977 to 2015. Garnett et al. (2022) documented PFAS fluxes from a firn core collected in Dronning Maud Land, Antarctica, representing deposition from 1958 to 2017. Such precipitation and ice core records, alongside air monitoring station data, are essential for understanding long-term trends in the atmospheric transport and deposition of water-soluble POPs.</w:t>
      </w:r>
    </w:p>
    <w:p w14:paraId="1CCE983E" w14:textId="659A4D61" w:rsidR="00F3536C" w:rsidRPr="00A4272B" w:rsidRDefault="001F665D" w:rsidP="00817D9F">
      <w:pPr>
        <w:pStyle w:val="Heading3"/>
        <w:rPr>
          <w:rFonts w:hint="eastAsia"/>
          <w:sz w:val="22"/>
          <w:szCs w:val="22"/>
        </w:rPr>
      </w:pPr>
      <w:bookmarkStart w:id="108" w:name="_Toc535584332"/>
      <w:bookmarkStart w:id="109" w:name="_Toc531638"/>
      <w:bookmarkStart w:id="110" w:name="_Toc532158"/>
      <w:bookmarkStart w:id="111" w:name="_Toc532371"/>
      <w:bookmarkStart w:id="112" w:name="_Toc1467872"/>
      <w:bookmarkStart w:id="113" w:name="_Toc1468045"/>
      <w:bookmarkStart w:id="114" w:name="_Toc1483929"/>
      <w:bookmarkStart w:id="115" w:name="_Toc65306473"/>
      <w:bookmarkStart w:id="116" w:name="_Toc187270484"/>
      <w:r w:rsidRPr="00A4272B">
        <w:lastRenderedPageBreak/>
        <w:t>4</w:t>
      </w:r>
      <w:r w:rsidR="00F3536C" w:rsidRPr="00A4272B">
        <w:t>.1.2</w:t>
      </w:r>
      <w:r w:rsidR="00F3536C" w:rsidRPr="00A4272B">
        <w:tab/>
        <w:t xml:space="preserve">Sample </w:t>
      </w:r>
      <w:r w:rsidR="006D058E" w:rsidRPr="00A4272B">
        <w:t>m</w:t>
      </w:r>
      <w:r w:rsidR="00F3536C" w:rsidRPr="00A4272B">
        <w:t>atrix</w:t>
      </w:r>
      <w:bookmarkEnd w:id="108"/>
      <w:bookmarkEnd w:id="109"/>
      <w:bookmarkEnd w:id="110"/>
      <w:bookmarkEnd w:id="111"/>
      <w:bookmarkEnd w:id="112"/>
      <w:bookmarkEnd w:id="113"/>
      <w:bookmarkEnd w:id="114"/>
      <w:bookmarkEnd w:id="115"/>
      <w:bookmarkEnd w:id="116"/>
    </w:p>
    <w:p w14:paraId="3CB355EB" w14:textId="57D06108" w:rsidR="00F3536C" w:rsidRPr="00A4272B" w:rsidRDefault="007C6054" w:rsidP="009755CA">
      <w:pPr>
        <w:autoSpaceDE w:val="0"/>
        <w:rPr>
          <w:rFonts w:ascii="TimesNewRoman" w:hAnsi="TimesNewRoman" w:cs="TimesNewRoman"/>
          <w:b/>
          <w:color w:val="000000"/>
          <w:lang w:val="en-US"/>
        </w:rPr>
      </w:pPr>
      <w:r w:rsidRPr="00A4272B">
        <w:rPr>
          <w:lang w:val="en-US"/>
        </w:rPr>
        <w:t xml:space="preserve">Ambient air, comprising both gaseous chemicals and chemicals bound to particles, is a crucial matrix for monitoring because it responds quickly to changes in emissions, is relatively well-mixed, serves as an entry point into food chains, and acts as a global transport medium. Air data are essential for validating atmospheric POP transport models. As noted earlier, some existing active and passive sampling networks have provided baseline data for the first and second global monitoring reports (see </w:t>
      </w:r>
      <w:r w:rsidR="009F04ED" w:rsidRPr="00A4272B">
        <w:rPr>
          <w:lang w:val="en-US"/>
        </w:rPr>
        <w:t>Figure</w:t>
      </w:r>
      <w:r w:rsidRPr="00A4272B">
        <w:rPr>
          <w:lang w:val="en-US"/>
        </w:rPr>
        <w:t xml:space="preserve"> 4.1.1).</w:t>
      </w:r>
    </w:p>
    <w:p w14:paraId="6410C1B3" w14:textId="4D731C69" w:rsidR="007C6054" w:rsidRPr="00A4272B" w:rsidRDefault="007C6054" w:rsidP="00817D9F">
      <w:pPr>
        <w:pStyle w:val="Heading4"/>
        <w:rPr>
          <w:rFonts w:hint="eastAsia"/>
        </w:rPr>
      </w:pPr>
      <w:r w:rsidRPr="00A4272B">
        <w:t>Distribution of POPs in air</w:t>
      </w:r>
    </w:p>
    <w:p w14:paraId="397EB436" w14:textId="04489D30" w:rsidR="007C6054" w:rsidRPr="00A4272B" w:rsidRDefault="007C6054" w:rsidP="009755CA">
      <w:pPr>
        <w:autoSpaceDE w:val="0"/>
        <w:rPr>
          <w:lang w:val="en-US"/>
        </w:rPr>
      </w:pPr>
      <w:r w:rsidRPr="00A4272B">
        <w:rPr>
          <w:lang w:val="en-US"/>
        </w:rPr>
        <w:t>Many POPs are semi-volatile, existing both in gaseous form and attached to particles. The proportion attached to particles increases at lower temperatures due to decreased volatility. This particle association influences a chemical’s fate and transport, as larger particles (e.g., &gt;10 µm) and fugitive dusts have higher deposition velocities, typically settling close to their emission sources within several kilometers (Lin et al., 1994). Gaseous compounds may experience varying deposition rates depending on their reactivity, whereas fine particles have the lowest deposition velocities and thus travel longer distances (Giorgi, 1988). Inhalation of fine particles is a significant exposure pathway for some POPs and can contribute to health impacts (Degrendele et al., 2014). Particle association may also increase the persistence of POPs, shielding them from degradation and enhancing their potential for long-range transport (Liu et al., 2014). The atmospheric behavior of particle-associated POPs remains an area of active research.</w:t>
      </w:r>
    </w:p>
    <w:p w14:paraId="7F67D01C" w14:textId="4EE79D89" w:rsidR="007C6054" w:rsidRPr="00A4272B" w:rsidRDefault="007C6054" w:rsidP="009755CA">
      <w:pPr>
        <w:autoSpaceDE w:val="0"/>
        <w:rPr>
          <w:lang w:val="en-US"/>
        </w:rPr>
      </w:pPr>
      <w:r w:rsidRPr="00A4272B">
        <w:rPr>
          <w:lang w:val="en-US"/>
        </w:rPr>
        <w:t>When reporting air concentrations of POPs, it is essential to distinguish between gas-phase and particle-phase results, or to indicate when both phases are measured together. Particle-phase analysis is particularly relevant for PCDD/Fs and some of the newly listed POPs under the Convention that tend to partition onto particles (e.g., PBDEs, HBCD, PFOS). Notably, polyfluorinated chemicals exhibit unique partitioning behavior compared to conventional POPs, necessitating new partitioning models for this compound class (Shoeib et al., 2005; Goss et al., 2006). Additionally, significant sampling artifacts have been identified for PFOS and related chemicals due to gas-phase sorption onto glass-fiber filters used for particle-phase sampling (Arp and Goss, 2008). Ahrens et al. (2011, 2012) provide guidance for air sampling of PFOS and related compounds, including a new partitioning model that accounts for PFOS’s ionizability (Ahrens et al., 2012).</w:t>
      </w:r>
    </w:p>
    <w:p w14:paraId="7EFDC4E5" w14:textId="586B84CB" w:rsidR="007C6054" w:rsidRPr="00A4272B" w:rsidRDefault="007C6054" w:rsidP="00817D9F">
      <w:pPr>
        <w:pStyle w:val="Heading4"/>
        <w:rPr>
          <w:rFonts w:hint="eastAsia"/>
        </w:rPr>
      </w:pPr>
      <w:r w:rsidRPr="00A4272B">
        <w:t>Sampling methods</w:t>
      </w:r>
    </w:p>
    <w:p w14:paraId="6C2E6BEA" w14:textId="318C504C" w:rsidR="007C6054" w:rsidRPr="00A4272B" w:rsidRDefault="007C6054" w:rsidP="007C6054">
      <w:pPr>
        <w:rPr>
          <w:lang w:val="en-US"/>
        </w:rPr>
      </w:pPr>
      <w:bookmarkStart w:id="117" w:name="_Toc535584333"/>
      <w:bookmarkStart w:id="118" w:name="_Toc531639"/>
      <w:bookmarkStart w:id="119" w:name="_Toc532159"/>
      <w:bookmarkStart w:id="120" w:name="_Toc532372"/>
      <w:bookmarkStart w:id="121" w:name="_Toc1467873"/>
      <w:bookmarkStart w:id="122" w:name="_Toc1468046"/>
      <w:bookmarkStart w:id="123" w:name="_Toc1483930"/>
      <w:bookmarkStart w:id="124" w:name="_Toc65306474"/>
      <w:r w:rsidRPr="00A4272B">
        <w:rPr>
          <w:lang w:val="en-US"/>
        </w:rPr>
        <w:t>Active air samplers (</w:t>
      </w:r>
      <w:r w:rsidR="009F04ED" w:rsidRPr="00A4272B">
        <w:rPr>
          <w:lang w:val="en-US"/>
        </w:rPr>
        <w:t>Figure</w:t>
      </w:r>
      <w:r w:rsidRPr="00A4272B">
        <w:rPr>
          <w:lang w:val="en-US"/>
        </w:rPr>
        <w:t xml:space="preserve"> 4.1.4) typically use a pre-filter to capture particles, which can then be extracted and analyzed separately. However, accurately measuring the particle-phase component can be challenging due to blow-off/on artifacts (Melymuk et al., 2014; Bidleman and Harner, 2000) and the degradation or instability of collected chemicals (Jariyasopit et al., 2015). Denuder samplers, which separate gas-phase chemicals first and then collect particle-phase chemicals, offer an alternative to minimize these artifacts (Lane, 1999). However, denuder samplers generally have lower volume flow rates than conventional high-volume samplers, often necessitating longer sampling times to detect trace contaminant levels.</w:t>
      </w:r>
    </w:p>
    <w:p w14:paraId="2DC98991" w14:textId="380D1F48" w:rsidR="007C6054" w:rsidRPr="00A4272B" w:rsidRDefault="007C6054" w:rsidP="007C6054">
      <w:pPr>
        <w:rPr>
          <w:b/>
          <w:bCs/>
          <w:lang w:val="en-US"/>
        </w:rPr>
      </w:pPr>
      <w:r w:rsidRPr="00A4272B">
        <w:rPr>
          <w:lang w:val="en-US"/>
        </w:rPr>
        <w:t>The PUF disk sampler (</w:t>
      </w:r>
      <w:r w:rsidR="009F04ED" w:rsidRPr="00A4272B">
        <w:rPr>
          <w:lang w:val="en-US"/>
        </w:rPr>
        <w:t>Figure</w:t>
      </w:r>
      <w:r w:rsidRPr="00A4272B">
        <w:rPr>
          <w:lang w:val="en-US"/>
        </w:rPr>
        <w:t xml:space="preserve"> 4.1.5) has proven effective for collecting both gas-phase and particle-phase POPs (Harner et al., 2014), with efficiencies comparable to high-volume air samplers (Markovic et al., 2015). This is largely due to the design of the sampler housing, which allows ambient particles to enter the sampling chamber, and the porous nature of the PUF material, which captures and retains deposited particles. Small changes in the geometry of the sampler housing have minimal impact on sampling efficiency (Melymuk et al., 2021). Different sampler types, whether active or passive, vary in particle sampling efficiency. Therefore, to maintain consistency within a </w:t>
      </w:r>
      <w:r w:rsidR="00AF4A1F" w:rsidRPr="00A4272B">
        <w:rPr>
          <w:lang w:val="en-US"/>
        </w:rPr>
        <w:t>programme,</w:t>
      </w:r>
      <w:r w:rsidRPr="00A4272B">
        <w:rPr>
          <w:lang w:val="en-US"/>
        </w:rPr>
        <w:t xml:space="preserve"> it is crucial to use the same sampler housing design across stations to ensure comparability over time and among sites. Notably, many passive air samplers (e.g., PE films, XAD samplers) primarily target gas-phase chemicals.</w:t>
      </w:r>
    </w:p>
    <w:p w14:paraId="13BB100C" w14:textId="482E2836" w:rsidR="00F3536C" w:rsidRPr="00A4272B" w:rsidRDefault="001F665D" w:rsidP="00817D9F">
      <w:pPr>
        <w:pStyle w:val="Heading3"/>
        <w:rPr>
          <w:rFonts w:hint="eastAsia"/>
          <w:color w:val="000000"/>
          <w:sz w:val="22"/>
          <w:szCs w:val="22"/>
        </w:rPr>
      </w:pPr>
      <w:bookmarkStart w:id="125" w:name="_Toc187270485"/>
      <w:r w:rsidRPr="00A4272B">
        <w:t>4</w:t>
      </w:r>
      <w:r w:rsidR="00F3536C" w:rsidRPr="00A4272B">
        <w:t>.1.3</w:t>
      </w:r>
      <w:r w:rsidR="00F3536C" w:rsidRPr="00A4272B">
        <w:tab/>
        <w:t>Sampling and sample handling</w:t>
      </w:r>
      <w:bookmarkEnd w:id="117"/>
      <w:bookmarkEnd w:id="118"/>
      <w:bookmarkEnd w:id="119"/>
      <w:bookmarkEnd w:id="120"/>
      <w:bookmarkEnd w:id="121"/>
      <w:bookmarkEnd w:id="122"/>
      <w:bookmarkEnd w:id="123"/>
      <w:bookmarkEnd w:id="124"/>
      <w:bookmarkEnd w:id="125"/>
    </w:p>
    <w:p w14:paraId="2460E805" w14:textId="26B53413" w:rsidR="007C6054" w:rsidRPr="00A4272B" w:rsidRDefault="007C6054" w:rsidP="007C6054">
      <w:pPr>
        <w:autoSpaceDE w:val="0"/>
        <w:rPr>
          <w:color w:val="000000"/>
          <w:lang w:val="en-US"/>
        </w:rPr>
      </w:pPr>
      <w:r w:rsidRPr="00A4272B">
        <w:rPr>
          <w:color w:val="000000"/>
          <w:lang w:val="en-US"/>
        </w:rPr>
        <w:t xml:space="preserve">Air sampling requires the following capacities: (1) access to active and passive air samplers, (2) trained station personnel to operate and maintain high-volume samplers, and (3) meticulous preparation of clean sampling media in laboratories for extraction and chemical analysis. Sampling methods and QA/QC procedures should ideally be adopted from existing air monitoring </w:t>
      </w:r>
      <w:r w:rsidR="002A6D39" w:rsidRPr="00A4272B">
        <w:rPr>
          <w:color w:val="000000"/>
          <w:lang w:val="en-US"/>
        </w:rPr>
        <w:t xml:space="preserve">programmes </w:t>
      </w:r>
      <w:r w:rsidRPr="00A4272B">
        <w:rPr>
          <w:color w:val="000000"/>
          <w:lang w:val="en-US"/>
        </w:rPr>
        <w:t>for POPs but must be adapted and validated for the specific conditions, concentration levels, and temperatures at sampling sites. Detailed methods for high-volume and passive sampling are outlined below. Additional sampling strategies that produce comparable data for national and regional reporting should also be considered. Indirect approaches, such as sampling vegetation (biomonitoring), deposition, and using tree rings to explore historical trends (Odabasi et al., 2015; Rauert et al., 2017), offer valuable data on environmental loadings. However, caution is advised when using these data to infer air concentration trends quantitatively.</w:t>
      </w:r>
    </w:p>
    <w:p w14:paraId="20E6204D" w14:textId="26126BBE" w:rsidR="00F3536C" w:rsidRPr="00A4272B" w:rsidRDefault="007C6054" w:rsidP="007C6054">
      <w:pPr>
        <w:autoSpaceDE w:val="0"/>
        <w:rPr>
          <w:lang w:val="en-US"/>
        </w:rPr>
      </w:pPr>
      <w:r w:rsidRPr="00A4272B">
        <w:rPr>
          <w:color w:val="000000"/>
          <w:lang w:val="en-US"/>
        </w:rPr>
        <w:t xml:space="preserve">Efforts to prevent and minimize sample contamination are particularly important for newly listed POPs. Many of these (e.g., PBDEs) are found at high concentrations in indoor environments, including laboratories where samples may be processed and stored, and near buildings that may off-gas these chemicals. Newly listed POPs may also be </w:t>
      </w:r>
      <w:r w:rsidRPr="00A4272B">
        <w:rPr>
          <w:color w:val="000000"/>
          <w:lang w:val="en-US"/>
        </w:rPr>
        <w:lastRenderedPageBreak/>
        <w:t>present in commercial products and storage vessels, potentially contributing to contamination levels. Special QA/QC considerations for newly listed POPs are discussed in Section 4.1.4 and Chapter 5.</w:t>
      </w:r>
      <w:r w:rsidR="00F3536C" w:rsidRPr="00A4272B">
        <w:rPr>
          <w:lang w:val="en-US"/>
        </w:rPr>
        <w:t xml:space="preserve"> </w:t>
      </w:r>
    </w:p>
    <w:p w14:paraId="3771F534" w14:textId="7EF3B429" w:rsidR="00F3536C" w:rsidRPr="00A4272B" w:rsidRDefault="00F3536C" w:rsidP="00817D9F">
      <w:pPr>
        <w:pStyle w:val="Heading4"/>
        <w:rPr>
          <w:rFonts w:hint="eastAsia"/>
        </w:rPr>
      </w:pPr>
      <w:bookmarkStart w:id="126" w:name="_Toc514239668"/>
      <w:bookmarkStart w:id="127" w:name="_Toc514240572"/>
      <w:bookmarkStart w:id="128" w:name="_Toc514240736"/>
      <w:bookmarkStart w:id="129" w:name="_Toc514243123"/>
      <w:bookmarkStart w:id="130" w:name="_Toc514752016"/>
      <w:bookmarkStart w:id="131" w:name="_Toc535584334"/>
      <w:bookmarkStart w:id="132" w:name="_Toc531640"/>
      <w:bookmarkStart w:id="133" w:name="_Toc532160"/>
      <w:bookmarkStart w:id="134" w:name="_Toc532373"/>
      <w:bookmarkStart w:id="135" w:name="_Toc1467874"/>
      <w:bookmarkStart w:id="136" w:name="_Toc1468047"/>
      <w:bookmarkStart w:id="137" w:name="_Toc1483931"/>
      <w:bookmarkStart w:id="138" w:name="_Toc65306475"/>
      <w:r w:rsidRPr="00A4272B">
        <w:t>High volume sampling</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29D88D74" w14:textId="35821D23" w:rsidR="00F3536C" w:rsidRPr="00A4272B" w:rsidRDefault="007C6054" w:rsidP="009C6EC7">
      <w:pPr>
        <w:autoSpaceDE w:val="0"/>
        <w:rPr>
          <w:lang w:val="en-US"/>
        </w:rPr>
      </w:pPr>
      <w:r w:rsidRPr="00A4272B">
        <w:rPr>
          <w:lang w:val="en-US"/>
        </w:rPr>
        <w:t xml:space="preserve">Networks using high-volume air samplers to measure atmospheric POPs are summarized in Figure 4.1.1. These networks typically use sampling heads with size-selective inlets to collect particles below a set threshold, often particles smaller than 10 micrometers in diameter. Sampling should follow the techniques employed by routine long-term monitoring networks in temperate and cold climates (e.g., Fellin et al., 1996; Environment Canada, 1994) and in subtropical to tropical regions (e.g., Ministry of the Environment of Japan and the National Institute for Environmental Studies). These organizations recommend separating particles from gases by using glass fiber filters in series with two gas absorbents. The choice of absorbents should be tailored to meet the needs of the regional monitoring </w:t>
      </w:r>
      <w:r w:rsidR="002A6D39" w:rsidRPr="00A4272B">
        <w:rPr>
          <w:lang w:val="en-US"/>
        </w:rPr>
        <w:t xml:space="preserve">programme </w:t>
      </w:r>
      <w:r w:rsidRPr="00A4272B">
        <w:rPr>
          <w:lang w:val="en-US"/>
        </w:rPr>
        <w:t>and target analytes (e.g., PUF, XAD, XAD-PUF, activated carbon felt). A schematic of a typical high-volume system is shown in Figure 4.1.4, and samplers are available from various suppliers.</w:t>
      </w:r>
      <w:r w:rsidR="00F3536C" w:rsidRPr="00A4272B">
        <w:rPr>
          <w:lang w:val="en-US"/>
        </w:rPr>
        <w:t xml:space="preserve"> </w:t>
      </w:r>
    </w:p>
    <w:p w14:paraId="73B77281" w14:textId="66BBBEF8" w:rsidR="00F3536C" w:rsidRPr="00A4272B" w:rsidRDefault="00362F5F" w:rsidP="009C6EC7">
      <w:pPr>
        <w:autoSpaceDE w:val="0"/>
        <w:rPr>
          <w:lang w:val="en-US"/>
        </w:rPr>
      </w:pPr>
      <w:r w:rsidRPr="00A4272B">
        <w:rPr>
          <w:noProof/>
          <w:sz w:val="22"/>
          <w:szCs w:val="22"/>
          <w:lang w:val="en-US"/>
        </w:rPr>
        <w:drawing>
          <wp:inline distT="0" distB="0" distL="0" distR="0" wp14:anchorId="4B9A2FEC" wp14:editId="224C1E94">
            <wp:extent cx="5600700" cy="3590925"/>
            <wp:effectExtent l="0" t="0" r="0" b="9525"/>
            <wp:docPr id="15" name="Picture 15"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machi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3590925"/>
                    </a:xfrm>
                    <a:prstGeom prst="rect">
                      <a:avLst/>
                    </a:prstGeom>
                    <a:solidFill>
                      <a:srgbClr val="FFFFFF"/>
                    </a:solidFill>
                    <a:ln>
                      <a:noFill/>
                    </a:ln>
                  </pic:spPr>
                </pic:pic>
              </a:graphicData>
            </a:graphic>
          </wp:inline>
        </w:drawing>
      </w:r>
    </w:p>
    <w:p w14:paraId="5FB0B71F" w14:textId="41ACEA3F" w:rsidR="00F3536C" w:rsidRPr="00A4272B" w:rsidRDefault="007C6054" w:rsidP="009C6EC7">
      <w:pPr>
        <w:autoSpaceDE w:val="0"/>
        <w:rPr>
          <w:b/>
          <w:lang w:val="en-US"/>
        </w:rPr>
      </w:pPr>
      <w:r w:rsidRPr="00A4272B">
        <w:rPr>
          <w:b/>
          <w:lang w:val="en-US"/>
        </w:rPr>
        <w:t xml:space="preserve">Figure 4.1.4: Schematic of a typical active air sampler (high-volume air sampler). </w:t>
      </w:r>
      <w:r w:rsidR="00D66BAA" w:rsidRPr="00A4272B">
        <w:rPr>
          <w:bCs/>
          <w:sz w:val="18"/>
          <w:szCs w:val="18"/>
          <w:lang w:val="en-US"/>
        </w:rPr>
        <w:t>(</w:t>
      </w:r>
      <w:r w:rsidRPr="00A4272B">
        <w:rPr>
          <w:bCs/>
          <w:sz w:val="18"/>
          <w:szCs w:val="18"/>
          <w:lang w:val="en-US"/>
        </w:rPr>
        <w:t>Common particle collection substrates include glass fiber filters (GFF) or quartz filters, while typical gas-phase sorbents consist of PUF and XAD-resin, or a combination of both</w:t>
      </w:r>
      <w:r w:rsidR="00F3536C" w:rsidRPr="00A4272B">
        <w:rPr>
          <w:bCs/>
          <w:sz w:val="18"/>
          <w:szCs w:val="18"/>
          <w:lang w:val="en-US"/>
        </w:rPr>
        <w:t>.</w:t>
      </w:r>
      <w:r w:rsidR="00D66BAA" w:rsidRPr="00A4272B">
        <w:rPr>
          <w:bCs/>
          <w:sz w:val="18"/>
          <w:szCs w:val="18"/>
          <w:lang w:val="en-US"/>
        </w:rPr>
        <w:t>)</w:t>
      </w:r>
    </w:p>
    <w:p w14:paraId="46E4ED1C" w14:textId="77777777" w:rsidR="007C6054" w:rsidRPr="00A4272B" w:rsidRDefault="007C6054" w:rsidP="007C6054">
      <w:pPr>
        <w:autoSpaceDE w:val="0"/>
        <w:rPr>
          <w:lang w:val="en-US"/>
        </w:rPr>
      </w:pPr>
      <w:bookmarkStart w:id="139" w:name="_Toc65306476"/>
      <w:r w:rsidRPr="00A4272B">
        <w:rPr>
          <w:lang w:val="en-US"/>
        </w:rPr>
        <w:t>Various configurations are available for long-term measurements, and selection should be guided by experienced experts planning a regional study:</w:t>
      </w:r>
    </w:p>
    <w:p w14:paraId="6C037AC7" w14:textId="6E80BBF1" w:rsidR="007C6054" w:rsidRPr="00A4272B" w:rsidRDefault="00651D61">
      <w:pPr>
        <w:pStyle w:val="ListParagraph"/>
        <w:numPr>
          <w:ilvl w:val="0"/>
          <w:numId w:val="43"/>
        </w:numPr>
        <w:autoSpaceDE w:val="0"/>
      </w:pPr>
      <w:r w:rsidRPr="00A4272B">
        <w:rPr>
          <w:b/>
          <w:bCs/>
        </w:rPr>
        <w:t xml:space="preserve">Particle-phase collection: </w:t>
      </w:r>
      <w:r w:rsidR="007C6054" w:rsidRPr="00A4272B">
        <w:t>Glass or quartz fiber filters are typically used. Teflon filters are not recommended due to contamination concerns with PFOS and related compounds</w:t>
      </w:r>
      <w:r w:rsidR="003F50B4" w:rsidRPr="00A4272B">
        <w:t>;</w:t>
      </w:r>
    </w:p>
    <w:p w14:paraId="2273B4E7" w14:textId="77777777" w:rsidR="00651D61" w:rsidRPr="00A4272B" w:rsidRDefault="00651D61">
      <w:pPr>
        <w:pStyle w:val="ListParagraph"/>
        <w:numPr>
          <w:ilvl w:val="0"/>
          <w:numId w:val="43"/>
        </w:numPr>
        <w:autoSpaceDE w:val="0"/>
        <w:rPr>
          <w:b/>
          <w:bCs/>
        </w:rPr>
      </w:pPr>
      <w:r w:rsidRPr="00A4272B">
        <w:rPr>
          <w:b/>
          <w:bCs/>
        </w:rPr>
        <w:t>Gas-phase collection:</w:t>
      </w:r>
    </w:p>
    <w:p w14:paraId="113A2E3F" w14:textId="187C9958" w:rsidR="00651D61" w:rsidRPr="00A4272B" w:rsidRDefault="007C6054">
      <w:pPr>
        <w:pStyle w:val="ListParagraph"/>
        <w:numPr>
          <w:ilvl w:val="1"/>
          <w:numId w:val="43"/>
        </w:numPr>
        <w:autoSpaceDE w:val="0"/>
        <w:rPr>
          <w:b/>
          <w:bCs/>
        </w:rPr>
      </w:pPr>
      <w:r w:rsidRPr="00A4272B">
        <w:rPr>
          <w:b/>
          <w:bCs/>
        </w:rPr>
        <w:t xml:space="preserve">Two PUF </w:t>
      </w:r>
      <w:r w:rsidR="00651D61" w:rsidRPr="00A4272B">
        <w:rPr>
          <w:b/>
          <w:bCs/>
        </w:rPr>
        <w:t>p</w:t>
      </w:r>
      <w:r w:rsidRPr="00A4272B">
        <w:rPr>
          <w:b/>
          <w:bCs/>
        </w:rPr>
        <w:t>lugs:</w:t>
      </w:r>
      <w:r w:rsidRPr="00A4272B">
        <w:t xml:space="preserve"> Suitable for most compounds, but may not effectively capture highly volatile chemicals (e.g., chlorobenzenes), particularly in warm conditions; shorter sampling times are advised</w:t>
      </w:r>
      <w:r w:rsidR="003F50B4" w:rsidRPr="00A4272B">
        <w:t>;</w:t>
      </w:r>
    </w:p>
    <w:p w14:paraId="2591FEB6" w14:textId="2D41EE13" w:rsidR="00651D61" w:rsidRPr="00A4272B" w:rsidRDefault="007C6054">
      <w:pPr>
        <w:pStyle w:val="ListParagraph"/>
        <w:numPr>
          <w:ilvl w:val="1"/>
          <w:numId w:val="43"/>
        </w:numPr>
        <w:autoSpaceDE w:val="0"/>
        <w:rPr>
          <w:b/>
          <w:bCs/>
        </w:rPr>
      </w:pPr>
      <w:r w:rsidRPr="00A4272B">
        <w:rPr>
          <w:b/>
          <w:bCs/>
        </w:rPr>
        <w:t xml:space="preserve">XAD </w:t>
      </w:r>
      <w:r w:rsidR="00651D61" w:rsidRPr="00A4272B">
        <w:rPr>
          <w:b/>
          <w:bCs/>
        </w:rPr>
        <w:t>r</w:t>
      </w:r>
      <w:r w:rsidRPr="00A4272B">
        <w:rPr>
          <w:b/>
          <w:bCs/>
        </w:rPr>
        <w:t xml:space="preserve">esin or PUF/XAD </w:t>
      </w:r>
      <w:r w:rsidR="00651D61" w:rsidRPr="00A4272B">
        <w:rPr>
          <w:b/>
          <w:bCs/>
        </w:rPr>
        <w:t>c</w:t>
      </w:r>
      <w:r w:rsidRPr="00A4272B">
        <w:rPr>
          <w:b/>
          <w:bCs/>
        </w:rPr>
        <w:t>ombination:</w:t>
      </w:r>
      <w:r w:rsidRPr="00A4272B">
        <w:t xml:space="preserve"> Both media are generally extracted and analyzed together to capture a broader range of compounds</w:t>
      </w:r>
      <w:r w:rsidR="003F50B4" w:rsidRPr="00A4272B">
        <w:t>;</w:t>
      </w:r>
    </w:p>
    <w:p w14:paraId="1FB6F122" w14:textId="2F0B3291" w:rsidR="007C6054" w:rsidRPr="00A4272B" w:rsidRDefault="00651D61">
      <w:pPr>
        <w:pStyle w:val="ListParagraph"/>
        <w:numPr>
          <w:ilvl w:val="1"/>
          <w:numId w:val="43"/>
        </w:numPr>
        <w:autoSpaceDE w:val="0"/>
        <w:rPr>
          <w:b/>
          <w:bCs/>
        </w:rPr>
      </w:pPr>
      <w:r w:rsidRPr="00A4272B">
        <w:rPr>
          <w:b/>
          <w:bCs/>
        </w:rPr>
        <w:t>PUF followed by activated carbon fiber felt disks:</w:t>
      </w:r>
      <w:r w:rsidRPr="00A4272B">
        <w:t xml:space="preserve"> </w:t>
      </w:r>
      <w:r w:rsidR="007C6054" w:rsidRPr="00A4272B">
        <w:t>This setup improves capture efficiency for more volatile and polar compounds.</w:t>
      </w:r>
    </w:p>
    <w:p w14:paraId="02052F10" w14:textId="484D700E" w:rsidR="00A41632" w:rsidRPr="00A4272B" w:rsidRDefault="007C6054" w:rsidP="007C6054">
      <w:pPr>
        <w:autoSpaceDE w:val="0"/>
        <w:rPr>
          <w:lang w:val="en-US"/>
        </w:rPr>
      </w:pPr>
      <w:r w:rsidRPr="00A4272B">
        <w:rPr>
          <w:lang w:val="en-US"/>
        </w:rPr>
        <w:t>Using two sorbents is recommended to periodically check for breakthrough losses and to reduce substantial losses of volatile compounds (e.g., HCB) in warmer climates. Adding high-capacity sorbents like XAD and activated carbon can improve efficiency but may also result in higher blank values and make extraction/cleaning more challenging. The need for low blank levels should be balanced against the sorptive capacity requirements of the sampling matrix</w:t>
      </w:r>
      <w:r w:rsidR="00F3536C" w:rsidRPr="00A4272B">
        <w:rPr>
          <w:lang w:val="en-US"/>
        </w:rPr>
        <w:t>.</w:t>
      </w:r>
      <w:bookmarkStart w:id="140" w:name="_Toc514239669"/>
      <w:bookmarkStart w:id="141" w:name="_Toc514240573"/>
      <w:bookmarkStart w:id="142" w:name="_Toc514240737"/>
      <w:bookmarkStart w:id="143" w:name="_Toc514243124"/>
      <w:bookmarkStart w:id="144" w:name="_Toc514752017"/>
      <w:bookmarkStart w:id="145" w:name="_Toc535584335"/>
      <w:bookmarkStart w:id="146" w:name="_Toc531641"/>
      <w:bookmarkStart w:id="147" w:name="_Toc532161"/>
      <w:bookmarkStart w:id="148" w:name="_Toc532374"/>
      <w:bookmarkStart w:id="149" w:name="_Toc1467875"/>
      <w:bookmarkStart w:id="150" w:name="_Toc1468048"/>
      <w:bookmarkStart w:id="151" w:name="_Toc1483932"/>
    </w:p>
    <w:p w14:paraId="6AE4C396" w14:textId="08D7C249" w:rsidR="00651D61" w:rsidRPr="00A4272B" w:rsidRDefault="00651D61" w:rsidP="00651D61">
      <w:pPr>
        <w:autoSpaceDE w:val="0"/>
        <w:rPr>
          <w:b/>
          <w:bCs/>
          <w:i/>
          <w:iCs/>
          <w:lang w:val="en-US"/>
        </w:rPr>
      </w:pPr>
      <w:r w:rsidRPr="00A4272B">
        <w:rPr>
          <w:b/>
          <w:bCs/>
          <w:i/>
          <w:iCs/>
          <w:lang w:val="en-US"/>
        </w:rPr>
        <w:lastRenderedPageBreak/>
        <w:t>Sampling schedule</w:t>
      </w:r>
    </w:p>
    <w:p w14:paraId="2894096F" w14:textId="653033B9" w:rsidR="007C6054" w:rsidRPr="00A4272B" w:rsidRDefault="00651D61" w:rsidP="00651D61">
      <w:pPr>
        <w:autoSpaceDE w:val="0"/>
        <w:rPr>
          <w:lang w:val="en-US"/>
        </w:rPr>
      </w:pPr>
      <w:r w:rsidRPr="00A4272B">
        <w:rPr>
          <w:lang w:val="en-US"/>
        </w:rPr>
        <w:t>The sampling frequency should be carefully considered based on budget and project requirements. Samples may be collected intermittently (e.g., weekly or biweekly) or continuously (integrated weekly) with attention to minimizing analyte breakthrough. Breakthrough can be minimized by using a higher-capacity sorbent for gas-phase collection or by reducing air sample volumes. In colder ambient temperatures, the sorptive capacity of the sampling matrix increases significantly, roughly tripling with every 10°C drop. Recommendations for handling breakthrough in air sampling are available in Bidleman et al. (2018)</w:t>
      </w:r>
    </w:p>
    <w:p w14:paraId="07953C97" w14:textId="1EEE6310" w:rsidR="00651D61" w:rsidRPr="00A4272B" w:rsidRDefault="00651D61" w:rsidP="00651D61">
      <w:pPr>
        <w:autoSpaceDE w:val="0"/>
        <w:rPr>
          <w:b/>
          <w:bCs/>
          <w:i/>
          <w:iCs/>
          <w:lang w:val="en-US"/>
        </w:rPr>
      </w:pPr>
      <w:r w:rsidRPr="00A4272B">
        <w:rPr>
          <w:b/>
          <w:bCs/>
          <w:i/>
          <w:iCs/>
          <w:lang w:val="en-US"/>
        </w:rPr>
        <w:t>Field blanks</w:t>
      </w:r>
    </w:p>
    <w:p w14:paraId="1B2FAAEF" w14:textId="77777777" w:rsidR="00651D61" w:rsidRPr="00A4272B" w:rsidRDefault="00651D61" w:rsidP="00651D61">
      <w:pPr>
        <w:autoSpaceDE w:val="0"/>
        <w:rPr>
          <w:lang w:val="en-US"/>
        </w:rPr>
      </w:pPr>
      <w:r w:rsidRPr="00A4272B">
        <w:rPr>
          <w:lang w:val="en-US"/>
        </w:rPr>
        <w:t>Field blanks should be collected regularly (e.g., every few samples) and treated identically to actual samples, including placement in the sampler housing, but without drawing air through them. In some instances, a brief air draw (seconds to minutes) through the blank is used. Method detection limits (MDLs) are typically based on analyte levels in blanks rather than solely on the analytical instrument's sensitivity (see Section 4.1.4).</w:t>
      </w:r>
    </w:p>
    <w:p w14:paraId="29B89D83" w14:textId="41114CE0" w:rsidR="00651D61" w:rsidRPr="00A4272B" w:rsidRDefault="00651D61" w:rsidP="00651D61">
      <w:pPr>
        <w:autoSpaceDE w:val="0"/>
        <w:rPr>
          <w:b/>
          <w:bCs/>
          <w:i/>
          <w:iCs/>
          <w:lang w:val="en-US"/>
        </w:rPr>
      </w:pPr>
      <w:r w:rsidRPr="00A4272B">
        <w:rPr>
          <w:b/>
          <w:bCs/>
          <w:i/>
          <w:iCs/>
          <w:lang w:val="en-US"/>
        </w:rPr>
        <w:t>Sample and blank preparation</w:t>
      </w:r>
    </w:p>
    <w:p w14:paraId="76703F81" w14:textId="77777777" w:rsidR="00651D61" w:rsidRPr="00A4272B" w:rsidRDefault="00651D61" w:rsidP="00651D61">
      <w:pPr>
        <w:autoSpaceDE w:val="0"/>
        <w:rPr>
          <w:lang w:val="en-US"/>
        </w:rPr>
      </w:pPr>
      <w:r w:rsidRPr="00A4272B">
        <w:rPr>
          <w:lang w:val="en-US"/>
        </w:rPr>
        <w:t>All sorbents should be pre-cleaned before sampling, and filters are generally pre-treated by high-temperature baking. Sampling heads should be set up in an environment that minimizes contamination and volatilization losses. Many POPs are semi-volatile and may evaporate from the sampling media if warmed above ambient temperatures. After sampling, both samples and field blanks should be extracted using appropriate solvents (e.g., hexane and dichloromethane are common choices). Although Soxhlet extraction is widely used, other techniques such as accelerated solvent extraction, microwave extraction, and sonication are also employed depending on the target compounds. Extracts are concentrated before analysis, and a portion is often archived to allow for potential future reanalysis, especially as analytical techniques evolve and new POPs are identified. Specimen banking is discussed further in Chapter 8.</w:t>
      </w:r>
    </w:p>
    <w:p w14:paraId="632FBDB5" w14:textId="58DF5E13" w:rsidR="00F3536C" w:rsidRPr="00A4272B" w:rsidRDefault="00F3536C" w:rsidP="00817D9F">
      <w:pPr>
        <w:pStyle w:val="Heading4"/>
        <w:rPr>
          <w:rFonts w:hint="eastAsia"/>
        </w:rPr>
      </w:pPr>
      <w:r w:rsidRPr="00A4272B">
        <w:t>Passive sampling</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59BE92AA" w14:textId="014851E5" w:rsidR="00362F5F" w:rsidRPr="00A4272B" w:rsidRDefault="00362F5F" w:rsidP="00362F5F">
      <w:pPr>
        <w:autoSpaceDE w:val="0"/>
        <w:rPr>
          <w:lang w:val="en-US"/>
        </w:rPr>
      </w:pPr>
      <w:r w:rsidRPr="00A4272B">
        <w:rPr>
          <w:lang w:val="en-US"/>
        </w:rPr>
        <w:t>Several centralized passive air sampling networks contribute regionally and globally consistent data on POPs to the GMP, targeting new priority chemicals in air. Due to their low cost and simplicity, passive air sampling has become widely adopted for filling data gaps, assessing spatial trends, and studying long-range POP transport. Researchers can find up-to-date information on these networks and their data in the GMP database (pops-gmp.org) and GENASIS (genasis.cz). Key passive air sampling networks contributing to the GMP are summarized below:</w:t>
      </w:r>
    </w:p>
    <w:p w14:paraId="7C0A9B70" w14:textId="77777777" w:rsidR="00362F5F" w:rsidRPr="00A4272B" w:rsidRDefault="00362F5F">
      <w:pPr>
        <w:numPr>
          <w:ilvl w:val="0"/>
          <w:numId w:val="44"/>
        </w:numPr>
        <w:autoSpaceDE w:val="0"/>
        <w:rPr>
          <w:lang w:val="en-US"/>
        </w:rPr>
      </w:pPr>
      <w:r w:rsidRPr="00A4272B">
        <w:rPr>
          <w:b/>
          <w:bCs/>
          <w:lang w:val="en-US"/>
        </w:rPr>
        <w:t>GAPS Network</w:t>
      </w:r>
      <w:r w:rsidRPr="00A4272B">
        <w:rPr>
          <w:lang w:val="en-US"/>
        </w:rPr>
        <w:t xml:space="preserve"> (</w:t>
      </w:r>
      <w:hyperlink r:id="rId30" w:tgtFrame="_new" w:history="1">
        <w:r w:rsidRPr="00A4272B">
          <w:rPr>
            <w:rStyle w:val="Hyperlink"/>
            <w:lang w:val="en-US"/>
          </w:rPr>
          <w:t>GAPS on Twitter</w:t>
        </w:r>
      </w:hyperlink>
      <w:r w:rsidRPr="00A4272B">
        <w:rPr>
          <w:lang w:val="en-US"/>
        </w:rPr>
        <w:t xml:space="preserve">; </w:t>
      </w:r>
      <w:hyperlink r:id="rId31" w:tgtFrame="_new" w:history="1">
        <w:r w:rsidRPr="00A4272B">
          <w:rPr>
            <w:rStyle w:val="Hyperlink"/>
            <w:lang w:val="en-US"/>
          </w:rPr>
          <w:t>Canada ECCC</w:t>
        </w:r>
      </w:hyperlink>
      <w:r w:rsidRPr="00A4272B">
        <w:rPr>
          <w:lang w:val="en-US"/>
        </w:rPr>
        <w:t>)</w:t>
      </w:r>
      <w:r w:rsidRPr="00A4272B">
        <w:rPr>
          <w:lang w:val="en-US"/>
        </w:rPr>
        <w:br/>
        <w:t>The Global Atmospheric Passive Sampling (GAPS) Network, operational since 2002, started with seven pilot sites and expanded in 2005 to over 50 sites across all seven continents, now including 60+ sites. PUF disk samplers (Figure 4.1.5) are deployed quarterly at each site, with Sorbent Impregnated PUF (SIP) disks (Figure 4.1.7) deployed biennially since 2009 to detect volatile POPs. Yearly XAD sampler deployment occurs at around 20 sites. Publications include Harner et al. (2006) and Schuster et al. (2015, 2021, 2023), among others.</w:t>
      </w:r>
    </w:p>
    <w:p w14:paraId="1F18C890" w14:textId="079B428D" w:rsidR="00362F5F" w:rsidRPr="00A4272B" w:rsidRDefault="00362F5F" w:rsidP="00362F5F">
      <w:pPr>
        <w:autoSpaceDE w:val="0"/>
        <w:ind w:left="720"/>
        <w:rPr>
          <w:lang w:val="en-US"/>
        </w:rPr>
      </w:pPr>
      <w:r w:rsidRPr="00A4272B">
        <w:rPr>
          <w:lang w:val="en-US"/>
        </w:rPr>
        <w:t>In 2018, GAPS launched a Megacities project to monitor POPs and emerging chemicals in urban areas, focusing on cities as potential sources. Passive samplers are deployed in 23 cities, typically in background areas representative of various sources. This project supports studies on chemical mixtures in air and health risk assessment (Saini et al., 2020; Johannessen et al., 2022)</w:t>
      </w:r>
      <w:r w:rsidR="003F50B4" w:rsidRPr="00A4272B">
        <w:rPr>
          <w:lang w:val="en-US"/>
        </w:rPr>
        <w:t>;</w:t>
      </w:r>
    </w:p>
    <w:p w14:paraId="14D30538" w14:textId="3C4FB438" w:rsidR="00362F5F" w:rsidRPr="00A4272B" w:rsidRDefault="00362F5F">
      <w:pPr>
        <w:numPr>
          <w:ilvl w:val="0"/>
          <w:numId w:val="44"/>
        </w:numPr>
        <w:autoSpaceDE w:val="0"/>
        <w:rPr>
          <w:lang w:val="en-US"/>
        </w:rPr>
      </w:pPr>
      <w:r w:rsidRPr="00A4272B">
        <w:rPr>
          <w:b/>
          <w:bCs/>
          <w:lang w:val="en-US"/>
        </w:rPr>
        <w:t>MONET</w:t>
      </w:r>
      <w:r w:rsidRPr="00A4272B">
        <w:rPr>
          <w:lang w:val="en-US"/>
        </w:rPr>
        <w:t xml:space="preserve"> (</w:t>
      </w:r>
      <w:hyperlink r:id="rId32" w:anchor="/outdoor/spatial-distribution#project@116,117,118,119" w:tgtFrame="_new" w:history="1">
        <w:r w:rsidRPr="00A4272B">
          <w:rPr>
            <w:rStyle w:val="Hyperlink"/>
            <w:lang w:val="en-US"/>
          </w:rPr>
          <w:t>GENASIS data</w:t>
        </w:r>
      </w:hyperlink>
      <w:r w:rsidRPr="00A4272B">
        <w:rPr>
          <w:lang w:val="en-US"/>
        </w:rPr>
        <w:t>)</w:t>
      </w:r>
      <w:r w:rsidRPr="00A4272B">
        <w:rPr>
          <w:lang w:val="en-US"/>
        </w:rPr>
        <w:br/>
        <w:t xml:space="preserve">The Monitoring Networks (MONET) </w:t>
      </w:r>
      <w:r w:rsidR="00AF4A1F" w:rsidRPr="00A4272B">
        <w:rPr>
          <w:lang w:val="en-US"/>
        </w:rPr>
        <w:t>programme,</w:t>
      </w:r>
      <w:r w:rsidRPr="00A4272B">
        <w:rPr>
          <w:lang w:val="en-US"/>
        </w:rPr>
        <w:t xml:space="preserve"> originating from the EMEP super site in Košetice, has used PUF-PAS (passive air samplers) alongside high-volume samplers since 2003, providing critical calibration data. Initially focused on Central and Eastern Europe, MONET expanded to Asia and Africa in 2008 and now includes sites across Africa, Asia, and Europe. Long-term data at monthly/quarterly resolution is accessible via the GENASIS data warehouse. Key publications include Zencak et al. (2007) and Holt et al. (2017)</w:t>
      </w:r>
      <w:r w:rsidR="003F50B4" w:rsidRPr="00A4272B">
        <w:rPr>
          <w:lang w:val="en-US"/>
        </w:rPr>
        <w:t>;</w:t>
      </w:r>
    </w:p>
    <w:p w14:paraId="7E7C0510" w14:textId="2C4F8186" w:rsidR="00362F5F" w:rsidRPr="00A4272B" w:rsidRDefault="00362F5F">
      <w:pPr>
        <w:numPr>
          <w:ilvl w:val="0"/>
          <w:numId w:val="44"/>
        </w:numPr>
        <w:autoSpaceDE w:val="0"/>
        <w:rPr>
          <w:lang w:val="en-US"/>
        </w:rPr>
      </w:pPr>
      <w:r w:rsidRPr="00A4272B">
        <w:rPr>
          <w:b/>
          <w:bCs/>
          <w:lang w:val="en-US"/>
        </w:rPr>
        <w:t>LAPAN</w:t>
      </w:r>
      <w:r w:rsidRPr="00A4272B">
        <w:rPr>
          <w:lang w:val="en-US"/>
        </w:rPr>
        <w:br/>
        <w:t>The Latin American Passive Atmospheric Sampling Network (LAPAN) began as a pilot in 2010, gradually expanding to 30 sites across 10 countries in the GRULAC region by 2023. After a brief pause during the pandemic, LAPAN resumed with 21 sites across eight countries, deploying XAD-based samplers annually (Figure 4.1.7). Some sites deploy LAPAN XAD-based PAS alongside PUF-based samplers from GAPS. Studies on the southern LAC region are published (Miglioranza et al., 2021)</w:t>
      </w:r>
      <w:r w:rsidR="003F50B4" w:rsidRPr="00A4272B">
        <w:rPr>
          <w:lang w:val="en-US"/>
        </w:rPr>
        <w:t>;</w:t>
      </w:r>
    </w:p>
    <w:p w14:paraId="76DB4134" w14:textId="77777777" w:rsidR="00362F5F" w:rsidRPr="00A4272B" w:rsidRDefault="00362F5F">
      <w:pPr>
        <w:numPr>
          <w:ilvl w:val="0"/>
          <w:numId w:val="44"/>
        </w:numPr>
        <w:autoSpaceDE w:val="0"/>
        <w:rPr>
          <w:lang w:val="en-US"/>
        </w:rPr>
      </w:pPr>
      <w:r w:rsidRPr="00A4272B">
        <w:rPr>
          <w:b/>
          <w:bCs/>
          <w:lang w:val="en-US"/>
        </w:rPr>
        <w:t>UNEP-GEF Projects</w:t>
      </w:r>
      <w:r w:rsidRPr="00A4272B">
        <w:rPr>
          <w:lang w:val="en-US"/>
        </w:rPr>
        <w:t xml:space="preserve"> (</w:t>
      </w:r>
      <w:hyperlink r:id="rId33" w:tgtFrame="_new" w:history="1">
        <w:r w:rsidRPr="00A4272B">
          <w:rPr>
            <w:rStyle w:val="Hyperlink"/>
            <w:lang w:val="en-US"/>
          </w:rPr>
          <w:t>UNEP on POPs</w:t>
        </w:r>
      </w:hyperlink>
      <w:r w:rsidRPr="00A4272B">
        <w:rPr>
          <w:lang w:val="en-US"/>
        </w:rPr>
        <w:t>)</w:t>
      </w:r>
      <w:r w:rsidRPr="00A4272B">
        <w:rPr>
          <w:lang w:val="en-US"/>
        </w:rPr>
        <w:br/>
        <w:t xml:space="preserve">Since 2005, UNEP has implemented POPs monitoring projects through GEF-funded Global Monitoring Plan initiatives, strengthening POPs monitoring capacities in developing and transitioning countries. These projects have contributed data for Stockholm Convention effectiveness evaluation. Air sampling used PUF </w:t>
      </w:r>
      <w:r w:rsidRPr="00A4272B">
        <w:rPr>
          <w:lang w:val="en-US"/>
        </w:rPr>
        <w:lastRenderedPageBreak/>
        <w:t>passive samplers exposed for three months in all project countries, with active air samplers tested in a few countries. Results were shared in the Stockholm Convention GMP data warehouse. A new UNEP/GEF POPs monitoring phase is in development to continue data contributions.</w:t>
      </w:r>
    </w:p>
    <w:p w14:paraId="5461549C" w14:textId="77777777" w:rsidR="00362F5F" w:rsidRPr="00A4272B" w:rsidRDefault="00362F5F" w:rsidP="00362F5F">
      <w:pPr>
        <w:autoSpaceDE w:val="0"/>
        <w:rPr>
          <w:lang w:val="en-US"/>
        </w:rPr>
      </w:pPr>
      <w:r w:rsidRPr="00A4272B">
        <w:rPr>
          <w:lang w:val="en-US"/>
        </w:rPr>
        <w:t>The PUF disk sampler (Figure 4.1.5) is widely used in the GMP and research studies to monitor POPs and priority chemicals in air (Eng et al., 2024). Its effectiveness has been verified in numerous studies (e.g., Herkert et al., 2018; Kalina et al., 2017; Holt et al., 2017) and in a recent international intercalibration (Melymuk et al., 2021).</w:t>
      </w:r>
    </w:p>
    <w:p w14:paraId="4418131D" w14:textId="77777777" w:rsidR="00F3536C" w:rsidRPr="00A4272B" w:rsidRDefault="00F3536C" w:rsidP="009C6EC7">
      <w:pPr>
        <w:shd w:val="clear" w:color="auto" w:fill="FFFFFF"/>
        <w:autoSpaceDE w:val="0"/>
        <w:rPr>
          <w:b/>
          <w:lang w:val="en-US"/>
        </w:rPr>
      </w:pPr>
      <w:r w:rsidRPr="00A4272B">
        <w:rPr>
          <w:noProof/>
          <w:lang w:val="en-US"/>
        </w:rPr>
        <w:drawing>
          <wp:inline distT="0" distB="0" distL="0" distR="0" wp14:anchorId="6C080F8C" wp14:editId="0C494BAD">
            <wp:extent cx="5210175" cy="3486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solidFill>
                      <a:srgbClr val="FFFFFF"/>
                    </a:solidFill>
                    <a:ln>
                      <a:noFill/>
                    </a:ln>
                  </pic:spPr>
                </pic:pic>
              </a:graphicData>
            </a:graphic>
          </wp:inline>
        </w:drawing>
      </w:r>
    </w:p>
    <w:p w14:paraId="6AA2134D" w14:textId="64C0F133" w:rsidR="00F3536C" w:rsidRPr="00A4272B" w:rsidRDefault="00362F5F" w:rsidP="009C6EC7">
      <w:pPr>
        <w:autoSpaceDE w:val="0"/>
        <w:rPr>
          <w:b/>
          <w:lang w:val="en-US"/>
        </w:rPr>
      </w:pPr>
      <w:r w:rsidRPr="00A4272B">
        <w:rPr>
          <w:b/>
          <w:lang w:val="en-US"/>
        </w:rPr>
        <w:t>Figure 4.1.5: Schematic of PUF disk passive air sampler</w:t>
      </w:r>
      <w:r w:rsidR="00F3536C" w:rsidRPr="00A4272B">
        <w:rPr>
          <w:b/>
          <w:lang w:val="en-US"/>
        </w:rPr>
        <w:t xml:space="preserve">. </w:t>
      </w:r>
    </w:p>
    <w:p w14:paraId="6A288C18" w14:textId="589610ED" w:rsidR="009C6EC7" w:rsidRPr="00A4272B" w:rsidRDefault="00F3536C" w:rsidP="00E052B2">
      <w:pPr>
        <w:rPr>
          <w:b/>
          <w:bCs/>
          <w:i/>
          <w:iCs/>
          <w:lang w:val="en-US"/>
        </w:rPr>
      </w:pPr>
      <w:r w:rsidRPr="00A4272B">
        <w:rPr>
          <w:b/>
          <w:bCs/>
          <w:i/>
          <w:iCs/>
          <w:lang w:val="en-US"/>
        </w:rPr>
        <w:t>Comparability of PUF disk samplers</w:t>
      </w:r>
    </w:p>
    <w:p w14:paraId="3997AF4E" w14:textId="58B18ED6" w:rsidR="00362F5F" w:rsidRPr="00A4272B" w:rsidRDefault="00362F5F" w:rsidP="00362F5F">
      <w:pPr>
        <w:autoSpaceDE w:val="0"/>
        <w:rPr>
          <w:lang w:val="en-US"/>
        </w:rPr>
      </w:pPr>
      <w:r w:rsidRPr="00A4272B">
        <w:rPr>
          <w:lang w:val="en-US"/>
        </w:rPr>
        <w:t>An international intercomparison exercise for PUF disk samplers, involving 15 laboratories, was conducted in 2016-2017, led by the Norwegian Institute for Air Research (NILU), in collaboration with the Research Centre for Toxic Compounds in the Environment (RECETOX) and Environment and Climate Change Canada (ECCC) (Melymuk et al., 2021). This study found some discrepancies in POPs results among laboratories when each participant performed their own analyses using different sampler housings (</w:t>
      </w:r>
      <w:r w:rsidR="009F04ED" w:rsidRPr="00A4272B">
        <w:rPr>
          <w:lang w:val="en-US"/>
        </w:rPr>
        <w:t>Figure</w:t>
      </w:r>
      <w:r w:rsidRPr="00A4272B">
        <w:rPr>
          <w:lang w:val="en-US"/>
        </w:rPr>
        <w:t xml:space="preserve"> 4.1.6, top). However, results were significantly more consistent when a single reference laboratory conducted all analyses, using sampling chambers and PUF disks provided by each group (</w:t>
      </w:r>
      <w:r w:rsidR="009F04ED" w:rsidRPr="00A4272B">
        <w:rPr>
          <w:lang w:val="en-US"/>
        </w:rPr>
        <w:t>Figure</w:t>
      </w:r>
      <w:r w:rsidRPr="00A4272B">
        <w:rPr>
          <w:lang w:val="en-US"/>
        </w:rPr>
        <w:t xml:space="preserve"> 4.1.6, bottom). This underscores the benefits of using a central laboratory for regional and even global monitoring </w:t>
      </w:r>
      <w:r w:rsidR="008F74AD" w:rsidRPr="00A4272B">
        <w:rPr>
          <w:lang w:val="en-US"/>
        </w:rPr>
        <w:t>programmes</w:t>
      </w:r>
      <w:r w:rsidRPr="00A4272B">
        <w:rPr>
          <w:lang w:val="en-US"/>
        </w:rPr>
        <w:t>.</w:t>
      </w:r>
    </w:p>
    <w:p w14:paraId="262ED81B" w14:textId="5AA5D176" w:rsidR="00F3536C" w:rsidRPr="00A4272B" w:rsidRDefault="00362F5F" w:rsidP="00362F5F">
      <w:pPr>
        <w:autoSpaceDE w:val="0"/>
        <w:rPr>
          <w:lang w:val="en-US"/>
        </w:rPr>
      </w:pPr>
      <w:r w:rsidRPr="00A4272B">
        <w:rPr>
          <w:lang w:val="en-US"/>
        </w:rPr>
        <w:t>The PUF disk sampler effectively captures both gas-phase and particle-phase chemicals (Markovic et al., 2015; Harner et al., 2013, 2014). With a sampling rate of approximately 4 ± 2 m³/day, quarterly—and in some cases monthly—resolution is achievable, although typical deployments are for 2–3 months.</w:t>
      </w:r>
      <w:r w:rsidR="00F3536C" w:rsidRPr="00A4272B">
        <w:rPr>
          <w:lang w:val="en-US"/>
        </w:rPr>
        <w:t xml:space="preserve"> </w:t>
      </w:r>
    </w:p>
    <w:p w14:paraId="6E255A0C" w14:textId="360560CB" w:rsidR="00F3536C" w:rsidRPr="00A4272B" w:rsidRDefault="00362F5F" w:rsidP="009C6EC7">
      <w:pPr>
        <w:autoSpaceDE w:val="0"/>
        <w:rPr>
          <w:lang w:val="en-US"/>
        </w:rPr>
      </w:pPr>
      <w:r w:rsidRPr="00A4272B">
        <w:rPr>
          <w:noProof/>
          <w:sz w:val="22"/>
          <w:szCs w:val="22"/>
          <w:lang w:val="en-US"/>
        </w:rPr>
        <w:lastRenderedPageBreak/>
        <w:drawing>
          <wp:inline distT="0" distB="0" distL="0" distR="0" wp14:anchorId="075F1E05" wp14:editId="0585DD60">
            <wp:extent cx="5909964" cy="7659015"/>
            <wp:effectExtent l="0" t="0" r="0" b="0"/>
            <wp:docPr id="662070542"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70542" name="Picture 1" descr="A graph of different colored lines&#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1672" cy="7661228"/>
                    </a:xfrm>
                    <a:prstGeom prst="rect">
                      <a:avLst/>
                    </a:prstGeom>
                    <a:noFill/>
                  </pic:spPr>
                </pic:pic>
              </a:graphicData>
            </a:graphic>
          </wp:inline>
        </w:drawing>
      </w:r>
    </w:p>
    <w:p w14:paraId="29FC8130" w14:textId="77777777" w:rsidR="00F3536C" w:rsidRPr="00A4272B" w:rsidRDefault="00F3536C" w:rsidP="009C6EC7">
      <w:pPr>
        <w:autoSpaceDE w:val="0"/>
        <w:rPr>
          <w:lang w:val="en-US"/>
        </w:rPr>
      </w:pPr>
    </w:p>
    <w:p w14:paraId="56F4C79B" w14:textId="0599BF29" w:rsidR="00F3536C" w:rsidRPr="00A4272B" w:rsidRDefault="00F3536C" w:rsidP="009C6EC7">
      <w:pPr>
        <w:autoSpaceDE w:val="0"/>
        <w:rPr>
          <w:lang w:val="en-US"/>
        </w:rPr>
      </w:pPr>
    </w:p>
    <w:p w14:paraId="48EBEBBF" w14:textId="77777777" w:rsidR="00362F5F" w:rsidRPr="00A4272B" w:rsidRDefault="00362F5F" w:rsidP="00362F5F">
      <w:pPr>
        <w:autoSpaceDE w:val="0"/>
        <w:rPr>
          <w:b/>
          <w:lang w:val="en-US"/>
        </w:rPr>
      </w:pPr>
      <w:r w:rsidRPr="00A4272B">
        <w:rPr>
          <w:b/>
          <w:lang w:val="en-US"/>
        </w:rPr>
        <w:t>Figure 4.1.6: Results from International Intercalibration Study of PUF Disk Samplers for a Range of SVOCs, Including PCBs, HCHs, DDT, and PBDEs.</w:t>
      </w:r>
    </w:p>
    <w:p w14:paraId="710980CD" w14:textId="37BB55AB" w:rsidR="00362F5F" w:rsidRPr="00A4272B" w:rsidRDefault="00362F5F" w:rsidP="00362F5F">
      <w:pPr>
        <w:autoSpaceDE w:val="0"/>
        <w:rPr>
          <w:bCs/>
          <w:sz w:val="18"/>
          <w:szCs w:val="18"/>
          <w:lang w:val="en-US"/>
        </w:rPr>
      </w:pPr>
      <w:r w:rsidRPr="00A4272B">
        <w:rPr>
          <w:bCs/>
          <w:sz w:val="18"/>
          <w:szCs w:val="18"/>
          <w:lang w:val="en-US"/>
        </w:rPr>
        <w:t xml:space="preserve">(The top panel (a) displays the variability in POP masses collected by PUF-PAS of different geometries analyzed at a central laboratory. The middle panel (b) illustrates variation in POP masses from identical PUF-PAS analyzed at different laboratories. The bottom panel (c) shows the combined variability due to differences in sampler geometry and analysis across separate laboratories. Boxes represent the 25th to 75th percentiles, with the median (50th percentile) marked by a horizontal black line. SVOC levels are normalized to the median, and whiskers represent ±1.5 times the interquartile range (IQR), with individual points </w:t>
      </w:r>
      <w:r w:rsidRPr="00A4272B">
        <w:rPr>
          <w:bCs/>
          <w:sz w:val="18"/>
          <w:szCs w:val="18"/>
          <w:lang w:val="en-US"/>
        </w:rPr>
        <w:lastRenderedPageBreak/>
        <w:t>indicating outliers. Various PUF disk sampler chamber types, including GAPS-type, MONET-type, and CSIC-type, were used. Figure reproduced from Melymuk et al. (2021).)</w:t>
      </w:r>
    </w:p>
    <w:p w14:paraId="02FC56F2" w14:textId="542CD96A" w:rsidR="00362F5F" w:rsidRPr="00A4272B" w:rsidRDefault="00362F5F" w:rsidP="00362F5F">
      <w:pPr>
        <w:autoSpaceDE w:val="0"/>
        <w:rPr>
          <w:lang w:val="en-US"/>
        </w:rPr>
      </w:pPr>
      <w:r w:rsidRPr="00A4272B">
        <w:rPr>
          <w:lang w:val="en-US"/>
        </w:rPr>
        <w:t>In contrast, the XAD-type passive air sampler, used in LAPAN and a subset of GAPS sites, primarily targets gas-phase chemicals (</w:t>
      </w:r>
      <w:r w:rsidR="009F04ED" w:rsidRPr="00A4272B">
        <w:rPr>
          <w:lang w:val="en-US"/>
        </w:rPr>
        <w:t>Figure</w:t>
      </w:r>
      <w:r w:rsidRPr="00A4272B">
        <w:rPr>
          <w:lang w:val="en-US"/>
        </w:rPr>
        <w:t xml:space="preserve"> 4.1.7). With a lower sampling rate (~0.5 m³/day) but high sorptive capacity, the XAD sampler is typically deployed for annual sampling (Gawor et al., 2013). This longer sampling interval may be sufficient if seasonal data is not </w:t>
      </w:r>
      <w:r w:rsidR="009F04ED" w:rsidRPr="00A4272B">
        <w:rPr>
          <w:lang w:val="en-US"/>
        </w:rPr>
        <w:t>required,</w:t>
      </w:r>
      <w:r w:rsidRPr="00A4272B">
        <w:rPr>
          <w:lang w:val="en-US"/>
        </w:rPr>
        <w:t xml:space="preserve"> and the primary objective is to monitor long-term trends (Hayward et al., 2010). Recently reported sampling rates for POPs in XAD-PAS are provided by Li et al. (2023a, 2023b).</w:t>
      </w:r>
    </w:p>
    <w:p w14:paraId="0B52EFDB" w14:textId="56646C65" w:rsidR="00362F5F" w:rsidRPr="00A4272B" w:rsidRDefault="00362F5F" w:rsidP="00362F5F">
      <w:pPr>
        <w:autoSpaceDE w:val="0"/>
        <w:rPr>
          <w:lang w:val="en-US"/>
        </w:rPr>
      </w:pPr>
      <w:r w:rsidRPr="00A4272B">
        <w:rPr>
          <w:lang w:val="en-US"/>
        </w:rPr>
        <w:t xml:space="preserve">The sorbent-impregnated PUF disk (SIP disk sampler, </w:t>
      </w:r>
      <w:r w:rsidR="009F04ED" w:rsidRPr="00A4272B">
        <w:rPr>
          <w:lang w:val="en-US"/>
        </w:rPr>
        <w:t>Figure</w:t>
      </w:r>
      <w:r w:rsidRPr="00A4272B">
        <w:rPr>
          <w:lang w:val="en-US"/>
        </w:rPr>
        <w:t xml:space="preserve"> 4.1.7) similarly offers high sorptive capacity, enhancing capture of more volatile POPs, such as HCB and polyfluoroalkyl compounds (Rauert et al., 2018). The SIP disk’s porous PUF substrate also effectively captures low-volatility POPs associated with airborne particles. Comparisons of PUF and SIP disk samplers show strong comparability and underscore the complementary nature of these samplers for various POPs, including PCBs (Genualdi et al., 2010) and OCPs (Koblizkova et al., 2012). The SIP disk has also proven effective in capturing PFOS and its precursors, fluorotelomer alcohols, volatile methyl siloxanes, and penta- and hexachlorobenzene (Rauert et al., 2018). Field calibration of SIP disks has shown their applicability in extended time-integrated sampling of legacy POPs, beyond the typical 3-month intervals for PUF disks (Schuster et al., 2012). Additionally, XAD and PUF disk samplers exhibit good comparability for gas-phase compounds (Hayward et al., 2010).</w:t>
      </w:r>
    </w:p>
    <w:p w14:paraId="322BB4C8" w14:textId="4CECD77B" w:rsidR="00F3536C" w:rsidRPr="00A4272B" w:rsidRDefault="00362F5F" w:rsidP="00274B15">
      <w:pPr>
        <w:autoSpaceDE w:val="0"/>
        <w:rPr>
          <w:b/>
          <w:lang w:val="en-US"/>
        </w:rPr>
      </w:pPr>
      <w:r w:rsidRPr="00A4272B">
        <w:rPr>
          <w:noProof/>
          <w:sz w:val="22"/>
          <w:szCs w:val="22"/>
          <w:lang w:val="en-US"/>
        </w:rPr>
        <w:drawing>
          <wp:inline distT="0" distB="0" distL="0" distR="0" wp14:anchorId="35135FB4" wp14:editId="4AB23DC4">
            <wp:extent cx="5667375" cy="3000375"/>
            <wp:effectExtent l="0" t="0" r="9525" b="9525"/>
            <wp:docPr id="13" name="Picture 13" descr="A close-up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blue objec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3000375"/>
                    </a:xfrm>
                    <a:prstGeom prst="rect">
                      <a:avLst/>
                    </a:prstGeom>
                    <a:solidFill>
                      <a:srgbClr val="FFFFFF"/>
                    </a:solidFill>
                    <a:ln>
                      <a:noFill/>
                    </a:ln>
                  </pic:spPr>
                </pic:pic>
              </a:graphicData>
            </a:graphic>
          </wp:inline>
        </w:drawing>
      </w:r>
    </w:p>
    <w:p w14:paraId="480323D6" w14:textId="0597369D" w:rsidR="00F3536C" w:rsidRPr="00A4272B" w:rsidRDefault="00F3536C" w:rsidP="009C6EC7">
      <w:pPr>
        <w:autoSpaceDE w:val="0"/>
        <w:rPr>
          <w:b/>
          <w:lang w:val="en-US"/>
        </w:rPr>
      </w:pPr>
      <w:r w:rsidRPr="00A4272B">
        <w:rPr>
          <w:b/>
          <w:lang w:val="en-US"/>
        </w:rPr>
        <w:t xml:space="preserve">Figure: 4.1.7: </w:t>
      </w:r>
      <w:r w:rsidR="00CF2775" w:rsidRPr="00A4272B">
        <w:rPr>
          <w:b/>
          <w:lang w:val="en-US"/>
        </w:rPr>
        <w:t xml:space="preserve">High-Capacity Passive Air Samplers for Targeting Volatile POPs, Including XAD-Sampler (Gas-Phase) and SIP Disk Sampler (Gas + Particle Phase). </w:t>
      </w:r>
      <w:r w:rsidR="00CF2775" w:rsidRPr="00A4272B">
        <w:rPr>
          <w:bCs/>
          <w:sz w:val="18"/>
          <w:szCs w:val="18"/>
          <w:lang w:val="en-US"/>
        </w:rPr>
        <w:t>(The magnified view shows the porous structure of the polyurethane foam in PUF disks and the XAD powder coating on SIP disks.)</w:t>
      </w:r>
    </w:p>
    <w:p w14:paraId="7E232456" w14:textId="7B75DED6" w:rsidR="009C6EC7" w:rsidRPr="00A4272B" w:rsidRDefault="00F3536C" w:rsidP="00E052B2">
      <w:pPr>
        <w:rPr>
          <w:b/>
          <w:bCs/>
          <w:i/>
          <w:iCs/>
          <w:lang w:val="en-US"/>
        </w:rPr>
      </w:pPr>
      <w:r w:rsidRPr="00A4272B">
        <w:rPr>
          <w:b/>
          <w:bCs/>
          <w:i/>
          <w:iCs/>
          <w:lang w:val="en-US"/>
        </w:rPr>
        <w:t>Deriving concentrations in air for POPs in PUF (and SIP) disk samplers</w:t>
      </w:r>
    </w:p>
    <w:p w14:paraId="0B54AE63" w14:textId="6EEF0976" w:rsidR="00CF2775" w:rsidRPr="00A4272B" w:rsidRDefault="00CF2775" w:rsidP="00CF2775">
      <w:pPr>
        <w:autoSpaceDE w:val="0"/>
        <w:rPr>
          <w:lang w:val="en-US"/>
        </w:rPr>
      </w:pPr>
      <w:r w:rsidRPr="00A4272B">
        <w:rPr>
          <w:lang w:val="en-US"/>
        </w:rPr>
        <w:t xml:space="preserve">Sampling rates, R-values, for PUF-disk based samplers are typically on the order of ~4 ± 2 m3/day (Pozo et al., 2006, 2009; Harner et al., 2014) and so a 3-month deployment provides an equivalent sample air volume of approximately 360 m3, which is sufficient for the detection of most POPs in ambient air. Shorter integration periods of 1 month have also been incorporated successfully (e.g., Holt et al., 2017). The wind-effect on sampling rate for the domed chamber design has been evaluated under controlled conditions (Tuduri et al., 2006), from field study results (Pozo et al., 2004; Klanova et al., 2006) and using flow simulation models (Thomas et al., 2006). Generally, the chamber </w:t>
      </w:r>
      <w:r w:rsidR="00E46054" w:rsidRPr="00A4272B">
        <w:rPr>
          <w:lang w:val="en-US"/>
        </w:rPr>
        <w:t>can dampen</w:t>
      </w:r>
      <w:r w:rsidRPr="00A4272B">
        <w:rPr>
          <w:lang w:val="en-US"/>
        </w:rPr>
        <w:t xml:space="preserve"> the wind-effect on sampling rate by maintaining the air flow within the chamber at less than ~1 m/s. However, higher sampling rates have been observed at windy, coastal and mountain sites (Pozo et al., 2004, 2006, 2009). </w:t>
      </w:r>
    </w:p>
    <w:p w14:paraId="4AB2C8F5" w14:textId="29C3FA02" w:rsidR="00CF2775" w:rsidRPr="00A4272B" w:rsidRDefault="00CF2775" w:rsidP="00CF2775">
      <w:pPr>
        <w:autoSpaceDE w:val="0"/>
        <w:rPr>
          <w:lang w:val="en-US"/>
        </w:rPr>
      </w:pPr>
      <w:r w:rsidRPr="00A4272B">
        <w:rPr>
          <w:lang w:val="en-US"/>
        </w:rPr>
        <w:t xml:space="preserve">Herkert et al., (2018) have recently reported on a global-scale model able to derive site-specific sampling rates and effective air sample volumes for POPs collected using PUF disk samplers. This is an improvement </w:t>
      </w:r>
      <w:r w:rsidR="00E46054" w:rsidRPr="00A4272B">
        <w:rPr>
          <w:lang w:val="en-US"/>
        </w:rPr>
        <w:t>in</w:t>
      </w:r>
      <w:r w:rsidRPr="00A4272B">
        <w:rPr>
          <w:lang w:val="en-US"/>
        </w:rPr>
        <w:t xml:space="preserve"> the use of default sampling rates as it accounts for site-specific variability. The model </w:t>
      </w:r>
      <w:r w:rsidR="00E46054" w:rsidRPr="00A4272B">
        <w:rPr>
          <w:lang w:val="en-US"/>
        </w:rPr>
        <w:t>(</w:t>
      </w:r>
      <w:r w:rsidRPr="00A4272B">
        <w:rPr>
          <w:lang w:val="en-US"/>
        </w:rPr>
        <w:t>http://www.pufpasvolume.org/</w:t>
      </w:r>
      <w:r w:rsidR="00E46054" w:rsidRPr="00A4272B">
        <w:rPr>
          <w:lang w:val="en-US"/>
        </w:rPr>
        <w:t>)</w:t>
      </w:r>
      <w:r w:rsidRPr="00A4272B">
        <w:rPr>
          <w:lang w:val="en-US"/>
        </w:rPr>
        <w:t xml:space="preserve"> only requires lat/long information for the sampling location and the time period for the deployment. The model then retrieves meteorological data assigned to these coordinates (wind speed, temperature) to calculate R for any location in the world (see </w:t>
      </w:r>
      <w:r w:rsidR="009F04ED" w:rsidRPr="00A4272B">
        <w:rPr>
          <w:lang w:val="en-US"/>
        </w:rPr>
        <w:t>Figure</w:t>
      </w:r>
      <w:r w:rsidRPr="00A4272B">
        <w:rPr>
          <w:lang w:val="en-US"/>
        </w:rPr>
        <w:t xml:space="preserve"> 4.1.8). The model also accounts for </w:t>
      </w:r>
      <w:r w:rsidR="00E46054" w:rsidRPr="00A4272B">
        <w:rPr>
          <w:lang w:val="en-US"/>
        </w:rPr>
        <w:t>the approach</w:t>
      </w:r>
      <w:r w:rsidRPr="00A4272B">
        <w:rPr>
          <w:lang w:val="en-US"/>
        </w:rPr>
        <w:t xml:space="preserve"> to equilibrium in PUF </w:t>
      </w:r>
      <w:r w:rsidR="00E46054" w:rsidRPr="00A4272B">
        <w:rPr>
          <w:lang w:val="en-US"/>
        </w:rPr>
        <w:t>disks</w:t>
      </w:r>
      <w:r w:rsidRPr="00A4272B">
        <w:rPr>
          <w:lang w:val="en-US"/>
        </w:rPr>
        <w:t xml:space="preserve"> for more volatiles POPs (discussed below). Model agreement with sampling rates derived using depuration compound (DCs, see below) was shown to be good for gas-phase compounds. Sampling rates for particle-associated POPs are expected to be similar but may vary depending on shelter configuration (Markovic et al., 2015).  The model was independently tested on an extensive dataset of &gt;3,000 field air samples of PCBs, OCPs, PBDEs and PAHs from 6 common </w:t>
      </w:r>
      <w:r w:rsidRPr="00A4272B">
        <w:rPr>
          <w:lang w:val="en-US"/>
        </w:rPr>
        <w:lastRenderedPageBreak/>
        <w:t xml:space="preserve">European sites of the EMEP and MONET programmes (Kalina et al., 2022). The test showed an improvement </w:t>
      </w:r>
      <w:r w:rsidR="00E46054" w:rsidRPr="00A4272B">
        <w:rPr>
          <w:lang w:val="en-US"/>
        </w:rPr>
        <w:t>in</w:t>
      </w:r>
      <w:r w:rsidRPr="00A4272B">
        <w:rPr>
          <w:lang w:val="en-US"/>
        </w:rPr>
        <w:t xml:space="preserve"> the estimated sampling rates compared to the site-non-specific GAPS template (Harner et al., 2017) for samples with (external) wind speed below ~ 4 m/s. This corresponds well with the above-mentioned assumption of keeping the (internal) air flow within the chamber below ~1 m/s. In the sake of consistency, this model is recommended tool for calculating POPs air concentrations from PUF-PAS samplers, however measurements from sites with wind speeds frequently exceeding 4 m s-1 should be interpreted with caution since the model significantly underestimates sampling rates at such sites. </w:t>
      </w:r>
    </w:p>
    <w:p w14:paraId="3B72D812" w14:textId="77777777" w:rsidR="00E46054" w:rsidRPr="00A4272B" w:rsidRDefault="00CF2775" w:rsidP="00E46054">
      <w:pPr>
        <w:autoSpaceDE w:val="0"/>
        <w:rPr>
          <w:noProof/>
          <w:lang w:val="en-US"/>
        </w:rPr>
      </w:pPr>
      <w:r w:rsidRPr="00A4272B">
        <w:rPr>
          <w:lang w:val="en-US"/>
        </w:rPr>
        <w:t>A more precise but more complex measure of the air volume sampled may be achieved by spiking the sorbent prior to exposure with known quantities of “depuration compounds” or DCs. These are isotopically labelled chemicals or native compounds that do not exist in the atmosphere and cover a wide range of volatility (assessed based on their vapour pressure and/or octanol-air partition coefficient, KOA). The loss of depuration compounds over the sampling period is used to calculate the effective air sample volume (Pozo et al., 2004, 2006, 2009; Persoon and Hornbuckle, 2009). The air concentration is then calculated based on this air volume and the amount of chemical collected over the sampling period. An on-line tool is available for deriving effective air sample volumes for a wide-range POPs for both SIP disk and PUF disk samplers (Harner et al., 2017).</w:t>
      </w:r>
    </w:p>
    <w:p w14:paraId="515511FD" w14:textId="77777777" w:rsidR="00E46054" w:rsidRPr="00A4272B" w:rsidRDefault="00CF2775" w:rsidP="00E46054">
      <w:pPr>
        <w:autoSpaceDE w:val="0"/>
        <w:rPr>
          <w:b/>
          <w:lang w:val="en-US"/>
        </w:rPr>
      </w:pPr>
      <w:r w:rsidRPr="00A4272B">
        <w:rPr>
          <w:noProof/>
          <w:lang w:val="en-US"/>
        </w:rPr>
        <w:drawing>
          <wp:inline distT="0" distB="0" distL="0" distR="0" wp14:anchorId="27EB6E6C" wp14:editId="31C6FA64">
            <wp:extent cx="5133975" cy="2752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33975" cy="2752725"/>
                    </a:xfrm>
                    <a:prstGeom prst="rect">
                      <a:avLst/>
                    </a:prstGeom>
                    <a:solidFill>
                      <a:srgbClr val="FFFFFF"/>
                    </a:solidFill>
                    <a:ln>
                      <a:noFill/>
                    </a:ln>
                  </pic:spPr>
                </pic:pic>
              </a:graphicData>
            </a:graphic>
          </wp:inline>
        </w:drawing>
      </w:r>
    </w:p>
    <w:p w14:paraId="119BBC5D" w14:textId="742F3019" w:rsidR="00F3536C" w:rsidRPr="00A4272B" w:rsidRDefault="00F3536C" w:rsidP="00E46054">
      <w:pPr>
        <w:autoSpaceDE w:val="0"/>
        <w:spacing w:before="120"/>
        <w:rPr>
          <w:b/>
          <w:lang w:val="en-US"/>
        </w:rPr>
      </w:pPr>
      <w:r w:rsidRPr="00A4272B">
        <w:rPr>
          <w:b/>
          <w:lang w:val="en-US"/>
        </w:rPr>
        <w:t xml:space="preserve">Figure 4.1.8: </w:t>
      </w:r>
      <w:r w:rsidR="00CF2775" w:rsidRPr="00A4272B">
        <w:rPr>
          <w:b/>
          <w:lang w:val="en-US"/>
        </w:rPr>
        <w:t>Annual Mean PUF-PAS Sampling Rate (m³/day) of a Tri-Chlorinated PCB Congener in 2006.</w:t>
      </w:r>
    </w:p>
    <w:p w14:paraId="410EC0E3" w14:textId="678BC7F1" w:rsidR="009C6EC7" w:rsidRPr="00A4272B" w:rsidRDefault="00F3536C" w:rsidP="00817D9F">
      <w:pPr>
        <w:pStyle w:val="Heading4"/>
        <w:rPr>
          <w:rFonts w:hint="eastAsia"/>
        </w:rPr>
      </w:pPr>
      <w:r w:rsidRPr="00A4272B">
        <w:t xml:space="preserve">Approach to </w:t>
      </w:r>
      <w:r w:rsidR="000431ED" w:rsidRPr="00A4272B">
        <w:t>e</w:t>
      </w:r>
      <w:r w:rsidRPr="00A4272B">
        <w:t xml:space="preserve">quilibrium and </w:t>
      </w:r>
      <w:r w:rsidR="000431ED" w:rsidRPr="00A4272B">
        <w:t>e</w:t>
      </w:r>
      <w:r w:rsidRPr="00A4272B">
        <w:t>quilibrium sampling</w:t>
      </w:r>
    </w:p>
    <w:p w14:paraId="1E95E4D9" w14:textId="40827CE4" w:rsidR="00F3536C" w:rsidRPr="00A4272B" w:rsidRDefault="00CF2775" w:rsidP="009C6EC7">
      <w:pPr>
        <w:autoSpaceDE w:val="0"/>
        <w:rPr>
          <w:b/>
          <w:lang w:val="en-US"/>
        </w:rPr>
      </w:pPr>
      <w:r w:rsidRPr="00A4272B">
        <w:rPr>
          <w:lang w:val="en-US"/>
        </w:rPr>
        <w:t>For more volatile POPs (e.g., HCB, Pentachlorobenzene, HCBD), it’s crucial to consider the approach to equilibrium, which results in a gradual reduction of the sampling rate until it reaches zero at equilibrium (Harner et al., 2004; Gouin et al., 2005; Pozo et al., 2006). For compounds reaching equilibrium within the typical PUF disk deployment period (a few months), the effective air sample volume depends on K_PUF-air rather than R. This isn’t necessarily a drawback, as K_PUF-air can be accurately estimated and measured directly (Parnis et al., 2016; Francisco et al., 2017) and is unaffected by windspeed. Using PUF disks as equilibrium samplers can improve the accuracy of derived air concentrations. However, if equilibrium is reached too quickly (e.g., in hours to a few days), this may not yield an accurate reflection of average ambient air concentrations over extended deployment periods. This is less of a concern for chemicals with stable air concentrations over weeks or months, which is common for volatile POPs like HCB at background sites.</w:t>
      </w:r>
      <w:r w:rsidR="00F3536C" w:rsidRPr="00A4272B">
        <w:rPr>
          <w:lang w:val="en-US"/>
        </w:rPr>
        <w:t xml:space="preserve"> </w:t>
      </w:r>
    </w:p>
    <w:p w14:paraId="2879273C" w14:textId="7F227049" w:rsidR="009C6EC7" w:rsidRPr="00A4272B" w:rsidRDefault="00F3536C" w:rsidP="00817D9F">
      <w:pPr>
        <w:pStyle w:val="Heading4"/>
        <w:rPr>
          <w:rFonts w:hint="eastAsia"/>
        </w:rPr>
      </w:pPr>
      <w:r w:rsidRPr="00A4272B">
        <w:t>Sampling and sample preparation</w:t>
      </w:r>
    </w:p>
    <w:p w14:paraId="7CF360AC" w14:textId="72E8D29A" w:rsidR="00F3536C" w:rsidRPr="00A4272B" w:rsidRDefault="00CF2775" w:rsidP="009C6EC7">
      <w:pPr>
        <w:autoSpaceDE w:val="0"/>
        <w:rPr>
          <w:lang w:val="en-US"/>
        </w:rPr>
      </w:pPr>
      <w:r w:rsidRPr="00A4272B">
        <w:rPr>
          <w:color w:val="000000"/>
          <w:lang w:val="en-US"/>
        </w:rPr>
        <w:t>Before use, PUF disks are pre-cleaned by sequential extraction (Soxhlet or accelerated solvent extraction) using polar and non-polar solvents (e.g., acetone/hexane or acetone followed by hexane; toluene is typically used for dioxin analysis). Using the same solvents for pre-cleaning helps ensure low blank levels. Samples are stored in solvent-rinsed, gas-tight glass jars or solvent-rinsed aluminum sleeves within airtight containers (e.g., freezer bags). One field blank should be deployed at each site to assess potential contamination by placing it in the sampling chamber, removing it immediately, and then storing and processing it as a sample. Samples are extracted using the same techniques as active air samples, as described above. Extract analysis follows procedures outlined in Chapter 5</w:t>
      </w:r>
      <w:r w:rsidR="00F3536C" w:rsidRPr="00A4272B">
        <w:rPr>
          <w:lang w:val="en-US"/>
        </w:rPr>
        <w:t>.</w:t>
      </w:r>
    </w:p>
    <w:p w14:paraId="1ED05E3C" w14:textId="1ED5244A" w:rsidR="005B63FA" w:rsidRPr="00A4272B" w:rsidRDefault="005B63FA" w:rsidP="009C6EC7">
      <w:pPr>
        <w:autoSpaceDE w:val="0"/>
        <w:rPr>
          <w:lang w:val="en-US"/>
        </w:rPr>
      </w:pPr>
      <w:r w:rsidRPr="00A4272B">
        <w:rPr>
          <w:lang w:val="en-US"/>
        </w:rPr>
        <w:t xml:space="preserve">Additional air sampling considerations, including toxicological assessments for chemical mixtures in air, using tree rings and other natural archives to derive historical POP trends, and sampling indoor air, are provided in </w:t>
      </w:r>
      <w:r w:rsidR="0081578F" w:rsidRPr="00A4272B">
        <w:rPr>
          <w:lang w:val="en-US"/>
        </w:rPr>
        <w:t>appendix II,</w:t>
      </w:r>
      <w:r w:rsidRPr="00A4272B">
        <w:rPr>
          <w:lang w:val="en-US"/>
        </w:rPr>
        <w:t xml:space="preserve"> </w:t>
      </w:r>
      <w:r w:rsidR="0081578F" w:rsidRPr="00A4272B">
        <w:rPr>
          <w:lang w:val="en-US"/>
        </w:rPr>
        <w:t>p</w:t>
      </w:r>
      <w:r w:rsidRPr="00A4272B">
        <w:rPr>
          <w:lang w:val="en-US"/>
        </w:rPr>
        <w:t>art III.</w:t>
      </w:r>
    </w:p>
    <w:p w14:paraId="1FD0B3E0" w14:textId="44EABACB" w:rsidR="00F3536C" w:rsidRPr="00A4272B" w:rsidRDefault="001F665D" w:rsidP="00817D9F">
      <w:pPr>
        <w:pStyle w:val="Heading3"/>
        <w:rPr>
          <w:rFonts w:hint="eastAsia"/>
        </w:rPr>
      </w:pPr>
      <w:bookmarkStart w:id="152" w:name="_Toc535584336"/>
      <w:bookmarkStart w:id="153" w:name="_Toc531642"/>
      <w:bookmarkStart w:id="154" w:name="_Toc532162"/>
      <w:bookmarkStart w:id="155" w:name="_Toc532375"/>
      <w:bookmarkStart w:id="156" w:name="_Toc1467876"/>
      <w:bookmarkStart w:id="157" w:name="_Toc1468049"/>
      <w:bookmarkStart w:id="158" w:name="_Toc1483933"/>
      <w:bookmarkStart w:id="159" w:name="_Toc65306477"/>
      <w:bookmarkStart w:id="160" w:name="_Toc187270486"/>
      <w:r w:rsidRPr="00A4272B">
        <w:lastRenderedPageBreak/>
        <w:t>4</w:t>
      </w:r>
      <w:r w:rsidR="00F3536C" w:rsidRPr="00A4272B">
        <w:t>.1.4</w:t>
      </w:r>
      <w:r w:rsidR="009C6EC7" w:rsidRPr="00A4272B">
        <w:tab/>
      </w:r>
      <w:r w:rsidR="00F3536C" w:rsidRPr="00A4272B">
        <w:t xml:space="preserve">QA/QC and </w:t>
      </w:r>
      <w:r w:rsidR="005B63FA" w:rsidRPr="00A4272B">
        <w:t>d</w:t>
      </w:r>
      <w:r w:rsidR="00F3536C" w:rsidRPr="00A4272B">
        <w:t xml:space="preserve">ata </w:t>
      </w:r>
      <w:r w:rsidR="005B63FA" w:rsidRPr="00A4272B">
        <w:t>t</w:t>
      </w:r>
      <w:r w:rsidR="00F3536C" w:rsidRPr="00A4272B">
        <w:t>reatment</w:t>
      </w:r>
      <w:bookmarkEnd w:id="152"/>
      <w:bookmarkEnd w:id="153"/>
      <w:bookmarkEnd w:id="154"/>
      <w:bookmarkEnd w:id="155"/>
      <w:bookmarkEnd w:id="156"/>
      <w:bookmarkEnd w:id="157"/>
      <w:bookmarkEnd w:id="158"/>
      <w:bookmarkEnd w:id="159"/>
      <w:bookmarkEnd w:id="160"/>
    </w:p>
    <w:p w14:paraId="3B82B657" w14:textId="409DFB71" w:rsidR="005B63FA" w:rsidRPr="00A4272B" w:rsidRDefault="005B63FA" w:rsidP="005B63FA">
      <w:pPr>
        <w:autoSpaceDE w:val="0"/>
        <w:rPr>
          <w:lang w:val="en-US"/>
        </w:rPr>
      </w:pPr>
      <w:r w:rsidRPr="00A4272B">
        <w:rPr>
          <w:lang w:val="en-US"/>
        </w:rPr>
        <w:t xml:space="preserve">A robust quality control (QA/QC) </w:t>
      </w:r>
      <w:r w:rsidR="002A6D39" w:rsidRPr="00A4272B">
        <w:rPr>
          <w:lang w:val="en-US"/>
        </w:rPr>
        <w:t xml:space="preserve">programme </w:t>
      </w:r>
      <w:r w:rsidRPr="00A4272B">
        <w:rPr>
          <w:lang w:val="en-US"/>
        </w:rPr>
        <w:t xml:space="preserve">is essential to ensure data credibility, enabling long-term trend analysis and comparability with results from other </w:t>
      </w:r>
      <w:r w:rsidR="002A6D39" w:rsidRPr="00A4272B">
        <w:rPr>
          <w:lang w:val="en-US"/>
        </w:rPr>
        <w:t xml:space="preserve">programmes </w:t>
      </w:r>
      <w:r w:rsidRPr="00A4272B">
        <w:rPr>
          <w:lang w:val="en-US"/>
        </w:rPr>
        <w:t xml:space="preserve">and sampling approaches (see the following </w:t>
      </w:r>
      <w:r w:rsidR="002A6D39" w:rsidRPr="00A4272B">
        <w:rPr>
          <w:lang w:val="en-US"/>
        </w:rPr>
        <w:t>chapter</w:t>
      </w:r>
      <w:r w:rsidRPr="00A4272B">
        <w:rPr>
          <w:lang w:val="en-US"/>
        </w:rPr>
        <w:t xml:space="preserve"> for more on comparability). Since different monitoring </w:t>
      </w:r>
      <w:r w:rsidR="002A6D39" w:rsidRPr="00A4272B">
        <w:rPr>
          <w:lang w:val="en-US"/>
        </w:rPr>
        <w:t xml:space="preserve">programmes </w:t>
      </w:r>
      <w:r w:rsidRPr="00A4272B">
        <w:rPr>
          <w:lang w:val="en-US"/>
        </w:rPr>
        <w:t>often use distinct QA/QC protocols, it is crucial that data treatment is thoroughly documented in reports and publications. This transparency allows for data harmonization and ensures that data sets can be accurately compared when necessary.</w:t>
      </w:r>
    </w:p>
    <w:p w14:paraId="4DE31359" w14:textId="0AB14C22" w:rsidR="005B63FA" w:rsidRPr="00A4272B" w:rsidRDefault="005B63FA" w:rsidP="005B63FA">
      <w:pPr>
        <w:autoSpaceDE w:val="0"/>
        <w:rPr>
          <w:lang w:val="en-US"/>
        </w:rPr>
      </w:pPr>
      <w:r w:rsidRPr="00A4272B">
        <w:rPr>
          <w:lang w:val="en-US"/>
        </w:rPr>
        <w:t xml:space="preserve">A comprehensive review of quality assurance activities under the Integrated Atmospheric Deposition Network (IADN) is presented in Wu et al. (2009). QA/QC and data treatment procedures used in the international AMAP air </w:t>
      </w:r>
      <w:r w:rsidR="002A6D39" w:rsidRPr="00A4272B">
        <w:rPr>
          <w:lang w:val="en-US"/>
        </w:rPr>
        <w:t xml:space="preserve">programme </w:t>
      </w:r>
      <w:r w:rsidRPr="00A4272B">
        <w:rPr>
          <w:lang w:val="en-US"/>
        </w:rPr>
        <w:t xml:space="preserve">are detailed in Fellin et al. (1996) and further updated in Hung et al. (2010, 2016). QA/QC protocols for several international air monitoring </w:t>
      </w:r>
      <w:r w:rsidR="002A6D39" w:rsidRPr="00A4272B">
        <w:rPr>
          <w:lang w:val="en-US"/>
        </w:rPr>
        <w:t xml:space="preserve">programmes </w:t>
      </w:r>
      <w:r w:rsidRPr="00A4272B">
        <w:rPr>
          <w:lang w:val="en-US"/>
        </w:rPr>
        <w:t xml:space="preserve">are included in </w:t>
      </w:r>
      <w:r w:rsidR="00874453" w:rsidRPr="00A4272B">
        <w:rPr>
          <w:lang w:val="en-US"/>
        </w:rPr>
        <w:t>appendix V</w:t>
      </w:r>
      <w:r w:rsidRPr="00A4272B">
        <w:rPr>
          <w:lang w:val="en-US"/>
        </w:rPr>
        <w:t>.</w:t>
      </w:r>
    </w:p>
    <w:p w14:paraId="4E195AE6" w14:textId="77777777" w:rsidR="005B63FA" w:rsidRPr="00A4272B" w:rsidRDefault="005B63FA" w:rsidP="005B63FA">
      <w:pPr>
        <w:autoSpaceDE w:val="0"/>
        <w:rPr>
          <w:lang w:val="en-US"/>
        </w:rPr>
      </w:pPr>
      <w:r w:rsidRPr="00A4272B">
        <w:rPr>
          <w:lang w:val="en-US"/>
        </w:rPr>
        <w:t>Interlaboratory exercises are valuable tools for assessing QA/QC practices across participating laboratories and provide a measure of interlaboratory comparability. These exercises typically involve analyzing a common standard or reference sample, often at two or more concentration levels. Recent international interlaboratory studies for POPs, focusing on air, have been conducted by AMAP/EMEP/NCP (Schlabach et al., 2012), UNEP (2012, Abalos et al., 2012, van Leeuwen et al., 2013), and through an International Polar Year project, INCATPA (Su and Hung, 2011). These studies offer insights into interlaboratory variability across different POPs classes, which is essential for enhancing data comparability, discussed further below.</w:t>
      </w:r>
    </w:p>
    <w:p w14:paraId="54813CB7" w14:textId="4D7791C1" w:rsidR="00F3536C" w:rsidRPr="00A4272B" w:rsidRDefault="00F3536C" w:rsidP="00817D9F">
      <w:pPr>
        <w:pStyle w:val="Heading4"/>
        <w:rPr>
          <w:rFonts w:hint="eastAsia"/>
        </w:rPr>
      </w:pPr>
      <w:r w:rsidRPr="00A4272B">
        <w:t>QA/QC considerations</w:t>
      </w:r>
    </w:p>
    <w:p w14:paraId="5E23FB6E" w14:textId="4D8B8F1B" w:rsidR="005B63FA" w:rsidRPr="00A4272B" w:rsidRDefault="005B63FA" w:rsidP="002A23FE">
      <w:pPr>
        <w:rPr>
          <w:lang w:val="en-US"/>
        </w:rPr>
      </w:pPr>
      <w:r w:rsidRPr="00A4272B">
        <w:rPr>
          <w:lang w:val="en-US"/>
        </w:rPr>
        <w:t xml:space="preserve">In addition to the </w:t>
      </w:r>
      <w:r w:rsidR="00C85C14" w:rsidRPr="00A4272B">
        <w:rPr>
          <w:lang w:val="en-US"/>
        </w:rPr>
        <w:t>reference</w:t>
      </w:r>
      <w:r w:rsidRPr="00A4272B">
        <w:rPr>
          <w:lang w:val="en-US"/>
        </w:rPr>
        <w:t xml:space="preserve"> above detailing QA/QC procedures for international air monitoring </w:t>
      </w:r>
      <w:r w:rsidR="00AF4A1F" w:rsidRPr="00A4272B">
        <w:rPr>
          <w:lang w:val="en-US"/>
        </w:rPr>
        <w:t>programmes,</w:t>
      </w:r>
      <w:r w:rsidRPr="00A4272B">
        <w:rPr>
          <w:lang w:val="en-US"/>
        </w:rPr>
        <w:t xml:space="preserve"> several key aspects are highlighted below. These challenges are particularly relevant for the newly listed POPs.</w:t>
      </w:r>
    </w:p>
    <w:p w14:paraId="727DCDC4" w14:textId="36489F8D" w:rsidR="005B63FA" w:rsidRPr="00A4272B" w:rsidRDefault="005B63FA">
      <w:pPr>
        <w:pStyle w:val="ListParagraph"/>
        <w:numPr>
          <w:ilvl w:val="1"/>
          <w:numId w:val="46"/>
        </w:numPr>
        <w:rPr>
          <w:b/>
          <w:bCs/>
          <w:szCs w:val="20"/>
        </w:rPr>
      </w:pPr>
      <w:r w:rsidRPr="00A4272B">
        <w:rPr>
          <w:b/>
          <w:bCs/>
          <w:szCs w:val="20"/>
        </w:rPr>
        <w:t>Blanks:</w:t>
      </w:r>
    </w:p>
    <w:p w14:paraId="55467442" w14:textId="0C9A398C" w:rsidR="005B63FA" w:rsidRPr="00A4272B" w:rsidRDefault="005B63FA">
      <w:pPr>
        <w:pStyle w:val="ListParagraph"/>
        <w:numPr>
          <w:ilvl w:val="0"/>
          <w:numId w:val="45"/>
        </w:numPr>
        <w:rPr>
          <w:szCs w:val="20"/>
        </w:rPr>
      </w:pPr>
      <w:r w:rsidRPr="00A4272B">
        <w:rPr>
          <w:b/>
          <w:bCs/>
          <w:szCs w:val="20"/>
        </w:rPr>
        <w:t>Method or lab blanks:</w:t>
      </w:r>
      <w:r w:rsidRPr="00A4272B">
        <w:rPr>
          <w:szCs w:val="20"/>
        </w:rPr>
        <w:t xml:space="preserve"> These involve using a clean matrix and/or solvent, treating it as a sample, and processing it through the entire methodology to assess contamination. Running method blanks before starting a sampling campaign </w:t>
      </w:r>
      <w:r w:rsidR="006206A0" w:rsidRPr="00A4272B">
        <w:rPr>
          <w:szCs w:val="20"/>
        </w:rPr>
        <w:t>ensure</w:t>
      </w:r>
      <w:r w:rsidRPr="00A4272B">
        <w:rPr>
          <w:szCs w:val="20"/>
        </w:rPr>
        <w:t xml:space="preserve"> the integrity of the methodology. Method blanks are especially crucial for some of the newly listed POPs (e.g., PBDEs, PFOS, and related compounds), which may show elevated levels in laboratory environments. If contamination is detected, blank tests can be conducted on different stages of the methodology to pinpoint and isolate the contamination source. Method blanks should be routinely included during sample processing, with at least one blank for every 10 samples (i.e., 10%)</w:t>
      </w:r>
      <w:r w:rsidR="003F50B4" w:rsidRPr="00A4272B">
        <w:rPr>
          <w:szCs w:val="20"/>
        </w:rPr>
        <w:t>;</w:t>
      </w:r>
    </w:p>
    <w:p w14:paraId="310DDFA7" w14:textId="77777777" w:rsidR="000431ED" w:rsidRPr="00A4272B" w:rsidRDefault="005B63FA">
      <w:pPr>
        <w:pStyle w:val="ListParagraph"/>
        <w:numPr>
          <w:ilvl w:val="0"/>
          <w:numId w:val="45"/>
        </w:numPr>
        <w:rPr>
          <w:szCs w:val="20"/>
        </w:rPr>
      </w:pPr>
      <w:r w:rsidRPr="00A4272B">
        <w:rPr>
          <w:b/>
          <w:bCs/>
          <w:szCs w:val="20"/>
        </w:rPr>
        <w:t>Field blanks:</w:t>
      </w:r>
      <w:r w:rsidRPr="00A4272B">
        <w:rPr>
          <w:szCs w:val="20"/>
        </w:rPr>
        <w:t xml:space="preserve"> Field blanks are sample media (e.g., PUF disks, GFF, XAD) placed in the sampler, removed immediately, and then stored and processed like actual samples. They help identify contamination sources introduced during sample handling, transport, and storage. It’s essential to take precautions to avoid contamination from the sampler itself or nearby sources. For instance, substances like flame retardants, chlorinated paraffins, or PCBs—commonly found in electrical equipment or construction materials (e.g., sealants)—can introduce contaminants (Takasuga et al., 2012).</w:t>
      </w:r>
    </w:p>
    <w:p w14:paraId="2EBE2A63" w14:textId="07F8F233" w:rsidR="00F3536C" w:rsidRPr="00A4272B" w:rsidRDefault="00F3536C">
      <w:pPr>
        <w:pStyle w:val="ListParagraph"/>
        <w:numPr>
          <w:ilvl w:val="0"/>
          <w:numId w:val="46"/>
        </w:numPr>
        <w:ind w:left="720"/>
        <w:rPr>
          <w:szCs w:val="20"/>
        </w:rPr>
      </w:pPr>
      <w:r w:rsidRPr="00A4272B">
        <w:rPr>
          <w:b/>
          <w:bCs/>
          <w:szCs w:val="20"/>
        </w:rPr>
        <w:t xml:space="preserve">Sampling </w:t>
      </w:r>
      <w:r w:rsidR="002A23FE" w:rsidRPr="00A4272B">
        <w:rPr>
          <w:b/>
          <w:bCs/>
          <w:szCs w:val="20"/>
        </w:rPr>
        <w:t>e</w:t>
      </w:r>
      <w:r w:rsidRPr="00A4272B">
        <w:rPr>
          <w:b/>
          <w:bCs/>
          <w:szCs w:val="20"/>
        </w:rPr>
        <w:t>fficiency</w:t>
      </w:r>
      <w:r w:rsidR="002A23FE" w:rsidRPr="00A4272B">
        <w:rPr>
          <w:b/>
          <w:bCs/>
          <w:szCs w:val="20"/>
        </w:rPr>
        <w:t xml:space="preserve"> and</w:t>
      </w:r>
      <w:r w:rsidRPr="00A4272B">
        <w:rPr>
          <w:b/>
          <w:bCs/>
          <w:szCs w:val="20"/>
        </w:rPr>
        <w:t xml:space="preserve"> </w:t>
      </w:r>
      <w:r w:rsidR="002A23FE" w:rsidRPr="00A4272B">
        <w:rPr>
          <w:b/>
          <w:bCs/>
          <w:szCs w:val="20"/>
        </w:rPr>
        <w:t>s</w:t>
      </w:r>
      <w:r w:rsidRPr="00A4272B">
        <w:rPr>
          <w:b/>
          <w:bCs/>
          <w:szCs w:val="20"/>
        </w:rPr>
        <w:t>ampling rates</w:t>
      </w:r>
    </w:p>
    <w:p w14:paraId="3334F1D1" w14:textId="3A820B36" w:rsidR="000431ED" w:rsidRPr="00A4272B" w:rsidRDefault="000431ED">
      <w:pPr>
        <w:pStyle w:val="ListParagraph"/>
        <w:numPr>
          <w:ilvl w:val="0"/>
          <w:numId w:val="47"/>
        </w:numPr>
        <w:autoSpaceDE w:val="0"/>
        <w:snapToGrid/>
        <w:rPr>
          <w:szCs w:val="20"/>
        </w:rPr>
      </w:pPr>
      <w:r w:rsidRPr="00A4272B">
        <w:rPr>
          <w:b/>
          <w:bCs/>
          <w:szCs w:val="20"/>
        </w:rPr>
        <w:t>Breakthrough check:</w:t>
      </w:r>
      <w:r w:rsidRPr="00A4272B">
        <w:rPr>
          <w:szCs w:val="20"/>
        </w:rPr>
        <w:t xml:space="preserve"> For high-volume samplers, a second sorption matrix is placed in series with the first to assess any breakthrough of gas-phase analytes through the primary matrix (e.g., PUF plugs, PUF/XAD cartridges). Breakthrough is especially important for more volatile compounds, including some newly listed POPs such as HCBD, </w:t>
      </w:r>
      <w:r w:rsidR="002A6D39" w:rsidRPr="00A4272B">
        <w:rPr>
          <w:szCs w:val="20"/>
        </w:rPr>
        <w:t>PeCB</w:t>
      </w:r>
      <w:r w:rsidRPr="00A4272B">
        <w:rPr>
          <w:szCs w:val="20"/>
        </w:rPr>
        <w:t xml:space="preserve">, HCB, and </w:t>
      </w:r>
      <w:r w:rsidR="002A6D39" w:rsidRPr="00A4272B">
        <w:rPr>
          <w:szCs w:val="20"/>
        </w:rPr>
        <w:t>alpha-</w:t>
      </w:r>
      <w:r w:rsidRPr="00A4272B">
        <w:rPr>
          <w:szCs w:val="20"/>
        </w:rPr>
        <w:t xml:space="preserve">HCH, which are known to exhibit substantial </w:t>
      </w:r>
      <w:r w:rsidR="006206A0" w:rsidRPr="00A4272B">
        <w:rPr>
          <w:szCs w:val="20"/>
        </w:rPr>
        <w:t>breakthroughs</w:t>
      </w:r>
      <w:r w:rsidRPr="00A4272B">
        <w:rPr>
          <w:szCs w:val="20"/>
        </w:rPr>
        <w:t xml:space="preserve"> on PUF due to their volatility. Breakthrough and volatility both increase with warmer temperatures (Melymuk et al., 2016; Bidleman et al., 2018)</w:t>
      </w:r>
      <w:r w:rsidR="003F50B4" w:rsidRPr="00A4272B">
        <w:rPr>
          <w:szCs w:val="20"/>
        </w:rPr>
        <w:t>;</w:t>
      </w:r>
    </w:p>
    <w:p w14:paraId="5E7748FD" w14:textId="190EF17F" w:rsidR="000431ED" w:rsidRPr="00A4272B" w:rsidRDefault="000431ED">
      <w:pPr>
        <w:pStyle w:val="ListParagraph"/>
        <w:numPr>
          <w:ilvl w:val="0"/>
          <w:numId w:val="47"/>
        </w:numPr>
        <w:autoSpaceDE w:val="0"/>
        <w:snapToGrid/>
        <w:rPr>
          <w:szCs w:val="20"/>
          <w:u w:val="single"/>
        </w:rPr>
      </w:pPr>
      <w:r w:rsidRPr="00A4272B">
        <w:rPr>
          <w:b/>
          <w:bCs/>
          <w:szCs w:val="20"/>
        </w:rPr>
        <w:t>Adsorption artifact:</w:t>
      </w:r>
      <w:r w:rsidRPr="00A4272B">
        <w:rPr>
          <w:szCs w:val="20"/>
        </w:rPr>
        <w:t xml:space="preserve"> In high-volume samplers, some gas-phase compounds may adsorb onto glass or quartz fiber filters meant for particle-phase compounds. This can lead to an overestimation of particle-phase partitioning </w:t>
      </w:r>
      <w:r w:rsidR="009F04ED" w:rsidRPr="00A4272B">
        <w:rPr>
          <w:szCs w:val="20"/>
        </w:rPr>
        <w:t xml:space="preserve">in </w:t>
      </w:r>
      <w:r w:rsidRPr="00A4272B">
        <w:rPr>
          <w:szCs w:val="20"/>
        </w:rPr>
        <w:t>procedures analyzing gas and particle phases separately. This artifact can be assessed by using a second filter in series with the first and analyzing each filter separately. Compounds like PFOS are particularly susceptible to adsorption artifacts (Arp and Goss, 2008). Teflon filters should be avoided when targeting PFOS and related chemicals.</w:t>
      </w:r>
    </w:p>
    <w:p w14:paraId="21380839" w14:textId="16728B05" w:rsidR="000431ED" w:rsidRPr="00A4272B" w:rsidRDefault="000431ED">
      <w:pPr>
        <w:pStyle w:val="ListParagraph"/>
        <w:keepNext/>
        <w:numPr>
          <w:ilvl w:val="0"/>
          <w:numId w:val="46"/>
        </w:numPr>
        <w:ind w:left="720"/>
        <w:rPr>
          <w:b/>
          <w:bCs/>
          <w:szCs w:val="20"/>
        </w:rPr>
      </w:pPr>
      <w:r w:rsidRPr="00A4272B">
        <w:rPr>
          <w:b/>
          <w:bCs/>
          <w:szCs w:val="20"/>
        </w:rPr>
        <w:t>Recoveries and use of surrogates</w:t>
      </w:r>
    </w:p>
    <w:p w14:paraId="739CA98C" w14:textId="49A667AD" w:rsidR="000431ED" w:rsidRPr="00A4272B" w:rsidRDefault="000431ED">
      <w:pPr>
        <w:pStyle w:val="ListParagraph"/>
        <w:numPr>
          <w:ilvl w:val="0"/>
          <w:numId w:val="48"/>
        </w:numPr>
        <w:autoSpaceDE w:val="0"/>
        <w:snapToGrid/>
        <w:rPr>
          <w:iCs/>
          <w:szCs w:val="20"/>
        </w:rPr>
      </w:pPr>
      <w:r w:rsidRPr="00A4272B">
        <w:rPr>
          <w:b/>
          <w:bCs/>
          <w:iCs/>
          <w:szCs w:val="20"/>
        </w:rPr>
        <w:t>Sampling recoveries:</w:t>
      </w:r>
      <w:r w:rsidRPr="00A4272B">
        <w:rPr>
          <w:iCs/>
          <w:szCs w:val="20"/>
        </w:rPr>
        <w:t xml:space="preserve"> Labeled surrogates are added to the sampling matrix before sample collection (e.g., added to PUF in the high-volume sampler) to assess potential losses during sampling. This approach, however, typically overestimates losses</w:t>
      </w:r>
      <w:r w:rsidR="003F50B4" w:rsidRPr="00A4272B">
        <w:rPr>
          <w:iCs/>
          <w:szCs w:val="20"/>
        </w:rPr>
        <w:t>;</w:t>
      </w:r>
    </w:p>
    <w:p w14:paraId="5C215F29" w14:textId="1C98F707" w:rsidR="000431ED" w:rsidRPr="00A4272B" w:rsidRDefault="000431ED">
      <w:pPr>
        <w:pStyle w:val="ListParagraph"/>
        <w:numPr>
          <w:ilvl w:val="0"/>
          <w:numId w:val="48"/>
        </w:numPr>
        <w:autoSpaceDE w:val="0"/>
        <w:snapToGrid/>
        <w:rPr>
          <w:iCs/>
          <w:szCs w:val="20"/>
        </w:rPr>
      </w:pPr>
      <w:r w:rsidRPr="00A4272B">
        <w:rPr>
          <w:b/>
          <w:bCs/>
          <w:iCs/>
          <w:szCs w:val="20"/>
        </w:rPr>
        <w:t xml:space="preserve">Analytical/Method </w:t>
      </w:r>
      <w:r w:rsidR="00D10A28" w:rsidRPr="00A4272B">
        <w:rPr>
          <w:b/>
          <w:bCs/>
          <w:iCs/>
          <w:szCs w:val="20"/>
        </w:rPr>
        <w:t>r</w:t>
      </w:r>
      <w:r w:rsidRPr="00A4272B">
        <w:rPr>
          <w:b/>
          <w:bCs/>
          <w:iCs/>
          <w:szCs w:val="20"/>
        </w:rPr>
        <w:t>ecoveries:</w:t>
      </w:r>
      <w:r w:rsidRPr="00A4272B">
        <w:rPr>
          <w:iCs/>
          <w:szCs w:val="20"/>
        </w:rPr>
        <w:t xml:space="preserve"> Recoveries can be performed in two ways:</w:t>
      </w:r>
    </w:p>
    <w:p w14:paraId="074C991D" w14:textId="417DF129" w:rsidR="000431ED" w:rsidRPr="00A4272B" w:rsidRDefault="000431ED">
      <w:pPr>
        <w:pStyle w:val="ListParagraph"/>
        <w:numPr>
          <w:ilvl w:val="1"/>
          <w:numId w:val="49"/>
        </w:numPr>
        <w:autoSpaceDE w:val="0"/>
        <w:snapToGrid/>
        <w:rPr>
          <w:iCs/>
          <w:szCs w:val="20"/>
        </w:rPr>
      </w:pPr>
      <w:r w:rsidRPr="00A4272B">
        <w:rPr>
          <w:b/>
          <w:bCs/>
          <w:iCs/>
          <w:szCs w:val="20"/>
        </w:rPr>
        <w:lastRenderedPageBreak/>
        <w:t xml:space="preserve">External </w:t>
      </w:r>
      <w:r w:rsidR="00D10A28" w:rsidRPr="00A4272B">
        <w:rPr>
          <w:b/>
          <w:bCs/>
          <w:iCs/>
          <w:szCs w:val="20"/>
        </w:rPr>
        <w:t>r</w:t>
      </w:r>
      <w:r w:rsidRPr="00A4272B">
        <w:rPr>
          <w:b/>
          <w:bCs/>
          <w:iCs/>
          <w:szCs w:val="20"/>
        </w:rPr>
        <w:t>ecoveries:</w:t>
      </w:r>
      <w:r w:rsidRPr="00A4272B">
        <w:rPr>
          <w:iCs/>
          <w:szCs w:val="20"/>
        </w:rPr>
        <w:t xml:space="preserve"> Target compounds are spiked onto a clean sampling matrix or solvent before extraction and then processed through the methodology to validate the method. These recoveries are not used to correct individual samples</w:t>
      </w:r>
      <w:r w:rsidR="003F50B4" w:rsidRPr="00A4272B">
        <w:rPr>
          <w:iCs/>
          <w:szCs w:val="20"/>
        </w:rPr>
        <w:t>;</w:t>
      </w:r>
    </w:p>
    <w:p w14:paraId="69C3435E" w14:textId="7784491F" w:rsidR="000431ED" w:rsidRPr="00A4272B" w:rsidRDefault="000431ED">
      <w:pPr>
        <w:pStyle w:val="ListParagraph"/>
        <w:numPr>
          <w:ilvl w:val="1"/>
          <w:numId w:val="49"/>
        </w:numPr>
        <w:autoSpaceDE w:val="0"/>
        <w:snapToGrid/>
        <w:rPr>
          <w:iCs/>
          <w:szCs w:val="20"/>
        </w:rPr>
      </w:pPr>
      <w:r w:rsidRPr="00A4272B">
        <w:rPr>
          <w:b/>
          <w:bCs/>
          <w:iCs/>
          <w:szCs w:val="20"/>
        </w:rPr>
        <w:t xml:space="preserve">Internal </w:t>
      </w:r>
      <w:r w:rsidR="00D10A28" w:rsidRPr="00A4272B">
        <w:rPr>
          <w:b/>
          <w:bCs/>
          <w:iCs/>
          <w:szCs w:val="20"/>
        </w:rPr>
        <w:t>r</w:t>
      </w:r>
      <w:r w:rsidRPr="00A4272B">
        <w:rPr>
          <w:b/>
          <w:bCs/>
          <w:iCs/>
          <w:szCs w:val="20"/>
        </w:rPr>
        <w:t>ecoveries:</w:t>
      </w:r>
      <w:r w:rsidRPr="00A4272B">
        <w:rPr>
          <w:iCs/>
          <w:szCs w:val="20"/>
        </w:rPr>
        <w:t xml:space="preserve"> Labeled surrogates are added to the sample matrix immediately before extraction to assess losses during extraction and work-up. Internal surrogates help account for biases introduced by matrix effects, which can particularly affect PFOS and related chemicals. Internal recoveries can be used to correct sample results</w:t>
      </w:r>
      <w:r w:rsidR="003F50B4" w:rsidRPr="00A4272B">
        <w:rPr>
          <w:iCs/>
          <w:szCs w:val="20"/>
        </w:rPr>
        <w:t>;</w:t>
      </w:r>
    </w:p>
    <w:p w14:paraId="088E9514" w14:textId="4613EF43" w:rsidR="000431ED" w:rsidRPr="00A4272B" w:rsidRDefault="000431ED" w:rsidP="00D10A28">
      <w:pPr>
        <w:pStyle w:val="ListParagraph"/>
        <w:autoSpaceDE w:val="0"/>
        <w:snapToGrid/>
        <w:ind w:left="1440"/>
        <w:rPr>
          <w:iCs/>
          <w:szCs w:val="20"/>
        </w:rPr>
      </w:pPr>
      <w:r w:rsidRPr="00A4272B">
        <w:rPr>
          <w:iCs/>
          <w:szCs w:val="20"/>
        </w:rPr>
        <w:t xml:space="preserve">Ideally, sampling and method recoveries should range between 70–130%. Compounds with recoveries below 50% should be reported with caution. Volatile compounds (e.g., HCBD, </w:t>
      </w:r>
      <w:r w:rsidR="002A6D39" w:rsidRPr="00A4272B">
        <w:rPr>
          <w:iCs/>
          <w:szCs w:val="20"/>
        </w:rPr>
        <w:t>PeCB</w:t>
      </w:r>
      <w:r w:rsidRPr="00A4272B">
        <w:rPr>
          <w:iCs/>
          <w:szCs w:val="20"/>
        </w:rPr>
        <w:t>, and HCB) often show low recoveries due to evaporation losses during sample concentration. These losses can be minimized by using gentle blow-down procedures and maintaining a final sample volume of ~1mL or more. The choice of extraction and keeper solvents also impacts evaporation losses</w:t>
      </w:r>
      <w:r w:rsidR="003F50B4" w:rsidRPr="00A4272B">
        <w:rPr>
          <w:iCs/>
          <w:szCs w:val="20"/>
        </w:rPr>
        <w:t>;</w:t>
      </w:r>
    </w:p>
    <w:p w14:paraId="6D989689" w14:textId="2C674286" w:rsidR="000431ED" w:rsidRPr="00A4272B" w:rsidRDefault="000431ED">
      <w:pPr>
        <w:pStyle w:val="ListParagraph"/>
        <w:numPr>
          <w:ilvl w:val="0"/>
          <w:numId w:val="46"/>
        </w:numPr>
        <w:ind w:left="720"/>
        <w:rPr>
          <w:b/>
          <w:bCs/>
          <w:szCs w:val="20"/>
        </w:rPr>
      </w:pPr>
      <w:r w:rsidRPr="00A4272B">
        <w:rPr>
          <w:b/>
          <w:bCs/>
          <w:szCs w:val="20"/>
        </w:rPr>
        <w:t>Detection</w:t>
      </w:r>
    </w:p>
    <w:p w14:paraId="11D3F019" w14:textId="5985BACF" w:rsidR="000431ED" w:rsidRPr="00A4272B" w:rsidRDefault="000431ED">
      <w:pPr>
        <w:pStyle w:val="ListParagraph"/>
        <w:numPr>
          <w:ilvl w:val="0"/>
          <w:numId w:val="50"/>
        </w:numPr>
        <w:autoSpaceDE w:val="0"/>
        <w:snapToGrid/>
        <w:rPr>
          <w:i/>
          <w:szCs w:val="20"/>
        </w:rPr>
      </w:pPr>
      <w:r w:rsidRPr="00A4272B">
        <w:rPr>
          <w:b/>
          <w:bCs/>
          <w:iCs/>
          <w:szCs w:val="20"/>
        </w:rPr>
        <w:t xml:space="preserve">Instrument </w:t>
      </w:r>
      <w:r w:rsidR="00D10A28" w:rsidRPr="00A4272B">
        <w:rPr>
          <w:b/>
          <w:bCs/>
          <w:iCs/>
          <w:szCs w:val="20"/>
        </w:rPr>
        <w:t>d</w:t>
      </w:r>
      <w:r w:rsidRPr="00A4272B">
        <w:rPr>
          <w:b/>
          <w:bCs/>
          <w:iCs/>
          <w:szCs w:val="20"/>
        </w:rPr>
        <w:t xml:space="preserve">etection </w:t>
      </w:r>
      <w:r w:rsidR="00D10A28" w:rsidRPr="00A4272B">
        <w:rPr>
          <w:b/>
          <w:bCs/>
          <w:iCs/>
          <w:szCs w:val="20"/>
        </w:rPr>
        <w:t>l</w:t>
      </w:r>
      <w:r w:rsidRPr="00A4272B">
        <w:rPr>
          <w:b/>
          <w:bCs/>
          <w:iCs/>
          <w:szCs w:val="20"/>
        </w:rPr>
        <w:t>imit (IDL) and dealing with data that falls below the IDL</w:t>
      </w:r>
      <w:r w:rsidR="00D10A28" w:rsidRPr="00A4272B">
        <w:rPr>
          <w:b/>
          <w:bCs/>
          <w:iCs/>
          <w:szCs w:val="20"/>
        </w:rPr>
        <w:t>:</w:t>
      </w:r>
      <w:r w:rsidRPr="00A4272B">
        <w:rPr>
          <w:szCs w:val="20"/>
        </w:rPr>
        <w:t xml:space="preserve"> The instrument detection limit is determined from the amount of analyte that will produce a signal:noise of 3:1 on the analytical instrument. This can be estimated by extrapolation of the result for the lowest concentration standard. The IDL value is compound specific and will also vary from day to day according to instrument performance and sensitivity</w:t>
      </w:r>
      <w:r w:rsidR="003F50B4" w:rsidRPr="00A4272B">
        <w:rPr>
          <w:szCs w:val="20"/>
        </w:rPr>
        <w:t>;</w:t>
      </w:r>
    </w:p>
    <w:p w14:paraId="0AAE98F8" w14:textId="48552AB4" w:rsidR="000431ED" w:rsidRPr="00A4272B" w:rsidRDefault="000431ED">
      <w:pPr>
        <w:pStyle w:val="ListParagraph"/>
        <w:numPr>
          <w:ilvl w:val="0"/>
          <w:numId w:val="50"/>
        </w:numPr>
        <w:autoSpaceDE w:val="0"/>
        <w:snapToGrid/>
        <w:rPr>
          <w:szCs w:val="20"/>
        </w:rPr>
      </w:pPr>
      <w:r w:rsidRPr="00A4272B">
        <w:rPr>
          <w:b/>
          <w:bCs/>
          <w:iCs/>
          <w:szCs w:val="20"/>
        </w:rPr>
        <w:t xml:space="preserve">Method </w:t>
      </w:r>
      <w:r w:rsidR="00D10A28" w:rsidRPr="00A4272B">
        <w:rPr>
          <w:b/>
          <w:bCs/>
          <w:iCs/>
          <w:szCs w:val="20"/>
        </w:rPr>
        <w:t>d</w:t>
      </w:r>
      <w:r w:rsidRPr="00A4272B">
        <w:rPr>
          <w:b/>
          <w:bCs/>
          <w:iCs/>
          <w:szCs w:val="20"/>
        </w:rPr>
        <w:t xml:space="preserve">etection </w:t>
      </w:r>
      <w:r w:rsidR="00D10A28" w:rsidRPr="00A4272B">
        <w:rPr>
          <w:b/>
          <w:bCs/>
          <w:iCs/>
          <w:szCs w:val="20"/>
        </w:rPr>
        <w:t>l</w:t>
      </w:r>
      <w:r w:rsidRPr="00A4272B">
        <w:rPr>
          <w:b/>
          <w:bCs/>
          <w:iCs/>
          <w:szCs w:val="20"/>
        </w:rPr>
        <w:t>imit (MDL) and dealing with data that falls below MDL</w:t>
      </w:r>
      <w:r w:rsidR="00D10A28" w:rsidRPr="00A4272B">
        <w:rPr>
          <w:b/>
          <w:bCs/>
          <w:iCs/>
          <w:szCs w:val="20"/>
        </w:rPr>
        <w:t>:</w:t>
      </w:r>
      <w:r w:rsidRPr="00A4272B">
        <w:rPr>
          <w:szCs w:val="20"/>
        </w:rPr>
        <w:t xml:space="preserve"> The method detection limit is usually defined as the mean blank + 3SD. If field blank values are available, these are preferred. In cases where analytes are not detected in blanks, the MDL can be based on the instrument detection limit (IDL).</w:t>
      </w:r>
      <w:r w:rsidRPr="00A4272B" w:rsidDel="00DF1191">
        <w:rPr>
          <w:szCs w:val="20"/>
        </w:rPr>
        <w:t xml:space="preserve"> </w:t>
      </w:r>
      <w:r w:rsidRPr="00A4272B">
        <w:rPr>
          <w:szCs w:val="20"/>
        </w:rPr>
        <w:t>Compounds that are detected above the MDL value can be considered very unlikely to be due to blank variability. Data that fall below the MDL should be reported as &lt;MDL</w:t>
      </w:r>
      <w:r w:rsidR="003F50B4" w:rsidRPr="00A4272B">
        <w:rPr>
          <w:szCs w:val="20"/>
        </w:rPr>
        <w:t>;</w:t>
      </w:r>
    </w:p>
    <w:p w14:paraId="672F2A2C" w14:textId="2F205653" w:rsidR="000431ED" w:rsidRPr="00A4272B" w:rsidRDefault="000431ED">
      <w:pPr>
        <w:pStyle w:val="ListParagraph"/>
        <w:numPr>
          <w:ilvl w:val="0"/>
          <w:numId w:val="50"/>
        </w:numPr>
        <w:autoSpaceDE w:val="0"/>
        <w:snapToGrid/>
        <w:rPr>
          <w:szCs w:val="20"/>
          <w:u w:val="single"/>
        </w:rPr>
      </w:pPr>
      <w:r w:rsidRPr="00A4272B">
        <w:rPr>
          <w:b/>
          <w:bCs/>
          <w:iCs/>
          <w:szCs w:val="20"/>
        </w:rPr>
        <w:t xml:space="preserve">Limit of </w:t>
      </w:r>
      <w:r w:rsidR="00D10A28" w:rsidRPr="00A4272B">
        <w:rPr>
          <w:b/>
          <w:bCs/>
          <w:iCs/>
          <w:szCs w:val="20"/>
        </w:rPr>
        <w:t>q</w:t>
      </w:r>
      <w:r w:rsidRPr="00A4272B">
        <w:rPr>
          <w:b/>
          <w:bCs/>
          <w:iCs/>
          <w:szCs w:val="20"/>
        </w:rPr>
        <w:t>uantification (LOQ)</w:t>
      </w:r>
      <w:r w:rsidR="00D10A28" w:rsidRPr="00A4272B">
        <w:rPr>
          <w:b/>
          <w:bCs/>
          <w:iCs/>
          <w:szCs w:val="20"/>
        </w:rPr>
        <w:t>:</w:t>
      </w:r>
      <w:r w:rsidRPr="00A4272B">
        <w:rPr>
          <w:szCs w:val="20"/>
        </w:rPr>
        <w:t xml:space="preserve"> The LOQ convention is rarely used in trace SVOC analysis with the exception of dioxins and furans. LOQ is typically defined as 3 times IDL or 10 times the signal: noise. These two conventions result in similar numbers.</w:t>
      </w:r>
    </w:p>
    <w:p w14:paraId="0F496F6D" w14:textId="77777777" w:rsidR="00274139" w:rsidRPr="00A4272B" w:rsidRDefault="00F3536C" w:rsidP="00817D9F">
      <w:pPr>
        <w:pStyle w:val="Heading4"/>
        <w:rPr>
          <w:rFonts w:hint="eastAsia"/>
        </w:rPr>
      </w:pPr>
      <w:r w:rsidRPr="00A4272B">
        <w:t>Data treatment</w:t>
      </w:r>
    </w:p>
    <w:p w14:paraId="11952382" w14:textId="31BDA55C" w:rsidR="00274139" w:rsidRPr="00A4272B" w:rsidRDefault="00274139">
      <w:pPr>
        <w:pStyle w:val="ListParagraph"/>
        <w:numPr>
          <w:ilvl w:val="1"/>
          <w:numId w:val="46"/>
        </w:numPr>
        <w:rPr>
          <w:szCs w:val="20"/>
        </w:rPr>
      </w:pPr>
      <w:r w:rsidRPr="00A4272B">
        <w:rPr>
          <w:b/>
          <w:bCs/>
          <w:szCs w:val="20"/>
        </w:rPr>
        <w:t>Q</w:t>
      </w:r>
      <w:r w:rsidR="00F3536C" w:rsidRPr="00A4272B">
        <w:rPr>
          <w:b/>
          <w:bCs/>
          <w:szCs w:val="20"/>
        </w:rPr>
        <w:t>ualifying data, blank and recovery correction</w:t>
      </w:r>
      <w:r w:rsidRPr="00A4272B">
        <w:rPr>
          <w:b/>
          <w:bCs/>
          <w:szCs w:val="20"/>
        </w:rPr>
        <w:t xml:space="preserve">: </w:t>
      </w:r>
      <w:r w:rsidRPr="00A4272B">
        <w:rPr>
          <w:szCs w:val="20"/>
        </w:rPr>
        <w:t>As mentioned, raw data is qualified as real if it exceeds the method detection limit (MDL). Qualified data may then undergo blank correction by subtracting the mean blank value. Recovery correction should only be applied to blank-corrected data if sample-specific internal surrogates (isotopically labeled analogs of target analytes) were used.</w:t>
      </w:r>
    </w:p>
    <w:p w14:paraId="217FE6FA" w14:textId="77777777" w:rsidR="00274139" w:rsidRPr="00A4272B" w:rsidRDefault="00274139" w:rsidP="00274139">
      <w:pPr>
        <w:ind w:left="720"/>
        <w:rPr>
          <w:lang w:val="en-US"/>
        </w:rPr>
      </w:pPr>
      <w:r w:rsidRPr="00A4272B">
        <w:rPr>
          <w:lang w:val="en-US"/>
        </w:rPr>
        <w:t>For reporting and streamlined data handling, data should ideally be presented in the following formats:</w:t>
      </w:r>
    </w:p>
    <w:p w14:paraId="42CCD9DD" w14:textId="626ECDBA" w:rsidR="00274139" w:rsidRPr="00A4272B" w:rsidRDefault="00274139">
      <w:pPr>
        <w:numPr>
          <w:ilvl w:val="0"/>
          <w:numId w:val="51"/>
        </w:numPr>
        <w:rPr>
          <w:lang w:val="en-US"/>
        </w:rPr>
      </w:pPr>
      <w:r w:rsidRPr="00A4272B">
        <w:rPr>
          <w:b/>
          <w:bCs/>
          <w:lang w:val="en-US"/>
        </w:rPr>
        <w:t>Qualified raw and blank-corrected data</w:t>
      </w:r>
      <w:r w:rsidRPr="00A4272B">
        <w:rPr>
          <w:lang w:val="en-US"/>
        </w:rPr>
        <w:t>: Present raw data that exceeds the MDL and has been blank-corrected. Include mean blank values and MDLs for each analyte</w:t>
      </w:r>
      <w:r w:rsidR="003F50B4" w:rsidRPr="00A4272B">
        <w:rPr>
          <w:lang w:val="en-US"/>
        </w:rPr>
        <w:t>;</w:t>
      </w:r>
    </w:p>
    <w:p w14:paraId="47CED358" w14:textId="76B59F3E" w:rsidR="00274139" w:rsidRPr="00A4272B" w:rsidRDefault="00274139">
      <w:pPr>
        <w:numPr>
          <w:ilvl w:val="0"/>
          <w:numId w:val="51"/>
        </w:numPr>
        <w:rPr>
          <w:lang w:val="en-US"/>
        </w:rPr>
      </w:pPr>
      <w:r w:rsidRPr="00A4272B">
        <w:rPr>
          <w:b/>
          <w:bCs/>
          <w:lang w:val="en-US"/>
        </w:rPr>
        <w:t>Recovery-corrected data</w:t>
      </w:r>
      <w:r w:rsidRPr="00A4272B">
        <w:rPr>
          <w:lang w:val="en-US"/>
        </w:rPr>
        <w:t>: Only report recovery-corrected data when internal surrogates were used. If external recovery values were applied to validate methodology but not for sample correction, note this to provide insight into data quality</w:t>
      </w:r>
      <w:r w:rsidR="003F50B4" w:rsidRPr="00A4272B">
        <w:rPr>
          <w:lang w:val="en-US"/>
        </w:rPr>
        <w:t>.</w:t>
      </w:r>
    </w:p>
    <w:p w14:paraId="648EAB90" w14:textId="2C2C367A" w:rsidR="00274139" w:rsidRPr="00A4272B" w:rsidRDefault="00274139" w:rsidP="00274139">
      <w:pPr>
        <w:ind w:left="720"/>
        <w:rPr>
          <w:lang w:val="en-US"/>
        </w:rPr>
      </w:pPr>
      <w:r w:rsidRPr="00A4272B">
        <w:rPr>
          <w:lang w:val="en-US"/>
        </w:rPr>
        <w:t>Clarity in reporting (i.e., specifying whether data is blank- or recovery-corrected) is crucial to facilitate future data manipulation if necessary. For data that falls below the MDL but above the mean blank value, consider reporting these values and flagging them to indicate higher uncertainty</w:t>
      </w:r>
      <w:r w:rsidR="003F50B4" w:rsidRPr="00A4272B">
        <w:rPr>
          <w:lang w:val="en-US"/>
        </w:rPr>
        <w:t>;</w:t>
      </w:r>
    </w:p>
    <w:p w14:paraId="0B71CCF1" w14:textId="10EE1A85" w:rsidR="00274139" w:rsidRPr="00A4272B" w:rsidRDefault="00F3536C">
      <w:pPr>
        <w:pStyle w:val="ListParagraph"/>
        <w:numPr>
          <w:ilvl w:val="1"/>
          <w:numId w:val="46"/>
        </w:numPr>
        <w:rPr>
          <w:szCs w:val="20"/>
        </w:rPr>
      </w:pPr>
      <w:r w:rsidRPr="00A4272B">
        <w:rPr>
          <w:b/>
          <w:bCs/>
          <w:szCs w:val="20"/>
        </w:rPr>
        <w:t>Data comparability</w:t>
      </w:r>
      <w:r w:rsidR="00274139" w:rsidRPr="00A4272B">
        <w:rPr>
          <w:b/>
          <w:bCs/>
          <w:szCs w:val="20"/>
        </w:rPr>
        <w:t xml:space="preserve">: </w:t>
      </w:r>
      <w:r w:rsidR="00274139" w:rsidRPr="00A4272B">
        <w:rPr>
          <w:szCs w:val="20"/>
        </w:rPr>
        <w:t xml:space="preserve">Data comparability is essential for evaluating POPs, addressing temporal trends, and ensuring reliability across </w:t>
      </w:r>
      <w:r w:rsidR="002A6D39" w:rsidRPr="00A4272B">
        <w:rPr>
          <w:szCs w:val="20"/>
        </w:rPr>
        <w:t xml:space="preserve">programmes </w:t>
      </w:r>
      <w:r w:rsidR="00274139" w:rsidRPr="00A4272B">
        <w:rPr>
          <w:szCs w:val="20"/>
        </w:rPr>
        <w:t>and methodologies. Comparability has several dimensions:</w:t>
      </w:r>
    </w:p>
    <w:p w14:paraId="27CFEFCD" w14:textId="23DE85BF" w:rsidR="00274139" w:rsidRPr="00A4272B" w:rsidRDefault="00274139">
      <w:pPr>
        <w:numPr>
          <w:ilvl w:val="0"/>
          <w:numId w:val="52"/>
        </w:numPr>
        <w:rPr>
          <w:lang w:val="en-US"/>
        </w:rPr>
      </w:pPr>
      <w:r w:rsidRPr="00A4272B">
        <w:rPr>
          <w:b/>
          <w:bCs/>
          <w:lang w:val="en-US"/>
        </w:rPr>
        <w:t>Intra-</w:t>
      </w:r>
      <w:r w:rsidR="002A6D39" w:rsidRPr="00A4272B">
        <w:rPr>
          <w:b/>
          <w:bCs/>
          <w:lang w:val="en-US"/>
        </w:rPr>
        <w:t xml:space="preserve">programme </w:t>
      </w:r>
      <w:r w:rsidRPr="00A4272B">
        <w:rPr>
          <w:b/>
          <w:bCs/>
          <w:lang w:val="en-US"/>
        </w:rPr>
        <w:t>comparability</w:t>
      </w:r>
      <w:r w:rsidRPr="00A4272B">
        <w:rPr>
          <w:lang w:val="en-US"/>
        </w:rPr>
        <w:t xml:space="preserve">: Ensures consistency within a </w:t>
      </w:r>
      <w:r w:rsidR="002A6D39" w:rsidRPr="00A4272B">
        <w:rPr>
          <w:lang w:val="en-US"/>
        </w:rPr>
        <w:t xml:space="preserve">programme </w:t>
      </w:r>
      <w:r w:rsidRPr="00A4272B">
        <w:rPr>
          <w:lang w:val="en-US"/>
        </w:rPr>
        <w:t>to assess temporal trends in air concentrations</w:t>
      </w:r>
      <w:r w:rsidR="003F50B4" w:rsidRPr="00A4272B">
        <w:rPr>
          <w:lang w:val="en-US"/>
        </w:rPr>
        <w:t>;</w:t>
      </w:r>
    </w:p>
    <w:p w14:paraId="6F2F526D" w14:textId="1EEB6989" w:rsidR="00274139" w:rsidRPr="00A4272B" w:rsidRDefault="00274139">
      <w:pPr>
        <w:numPr>
          <w:ilvl w:val="0"/>
          <w:numId w:val="52"/>
        </w:numPr>
        <w:rPr>
          <w:lang w:val="en-US"/>
        </w:rPr>
      </w:pPr>
      <w:r w:rsidRPr="00A4272B">
        <w:rPr>
          <w:b/>
          <w:bCs/>
          <w:lang w:val="en-US"/>
        </w:rPr>
        <w:t>Inter-</w:t>
      </w:r>
      <w:r w:rsidR="002A6D39" w:rsidRPr="00A4272B">
        <w:rPr>
          <w:b/>
          <w:bCs/>
          <w:lang w:val="en-US"/>
        </w:rPr>
        <w:t xml:space="preserve">programme </w:t>
      </w:r>
      <w:r w:rsidRPr="00A4272B">
        <w:rPr>
          <w:b/>
          <w:bCs/>
          <w:lang w:val="en-US"/>
        </w:rPr>
        <w:t>comparability</w:t>
      </w:r>
      <w:r w:rsidRPr="00A4272B">
        <w:rPr>
          <w:lang w:val="en-US"/>
        </w:rPr>
        <w:t xml:space="preserve">: Facilitates spatial comparisons across </w:t>
      </w:r>
      <w:r w:rsidR="00AF4A1F" w:rsidRPr="00A4272B">
        <w:rPr>
          <w:lang w:val="en-US"/>
        </w:rPr>
        <w:t>programmes,</w:t>
      </w:r>
      <w:r w:rsidRPr="00A4272B">
        <w:rPr>
          <w:lang w:val="en-US"/>
        </w:rPr>
        <w:t xml:space="preserve"> especially important for modeling and understanding regional and global POPs transport</w:t>
      </w:r>
      <w:r w:rsidR="003F50B4" w:rsidRPr="00A4272B">
        <w:rPr>
          <w:lang w:val="en-US"/>
        </w:rPr>
        <w:t>;</w:t>
      </w:r>
    </w:p>
    <w:p w14:paraId="057A2054" w14:textId="022C9BB9" w:rsidR="00274139" w:rsidRPr="00A4272B" w:rsidRDefault="00274139">
      <w:pPr>
        <w:numPr>
          <w:ilvl w:val="0"/>
          <w:numId w:val="52"/>
        </w:numPr>
        <w:rPr>
          <w:lang w:val="en-US"/>
        </w:rPr>
      </w:pPr>
      <w:r w:rsidRPr="00A4272B">
        <w:rPr>
          <w:b/>
          <w:bCs/>
          <w:lang w:val="en-US"/>
        </w:rPr>
        <w:t>Methodological comparability</w:t>
      </w:r>
      <w:r w:rsidRPr="00A4272B">
        <w:rPr>
          <w:lang w:val="en-US"/>
        </w:rPr>
        <w:t>: Addresses differences in data derived from various approaches (e.g., active vs. passive sampling).</w:t>
      </w:r>
    </w:p>
    <w:p w14:paraId="4C86EF98" w14:textId="4B96BBCF" w:rsidR="008E573A" w:rsidRPr="00A4272B" w:rsidRDefault="008E573A" w:rsidP="008E573A">
      <w:pPr>
        <w:ind w:left="720"/>
        <w:rPr>
          <w:lang w:val="en-US"/>
        </w:rPr>
      </w:pPr>
      <w:r w:rsidRPr="00A4272B">
        <w:rPr>
          <w:lang w:val="en-US"/>
        </w:rPr>
        <w:t xml:space="preserve">Assessing the temporal trends of POPs in air is essential to evaluate the effectiveness of control measures. Achieving this requires internal consistency within datasets, which can be maintained by strict sampling protocols and laboratory QA/QC practices, ensuring data reflect real concentration changes rather than </w:t>
      </w:r>
      <w:r w:rsidRPr="00A4272B">
        <w:rPr>
          <w:lang w:val="en-US"/>
        </w:rPr>
        <w:lastRenderedPageBreak/>
        <w:t xml:space="preserve">extraneous influences. Some long-term monitoring </w:t>
      </w:r>
      <w:r w:rsidR="002A6D39" w:rsidRPr="00A4272B">
        <w:rPr>
          <w:lang w:val="en-US"/>
        </w:rPr>
        <w:t xml:space="preserve">programmes </w:t>
      </w:r>
      <w:r w:rsidRPr="00A4272B">
        <w:rPr>
          <w:lang w:val="en-US"/>
        </w:rPr>
        <w:t>continue using original analytical methods, even if outdated, to maintain consistency with past data. Any significant methodological changes should be paired with an intercomparison strategy to assess, quantify, and adjust for discrepancies (e.g., Su et al., 2011).</w:t>
      </w:r>
    </w:p>
    <w:p w14:paraId="47E642A1" w14:textId="18198C65" w:rsidR="008E573A" w:rsidRPr="00A4272B" w:rsidRDefault="008E573A" w:rsidP="008E573A">
      <w:pPr>
        <w:ind w:left="720"/>
        <w:rPr>
          <w:lang w:val="en-US"/>
        </w:rPr>
      </w:pPr>
      <w:r w:rsidRPr="00A4272B">
        <w:rPr>
          <w:lang w:val="en-US"/>
        </w:rPr>
        <w:t>While not as critical for evaluating effectiveness, inter-</w:t>
      </w:r>
      <w:r w:rsidR="002A6D39" w:rsidRPr="00A4272B">
        <w:rPr>
          <w:lang w:val="en-US"/>
        </w:rPr>
        <w:t xml:space="preserve">programme </w:t>
      </w:r>
      <w:r w:rsidRPr="00A4272B">
        <w:rPr>
          <w:lang w:val="en-US"/>
        </w:rPr>
        <w:t>comparability is valuable for studying regional and global POPs transport and for model applications. This comparability can be assessed through intercalibration exercises, addressing differences in sampling techniques, equipment, and analytical practices. International interlaboratory comparisons over the last decade (Su and Hung, 2010) have shown that interlaboratory differences of up to a factor of 2 are common, with intralaboratory precision generally showing a &lt;10% relative standard deviation. Under UNEP-GEF projects, three rounds of interlaboratory assessments were completed, with a fourth underway (2018/2019). Air extracts have been included as test matrices since 2012/2013, with overall good results in the third round, particularly for PBDE and dioxin-like POPs (71% and 69% satisfactory results, respectively). However, only half the results for organochlorine pesticides were satisfactory, and results for toxaphene and HBCD were too inconsistent to establish consensus values.</w:t>
      </w:r>
    </w:p>
    <w:p w14:paraId="200207CF" w14:textId="53FC6C3E" w:rsidR="00274139" w:rsidRPr="00A4272B" w:rsidRDefault="008E573A" w:rsidP="008E573A">
      <w:pPr>
        <w:ind w:left="720"/>
        <w:rPr>
          <w:lang w:val="en-US"/>
        </w:rPr>
      </w:pPr>
      <w:r w:rsidRPr="00A4272B">
        <w:rPr>
          <w:lang w:val="en-US"/>
        </w:rPr>
        <w:t xml:space="preserve">The first intercomparison for passive samplers (PUF disks) with 15 international labs (Melymuk et al., 2021) found low variability from PUF-PAS designs but significant variability among laboratories. Master stations, overlapping two or more sampling </w:t>
      </w:r>
      <w:r w:rsidR="00AF4A1F" w:rsidRPr="00A4272B">
        <w:rPr>
          <w:lang w:val="en-US"/>
        </w:rPr>
        <w:t>programmes,</w:t>
      </w:r>
      <w:r w:rsidRPr="00A4272B">
        <w:rPr>
          <w:lang w:val="en-US"/>
        </w:rPr>
        <w:t xml:space="preserve"> offer another strategy to assess inter-</w:t>
      </w:r>
      <w:r w:rsidR="002A6D39" w:rsidRPr="00A4272B">
        <w:rPr>
          <w:lang w:val="en-US"/>
        </w:rPr>
        <w:t xml:space="preserve">programme </w:t>
      </w:r>
      <w:r w:rsidRPr="00A4272B">
        <w:rPr>
          <w:lang w:val="en-US"/>
        </w:rPr>
        <w:t>comparability, as they reveal variability beyond laboratory discrepancies. Some overlap in monitoring sites already exists and could be further utilized. Broader data comparability is also relevant when reporting data from diverse sampling approaches (e.g., passive vs. active; gas-phase vs. particle-phase; time-integrated vs. intermittent sampling). Dreyer et al. (2010) demonstrated good comparability between high-volume and SIP disk samplers for polyfluorinated compounds, while Holt et al. (2017) and Kalina et al. (2012, 2019) showed comparability between PUF disks and high-volume samplers for several POPs classes across various sites. Melymuk et al. (2017) also studied degradation within samplers by reactive gases and found minimal impact on POPs comparability.</w:t>
      </w:r>
    </w:p>
    <w:p w14:paraId="1F8E06CE" w14:textId="21F0B200" w:rsidR="00F3536C" w:rsidRPr="00A4272B" w:rsidRDefault="008E573A" w:rsidP="009C6EC7">
      <w:pPr>
        <w:rPr>
          <w:b/>
          <w:lang w:val="en-US"/>
        </w:rPr>
      </w:pPr>
      <w:r w:rsidRPr="00A4272B">
        <w:rPr>
          <w:b/>
          <w:noProof/>
          <w:sz w:val="22"/>
          <w:szCs w:val="22"/>
          <w:lang w:val="en-US"/>
        </w:rPr>
        <w:lastRenderedPageBreak/>
        <w:drawing>
          <wp:inline distT="0" distB="0" distL="0" distR="0" wp14:anchorId="29E96040" wp14:editId="1241C165">
            <wp:extent cx="6033770" cy="5527835"/>
            <wp:effectExtent l="0" t="0" r="5080" b="0"/>
            <wp:docPr id="56993308" name="Picture 2"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3308" name="Picture 2" descr="A group of graphs showing different types of data&#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3770" cy="5527835"/>
                    </a:xfrm>
                    <a:prstGeom prst="rect">
                      <a:avLst/>
                    </a:prstGeom>
                    <a:noFill/>
                  </pic:spPr>
                </pic:pic>
              </a:graphicData>
            </a:graphic>
          </wp:inline>
        </w:drawing>
      </w:r>
    </w:p>
    <w:p w14:paraId="26A7D080" w14:textId="25F39305" w:rsidR="00F3536C" w:rsidRPr="00A4272B" w:rsidRDefault="00F3536C" w:rsidP="009C6EC7">
      <w:pPr>
        <w:autoSpaceDE w:val="0"/>
        <w:rPr>
          <w:b/>
          <w:lang w:val="en-US"/>
        </w:rPr>
      </w:pPr>
      <w:r w:rsidRPr="00A4272B">
        <w:rPr>
          <w:b/>
          <w:lang w:val="en-US"/>
        </w:rPr>
        <w:t xml:space="preserve">Figure 4.1.9: </w:t>
      </w:r>
      <w:r w:rsidR="008E573A" w:rsidRPr="00A4272B">
        <w:rPr>
          <w:b/>
          <w:lang w:val="en-US"/>
        </w:rPr>
        <w:t xml:space="preserve">Exponential trends with 95% confidence intervals (shaded) for PCB-28, as observed by Kalina et al. (2019) from 1996 to 2018 at six European sites. </w:t>
      </w:r>
      <w:r w:rsidR="008E573A" w:rsidRPr="00A4272B">
        <w:rPr>
          <w:bCs/>
          <w:sz w:val="18"/>
          <w:szCs w:val="18"/>
          <w:lang w:val="en-US"/>
        </w:rPr>
        <w:t xml:space="preserve">(Data were collected under MONET (passive, red) and EMEP (active, green) </w:t>
      </w:r>
      <w:r w:rsidR="008F74AD" w:rsidRPr="00A4272B">
        <w:rPr>
          <w:bCs/>
          <w:sz w:val="18"/>
          <w:szCs w:val="18"/>
          <w:lang w:val="en-US"/>
        </w:rPr>
        <w:t>programmes</w:t>
      </w:r>
      <w:r w:rsidR="008E573A" w:rsidRPr="00A4272B">
        <w:rPr>
          <w:bCs/>
          <w:sz w:val="18"/>
          <w:szCs w:val="18"/>
          <w:lang w:val="en-US"/>
        </w:rPr>
        <w:t>. The model is scaled to the median values within the overlapping measurement interval</w:t>
      </w:r>
      <w:r w:rsidRPr="00A4272B">
        <w:rPr>
          <w:bCs/>
          <w:sz w:val="18"/>
          <w:szCs w:val="18"/>
          <w:lang w:val="en-US"/>
        </w:rPr>
        <w:t>.</w:t>
      </w:r>
      <w:r w:rsidR="008E573A" w:rsidRPr="00A4272B">
        <w:rPr>
          <w:bCs/>
          <w:sz w:val="18"/>
          <w:szCs w:val="18"/>
          <w:lang w:val="en-US"/>
        </w:rPr>
        <w:t>)</w:t>
      </w:r>
    </w:p>
    <w:p w14:paraId="58319769" w14:textId="049F30C7" w:rsidR="008E573A" w:rsidRPr="00A4272B" w:rsidRDefault="008E573A" w:rsidP="008E573A">
      <w:pPr>
        <w:rPr>
          <w:lang w:val="en-US"/>
        </w:rPr>
      </w:pPr>
      <w:r w:rsidRPr="00A4272B">
        <w:rPr>
          <w:lang w:val="en-US"/>
        </w:rPr>
        <w:t xml:space="preserve">It's essential to reference observed air concentrations by specific site categories (see </w:t>
      </w:r>
      <w:r w:rsidR="002A6D39" w:rsidRPr="00A4272B">
        <w:rPr>
          <w:lang w:val="en-US"/>
        </w:rPr>
        <w:t>chapter</w:t>
      </w:r>
      <w:r w:rsidRPr="00A4272B">
        <w:rPr>
          <w:lang w:val="en-US"/>
        </w:rPr>
        <w:t xml:space="preserve"> 4.1.1) rather than by country or region, as POP air concentrations can vary significantly, even within small areas. Data from one or two sites should not be considered representative of an entire country.</w:t>
      </w:r>
    </w:p>
    <w:p w14:paraId="1F9EF412" w14:textId="1BACE9FF" w:rsidR="00F3536C" w:rsidRPr="00A4272B" w:rsidRDefault="008E573A" w:rsidP="009C6EC7">
      <w:pPr>
        <w:rPr>
          <w:lang w:val="en-US"/>
        </w:rPr>
      </w:pPr>
      <w:r w:rsidRPr="00A4272B">
        <w:rPr>
          <w:lang w:val="en-US"/>
        </w:rPr>
        <w:t xml:space="preserve">In summary, interpreting and comparing air concentration data, particularly across </w:t>
      </w:r>
      <w:r w:rsidR="00AF4A1F" w:rsidRPr="00A4272B">
        <w:rPr>
          <w:lang w:val="en-US"/>
        </w:rPr>
        <w:t>programmes,</w:t>
      </w:r>
      <w:r w:rsidRPr="00A4272B">
        <w:rPr>
          <w:lang w:val="en-US"/>
        </w:rPr>
        <w:t xml:space="preserve"> requires substantial supplementary information. Reporting would be greatly improved if primary data adhered to the guidance in this document. Generally, air concentrations should be reported in pg/m³, accompanied by details on collection methods, the sample’s phase (gas vs. particle), and site category (see </w:t>
      </w:r>
      <w:r w:rsidR="002A6D39" w:rsidRPr="00A4272B">
        <w:rPr>
          <w:lang w:val="en-US"/>
        </w:rPr>
        <w:t>chapter</w:t>
      </w:r>
      <w:r w:rsidRPr="00A4272B">
        <w:rPr>
          <w:lang w:val="en-US"/>
        </w:rPr>
        <w:t xml:space="preserve"> 4.1.1). For extreme altitudes or temperatures, concentrations may need to be normalized to standard temperature and pressure, especially if sampling equipment doesn’t automatically adjust (Fellin et al., 1996). Some passive sampling studies report results as mass per sample due to uncertainty in effective air volume; in such cases, normalizing data by sample duration (per day, month, or year) is essential for comparability.</w:t>
      </w:r>
    </w:p>
    <w:p w14:paraId="300628F6" w14:textId="5AD209AB" w:rsidR="00F3536C" w:rsidRPr="00A4272B" w:rsidRDefault="001F665D" w:rsidP="00817D9F">
      <w:pPr>
        <w:pStyle w:val="Heading3"/>
        <w:rPr>
          <w:rFonts w:hint="eastAsia"/>
          <w:sz w:val="22"/>
          <w:szCs w:val="22"/>
        </w:rPr>
      </w:pPr>
      <w:bookmarkStart w:id="161" w:name="_Toc535584338"/>
      <w:bookmarkStart w:id="162" w:name="_Toc531643"/>
      <w:bookmarkStart w:id="163" w:name="_Toc532163"/>
      <w:bookmarkStart w:id="164" w:name="_Toc532376"/>
      <w:bookmarkStart w:id="165" w:name="_Toc1467877"/>
      <w:bookmarkStart w:id="166" w:name="_Toc1468050"/>
      <w:bookmarkStart w:id="167" w:name="_Toc1483934"/>
      <w:bookmarkStart w:id="168" w:name="_Toc65306478"/>
      <w:bookmarkStart w:id="169" w:name="_Toc187270487"/>
      <w:r w:rsidRPr="00A4272B">
        <w:t>4</w:t>
      </w:r>
      <w:r w:rsidR="00F3536C" w:rsidRPr="00A4272B">
        <w:t>.1.</w:t>
      </w:r>
      <w:r w:rsidR="009B1EFC" w:rsidRPr="00A4272B">
        <w:t>5</w:t>
      </w:r>
      <w:r w:rsidR="009C6EC7" w:rsidRPr="00A4272B">
        <w:tab/>
      </w:r>
      <w:r w:rsidR="00F3536C" w:rsidRPr="00A4272B">
        <w:t xml:space="preserve">Climate </w:t>
      </w:r>
      <w:r w:rsidR="006206A0" w:rsidRPr="00A4272B">
        <w:t>e</w:t>
      </w:r>
      <w:r w:rsidR="00F3536C" w:rsidRPr="00A4272B">
        <w:t>ffects</w:t>
      </w:r>
      <w:bookmarkEnd w:id="161"/>
      <w:bookmarkEnd w:id="162"/>
      <w:bookmarkEnd w:id="163"/>
      <w:bookmarkEnd w:id="164"/>
      <w:bookmarkEnd w:id="165"/>
      <w:bookmarkEnd w:id="166"/>
      <w:bookmarkEnd w:id="167"/>
      <w:bookmarkEnd w:id="168"/>
      <w:bookmarkEnd w:id="169"/>
      <w:r w:rsidR="00F3536C" w:rsidRPr="00A4272B">
        <w:t xml:space="preserve"> </w:t>
      </w:r>
    </w:p>
    <w:p w14:paraId="2673393A" w14:textId="77777777" w:rsidR="008E573A" w:rsidRPr="00A4272B" w:rsidRDefault="008E573A" w:rsidP="008E573A">
      <w:pPr>
        <w:autoSpaceDE w:val="0"/>
        <w:rPr>
          <w:lang w:val="en-US"/>
        </w:rPr>
      </w:pPr>
      <w:r w:rsidRPr="00A4272B">
        <w:rPr>
          <w:lang w:val="en-US"/>
        </w:rPr>
        <w:t>The topic of climate change and its impact on contaminant pathways adds complexity to analyzing temporal trends of POPs (Macdonald et al., 2005; Ma et al., 2011, 2016). Studies have shown correlations between POPs air concentrations and low-frequency climate variations (e.g., North Atlantic Oscillation (NAO), El Niño-Southern Oscillation (ENSO), and the Pacific North American (PNA) pattern) (Ma et al., 2004). This issue is especially relevant in regions like the Arctic, where rising temperatures and geophysical changes are most pronounced (Macdonald et al., 2005). In addition to rising temperatures, climate-driven meteorological disruptions (e.g., increased flooding, droughts) may further impact POPs mobility and trends in air concentrations.</w:t>
      </w:r>
    </w:p>
    <w:p w14:paraId="2D671C18" w14:textId="77777777" w:rsidR="008E573A" w:rsidRPr="00A4272B" w:rsidRDefault="008E573A" w:rsidP="008E573A">
      <w:pPr>
        <w:autoSpaceDE w:val="0"/>
        <w:rPr>
          <w:lang w:val="en-US"/>
        </w:rPr>
      </w:pPr>
      <w:r w:rsidRPr="00A4272B">
        <w:rPr>
          <w:lang w:val="en-US"/>
        </w:rPr>
        <w:lastRenderedPageBreak/>
        <w:t>To interpret trends accurately, it’s essential to consider these factors on a site-specific basis. For example, as shown for PCB-52 in Figure 4.1.10, site-specific analyses avoid overgeneralizing findings to an entire region and improve data comparability.</w:t>
      </w:r>
    </w:p>
    <w:p w14:paraId="67AD9D22" w14:textId="77777777" w:rsidR="008E573A" w:rsidRPr="00A4272B" w:rsidRDefault="008E573A" w:rsidP="008E573A">
      <w:pPr>
        <w:autoSpaceDE w:val="0"/>
        <w:rPr>
          <w:lang w:val="en-US"/>
        </w:rPr>
      </w:pPr>
      <w:r w:rsidRPr="00A4272B">
        <w:rPr>
          <w:lang w:val="en-US"/>
        </w:rPr>
        <w:t>The impact of climate change on POPs and Chemicals of Emerging Arctic Concern (CEACs) in the Arctic was recently examined by AMAP (2021). Critical reviews exploring climate change effects in polar regions—including the Arctic, Antarctic, and Tibetan Plateau—were published following this assessment (de Wit, Vorkamp, and Muir, 2022; Borgå et al., 2022; Hung et al., 2022; Chai, Zhou, and Wang, 2022; Corsolini and Ademollo, 2022; Vorkamp et al., 2022).</w:t>
      </w:r>
    </w:p>
    <w:p w14:paraId="0A720815" w14:textId="77777777" w:rsidR="008E573A" w:rsidRPr="00A4272B" w:rsidRDefault="008E573A" w:rsidP="008E573A">
      <w:pPr>
        <w:autoSpaceDE w:val="0"/>
        <w:rPr>
          <w:lang w:val="en-US"/>
        </w:rPr>
      </w:pPr>
      <w:r w:rsidRPr="00A4272B">
        <w:rPr>
          <w:lang w:val="en-US"/>
        </w:rPr>
        <w:t>Key findings on climate influences on POPs in the abiotic environment include:</w:t>
      </w:r>
    </w:p>
    <w:p w14:paraId="53ACC23A" w14:textId="3387F50C" w:rsidR="008E573A" w:rsidRPr="00A4272B" w:rsidRDefault="008E573A">
      <w:pPr>
        <w:numPr>
          <w:ilvl w:val="0"/>
          <w:numId w:val="53"/>
        </w:numPr>
        <w:autoSpaceDE w:val="0"/>
        <w:rPr>
          <w:lang w:val="en-US"/>
        </w:rPr>
      </w:pPr>
      <w:r w:rsidRPr="00A4272B">
        <w:rPr>
          <w:b/>
          <w:bCs/>
          <w:lang w:val="en-US"/>
        </w:rPr>
        <w:t xml:space="preserve">Changing Human Activities: </w:t>
      </w:r>
      <w:r w:rsidRPr="00A4272B">
        <w:rPr>
          <w:lang w:val="en-US"/>
        </w:rPr>
        <w:t>Urbanization, industrial activity, shipping, mining, and agriculture are altering the proportion of contaminant inputs in the warming Arctic, shifting from long-range atmospheric transport to local emissions. The use and emission sources of chemicals have also evolved (e.g., from point sources of legacy POPs to diffuse sources of various CEACs). New chemical hazard criteria are needed to protect Arctic wildlife and humans from contaminants that don’t meet the Stockholm Convention’s L, P, B, and T criteria</w:t>
      </w:r>
      <w:r w:rsidR="003F50B4" w:rsidRPr="00A4272B">
        <w:rPr>
          <w:lang w:val="en-US"/>
        </w:rPr>
        <w:t>;</w:t>
      </w:r>
    </w:p>
    <w:p w14:paraId="25A4188B" w14:textId="3BF0499B" w:rsidR="008E573A" w:rsidRPr="00A4272B" w:rsidRDefault="008E573A">
      <w:pPr>
        <w:numPr>
          <w:ilvl w:val="0"/>
          <w:numId w:val="53"/>
        </w:numPr>
        <w:autoSpaceDE w:val="0"/>
        <w:rPr>
          <w:lang w:val="en-US"/>
        </w:rPr>
      </w:pPr>
      <w:r w:rsidRPr="00A4272B">
        <w:rPr>
          <w:b/>
          <w:bCs/>
          <w:lang w:val="en-US"/>
        </w:rPr>
        <w:t>Sea Ice and Contaminant Remobilizatio</w:t>
      </w:r>
      <w:r w:rsidRPr="00A4272B">
        <w:rPr>
          <w:lang w:val="en-US"/>
        </w:rPr>
        <w:t>n: Sea ice retreat has increased air-water exchange. Melting ice, increased river runoff, and permafrost degradation are remobilizing contaminants into marine and freshwater environments. The replacement of multi-year ice with brine-rich first-year ice alters the exposure pathways of ice-associated organisms at the food web base. More research is needed to understand the effects of accelerated melting, permafrost thawing, and contaminant remobilization on aquatic ecosystems. Studies on particulate vs. dissolved contaminant redistribution and food web accumulation are essential to quantify these impacts</w:t>
      </w:r>
      <w:r w:rsidR="003F50B4" w:rsidRPr="00A4272B">
        <w:rPr>
          <w:lang w:val="en-US"/>
        </w:rPr>
        <w:t>;</w:t>
      </w:r>
    </w:p>
    <w:p w14:paraId="234E4E6F" w14:textId="77777777" w:rsidR="008E573A" w:rsidRPr="00A4272B" w:rsidRDefault="008E573A">
      <w:pPr>
        <w:numPr>
          <w:ilvl w:val="0"/>
          <w:numId w:val="53"/>
        </w:numPr>
        <w:autoSpaceDE w:val="0"/>
        <w:rPr>
          <w:lang w:val="en-US"/>
        </w:rPr>
      </w:pPr>
      <w:r w:rsidRPr="00A4272B">
        <w:rPr>
          <w:b/>
          <w:bCs/>
          <w:lang w:val="en-US"/>
        </w:rPr>
        <w:t>Extreme Weather Event</w:t>
      </w:r>
      <w:r w:rsidRPr="00A4272B">
        <w:rPr>
          <w:lang w:val="en-US"/>
        </w:rPr>
        <w:t>s: Climate change will lead to more frequent extreme weather events in the Arctic (e.g., intense rain, snowstorms, unseasonal warming, and forest fires), which can impact the fate of POPs. Studies are needed to link these events to POP emissions, deposition, and distribution in Arctic terrestrial, freshwater, and marine environments</w:t>
      </w:r>
    </w:p>
    <w:p w14:paraId="24583C44" w14:textId="47B52C90" w:rsidR="00F3536C" w:rsidRPr="00A4272B" w:rsidRDefault="001F665D" w:rsidP="00817D9F">
      <w:pPr>
        <w:pStyle w:val="Heading3"/>
        <w:rPr>
          <w:rFonts w:hint="eastAsia"/>
          <w:sz w:val="22"/>
          <w:szCs w:val="22"/>
        </w:rPr>
      </w:pPr>
      <w:bookmarkStart w:id="170" w:name="_Toc535584339"/>
      <w:bookmarkStart w:id="171" w:name="_Toc531644"/>
      <w:bookmarkStart w:id="172" w:name="_Toc532164"/>
      <w:bookmarkStart w:id="173" w:name="_Toc532377"/>
      <w:bookmarkStart w:id="174" w:name="_Toc1467878"/>
      <w:bookmarkStart w:id="175" w:name="_Toc1468051"/>
      <w:bookmarkStart w:id="176" w:name="_Toc1483935"/>
      <w:bookmarkStart w:id="177" w:name="_Toc65306479"/>
      <w:bookmarkStart w:id="178" w:name="_Toc187270488"/>
      <w:r w:rsidRPr="00A4272B">
        <w:t>4</w:t>
      </w:r>
      <w:r w:rsidR="00F3536C" w:rsidRPr="00A4272B">
        <w:t>.1.</w:t>
      </w:r>
      <w:r w:rsidR="009B1EFC" w:rsidRPr="00A4272B">
        <w:t>6</w:t>
      </w:r>
      <w:r w:rsidR="009C6EC7" w:rsidRPr="00A4272B">
        <w:tab/>
      </w:r>
      <w:r w:rsidR="00F3536C" w:rsidRPr="00A4272B">
        <w:t>Integration</w:t>
      </w:r>
      <w:bookmarkEnd w:id="170"/>
      <w:bookmarkEnd w:id="171"/>
      <w:bookmarkEnd w:id="172"/>
      <w:bookmarkEnd w:id="173"/>
      <w:bookmarkEnd w:id="174"/>
      <w:bookmarkEnd w:id="175"/>
      <w:bookmarkEnd w:id="176"/>
      <w:bookmarkEnd w:id="177"/>
      <w:bookmarkEnd w:id="178"/>
    </w:p>
    <w:p w14:paraId="5F14298F" w14:textId="31ABC03B" w:rsidR="008E573A" w:rsidRPr="00A4272B" w:rsidRDefault="008E573A" w:rsidP="008E573A">
      <w:pPr>
        <w:autoSpaceDE w:val="0"/>
        <w:rPr>
          <w:lang w:val="en-US"/>
        </w:rPr>
      </w:pPr>
      <w:r w:rsidRPr="00A4272B">
        <w:rPr>
          <w:lang w:val="en-US"/>
        </w:rPr>
        <w:t>Interpreting air monitoring data for POPs to address the effectiveness of control measures or understand regional and global transport is complex, involving multiple interacting factors. While observed temporal trends may reflect regulatory impacts, as previously discussed, they can also result from other influences, such as climate effects. Additionally, some chemicals experience time lags of several years from regulation to a noticeable decline in environmental concentrations due to their persistence (Gouin et al., 2010). Recycling and re-emission from waste streams, like landfills, also contribute to these delays by influencing the emission profiles of newer POPs used in commercial products (Shunthirasingham et al., 2018; Rauert et al., 2018b).</w:t>
      </w:r>
    </w:p>
    <w:p w14:paraId="4CC3A45F" w14:textId="61E4F105" w:rsidR="00F3536C" w:rsidRPr="00A4272B" w:rsidRDefault="008E573A" w:rsidP="008E573A">
      <w:pPr>
        <w:autoSpaceDE w:val="0"/>
        <w:rPr>
          <w:lang w:val="en-US"/>
        </w:rPr>
      </w:pPr>
      <w:r w:rsidRPr="00A4272B">
        <w:rPr>
          <w:lang w:val="en-US"/>
        </w:rPr>
        <w:t xml:space="preserve">Making informed decisions on the fate and behavior of POPs requires integrating data on chemical properties, emissions, model results, and monitoring data (see </w:t>
      </w:r>
      <w:r w:rsidR="009F04ED" w:rsidRPr="00A4272B">
        <w:rPr>
          <w:lang w:val="en-US"/>
        </w:rPr>
        <w:t>Figure</w:t>
      </w:r>
      <w:r w:rsidRPr="00A4272B">
        <w:rPr>
          <w:lang w:val="en-US"/>
        </w:rPr>
        <w:t xml:space="preserve"> 4.1.10). This integrated approach is iterative: one type of information may inform the other and prompt re-evaluation. For example, spatially detailed monitoring data can enable new model applications, and discrepancies between model results and observations may lead to revised emission estimates.</w:t>
      </w:r>
    </w:p>
    <w:p w14:paraId="40DDB7FF" w14:textId="32D9FA0D" w:rsidR="008E573A" w:rsidRPr="00A4272B" w:rsidRDefault="00F3536C" w:rsidP="008E573A">
      <w:pPr>
        <w:rPr>
          <w:bCs/>
          <w:sz w:val="18"/>
          <w:szCs w:val="18"/>
          <w:lang w:val="en-US"/>
        </w:rPr>
      </w:pPr>
      <w:r w:rsidRPr="00A4272B">
        <w:rPr>
          <w:noProof/>
          <w:lang w:val="en-US"/>
        </w:rPr>
        <w:drawing>
          <wp:inline distT="0" distB="0" distL="0" distR="0" wp14:anchorId="1D21E9FC" wp14:editId="010CE096">
            <wp:extent cx="5928360" cy="23615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l="1732"/>
                    <a:stretch>
                      <a:fillRect/>
                    </a:stretch>
                  </pic:blipFill>
                  <pic:spPr bwMode="auto">
                    <a:xfrm>
                      <a:off x="0" y="0"/>
                      <a:ext cx="5928360" cy="2361565"/>
                    </a:xfrm>
                    <a:prstGeom prst="rect">
                      <a:avLst/>
                    </a:prstGeom>
                    <a:solidFill>
                      <a:srgbClr val="FFFFFF"/>
                    </a:solidFill>
                    <a:ln>
                      <a:noFill/>
                    </a:ln>
                  </pic:spPr>
                </pic:pic>
              </a:graphicData>
            </a:graphic>
          </wp:inline>
        </w:drawing>
      </w:r>
      <w:r w:rsidRPr="00A4272B">
        <w:rPr>
          <w:b/>
          <w:lang w:val="en-US"/>
        </w:rPr>
        <w:t xml:space="preserve">Figure 4.1.10: </w:t>
      </w:r>
      <w:r w:rsidR="008E573A" w:rsidRPr="00A4272B">
        <w:rPr>
          <w:b/>
          <w:lang w:val="en-US"/>
        </w:rPr>
        <w:t>Essential information for informed decision-making on a chemical's environmental fate</w:t>
      </w:r>
      <w:r w:rsidR="00C85C14" w:rsidRPr="00A4272B">
        <w:rPr>
          <w:b/>
          <w:lang w:val="en-US"/>
        </w:rPr>
        <w:t>.</w:t>
      </w:r>
      <w:r w:rsidR="008E573A" w:rsidRPr="00A4272B">
        <w:rPr>
          <w:b/>
          <w:lang w:val="en-US"/>
        </w:rPr>
        <w:t xml:space="preserve"> </w:t>
      </w:r>
      <w:r w:rsidR="008E573A" w:rsidRPr="00A4272B">
        <w:rPr>
          <w:bCs/>
          <w:sz w:val="18"/>
          <w:szCs w:val="18"/>
          <w:lang w:val="en-US"/>
        </w:rPr>
        <w:t>(Scheringer, 2009)</w:t>
      </w:r>
      <w:r w:rsidR="00C85C14" w:rsidRPr="00A4272B">
        <w:rPr>
          <w:bCs/>
          <w:sz w:val="18"/>
          <w:szCs w:val="18"/>
          <w:lang w:val="en-US"/>
        </w:rPr>
        <w:t>.</w:t>
      </w:r>
    </w:p>
    <w:p w14:paraId="52F5A611" w14:textId="77777777" w:rsidR="008E573A" w:rsidRPr="00A4272B" w:rsidRDefault="008E573A" w:rsidP="008E573A">
      <w:pPr>
        <w:autoSpaceDE w:val="0"/>
        <w:rPr>
          <w:bCs/>
          <w:sz w:val="22"/>
          <w:szCs w:val="22"/>
          <w:lang w:val="en-US"/>
        </w:rPr>
      </w:pPr>
    </w:p>
    <w:p w14:paraId="34F0CC4B" w14:textId="78234937" w:rsidR="008E573A" w:rsidRPr="00A4272B" w:rsidRDefault="008E573A" w:rsidP="00817D9F">
      <w:pPr>
        <w:pStyle w:val="Heading3"/>
        <w:rPr>
          <w:rFonts w:hint="eastAsia"/>
          <w:sz w:val="22"/>
          <w:szCs w:val="22"/>
        </w:rPr>
      </w:pPr>
      <w:bookmarkStart w:id="179" w:name="_Toc187270489"/>
      <w:r w:rsidRPr="00A4272B">
        <w:lastRenderedPageBreak/>
        <w:t>4.1.7</w:t>
      </w:r>
      <w:r w:rsidR="00817D9F" w:rsidRPr="00A4272B">
        <w:tab/>
      </w:r>
      <w:r w:rsidRPr="00A4272B">
        <w:t>Cross-cutting considerations</w:t>
      </w:r>
      <w:bookmarkEnd w:id="179"/>
    </w:p>
    <w:p w14:paraId="6DAC4CE1" w14:textId="2871AA90" w:rsidR="008E573A" w:rsidRPr="00A4272B" w:rsidRDefault="008E573A" w:rsidP="008E573A">
      <w:pPr>
        <w:autoSpaceDE w:val="0"/>
        <w:rPr>
          <w:color w:val="000000"/>
          <w:lang w:val="en-US"/>
        </w:rPr>
      </w:pPr>
      <w:r w:rsidRPr="00A4272B">
        <w:rPr>
          <w:color w:val="000000"/>
          <w:lang w:val="en-US"/>
        </w:rPr>
        <w:t xml:space="preserve">As discussed in Chapter 1.4, sustainable and adaptable air monitoring under the GMP should aim for co-benefits across the science-policy interface (see </w:t>
      </w:r>
      <w:r w:rsidR="009F04ED" w:rsidRPr="00A4272B">
        <w:rPr>
          <w:lang w:val="en-US"/>
        </w:rPr>
        <w:t>Figure</w:t>
      </w:r>
      <w:r w:rsidRPr="00A4272B">
        <w:rPr>
          <w:color w:val="000000"/>
          <w:lang w:val="en-US"/>
        </w:rPr>
        <w:t xml:space="preserve"> 4.1.11; Vlahos et al., 2023; Harner et al., 2024).</w:t>
      </w:r>
    </w:p>
    <w:p w14:paraId="6E27684D" w14:textId="3E89116B" w:rsidR="008E573A" w:rsidRPr="00A4272B" w:rsidRDefault="008E573A">
      <w:pPr>
        <w:pStyle w:val="ListParagraph"/>
        <w:numPr>
          <w:ilvl w:val="0"/>
          <w:numId w:val="54"/>
        </w:numPr>
        <w:autoSpaceDE w:val="0"/>
        <w:rPr>
          <w:color w:val="000000"/>
        </w:rPr>
      </w:pPr>
      <w:r w:rsidRPr="00A4272B">
        <w:rPr>
          <w:b/>
          <w:bCs/>
          <w:color w:val="000000"/>
        </w:rPr>
        <w:t>Health:</w:t>
      </w:r>
      <w:r w:rsidRPr="00A4272B">
        <w:rPr>
          <w:color w:val="000000"/>
        </w:rPr>
        <w:t xml:space="preserve"> New approach methodologies (NAMs), including chemical assays, bioassays, and in silico methods (e.g., Liu et al., 2021), can assess air toxicity risks. These methods can analyze the entire mixture of chemicals in the air, addressing precursor, transformation products, and unknown chemicals</w:t>
      </w:r>
      <w:r w:rsidR="003F50B4" w:rsidRPr="00A4272B">
        <w:rPr>
          <w:color w:val="000000"/>
        </w:rPr>
        <w:t>;</w:t>
      </w:r>
    </w:p>
    <w:p w14:paraId="41669A5F" w14:textId="39EED647" w:rsidR="008E573A" w:rsidRPr="00A4272B" w:rsidRDefault="008E573A">
      <w:pPr>
        <w:pStyle w:val="ListParagraph"/>
        <w:numPr>
          <w:ilvl w:val="0"/>
          <w:numId w:val="54"/>
        </w:numPr>
        <w:autoSpaceDE w:val="0"/>
        <w:rPr>
          <w:color w:val="000000"/>
        </w:rPr>
      </w:pPr>
      <w:r w:rsidRPr="00A4272B">
        <w:rPr>
          <w:b/>
          <w:bCs/>
          <w:color w:val="000000"/>
        </w:rPr>
        <w:t>Climate change:</w:t>
      </w:r>
      <w:r w:rsidRPr="00A4272B">
        <w:rPr>
          <w:color w:val="000000"/>
        </w:rPr>
        <w:t xml:space="preserve"> POPs trend data in air can provide insights into climate-related effects, such as the remobilization of POPs from temporary reservoirs (e.g., forests, permafrost, oceans) (AMAP, 2021). Recently, PUF disk samplers have shown potential for time-integrated monitoring of black carbon, a significant short-lived climate </w:t>
      </w:r>
      <w:r w:rsidR="006206A0" w:rsidRPr="00A4272B">
        <w:rPr>
          <w:color w:val="000000"/>
        </w:rPr>
        <w:t>force</w:t>
      </w:r>
      <w:r w:rsidRPr="00A4272B">
        <w:rPr>
          <w:color w:val="000000"/>
        </w:rPr>
        <w:t xml:space="preserve"> with inhalation toxicity implications</w:t>
      </w:r>
      <w:r w:rsidR="003F50B4" w:rsidRPr="00A4272B">
        <w:rPr>
          <w:color w:val="000000"/>
        </w:rPr>
        <w:t>;</w:t>
      </w:r>
    </w:p>
    <w:p w14:paraId="790BAFA4" w14:textId="069012CF" w:rsidR="008E573A" w:rsidRPr="00A4272B" w:rsidRDefault="008E573A">
      <w:pPr>
        <w:pStyle w:val="ListParagraph"/>
        <w:numPr>
          <w:ilvl w:val="0"/>
          <w:numId w:val="54"/>
        </w:numPr>
        <w:autoSpaceDE w:val="0"/>
        <w:rPr>
          <w:color w:val="000000"/>
        </w:rPr>
      </w:pPr>
      <w:r w:rsidRPr="00A4272B">
        <w:rPr>
          <w:b/>
          <w:bCs/>
          <w:color w:val="000000"/>
        </w:rPr>
        <w:t xml:space="preserve">Biodiversity loss: </w:t>
      </w:r>
      <w:r w:rsidRPr="00A4272B">
        <w:rPr>
          <w:color w:val="000000"/>
        </w:rPr>
        <w:t>Around 16-25% of ambient particulate matter contains environmental DNA (eDNA) from the aerobiome—a mix of living and dead microorganisms in the atmosphere (Clare et al., 2022; Kalisa, 2024; Samake et al., 2017). Kalisa et al. (2024) demonstrated that GAPS-type PUF disk samplers can capture this aerobiome, enabling monitoring of fungi and bacteria in the air. This approach can track spatial and temporal biodiversity changes and link GMP monitoring under the Stockholm Convention to the Biodiversity Convention goals. The Kunming-Montreal Global Biodiversity Framework, adopted at COP15, includes four goals and 23 targets for living in harmony with nature by 2025 (UNEP, 2022), with Target 7 focusing on reducing biodiversity risks from cumulative pollution effects.</w:t>
      </w:r>
    </w:p>
    <w:p w14:paraId="22905405" w14:textId="4392FFFA" w:rsidR="008E573A" w:rsidRPr="00A4272B" w:rsidRDefault="008E573A" w:rsidP="008E573A">
      <w:pPr>
        <w:autoSpaceDE w:val="0"/>
        <w:rPr>
          <w:color w:val="000000"/>
          <w:sz w:val="22"/>
          <w:szCs w:val="22"/>
          <w:lang w:val="en-US"/>
        </w:rPr>
      </w:pPr>
      <w:r w:rsidRPr="00A4272B">
        <w:rPr>
          <w:color w:val="000000"/>
          <w:lang w:val="en-US"/>
        </w:rPr>
        <w:t>Expanding to a more inclusive and cross-cutting approach to air monitoring under the GMP will foster outreach with a wider range of experts across disciplines, incorporating regional expertise beyond ROG members. This approach will enhance GMP reporting by promoting inclusiveness and diverse perspectives, providing context and relevance for POPs air monitoring data. Additionally, it will ensure comprehensive data capture under GMP reporting.</w:t>
      </w:r>
      <w:r w:rsidRPr="00A4272B">
        <w:rPr>
          <w:noProof/>
          <w:color w:val="000000"/>
          <w:sz w:val="22"/>
          <w:szCs w:val="22"/>
          <w:lang w:val="en-US"/>
        </w:rPr>
        <w:drawing>
          <wp:inline distT="0" distB="0" distL="0" distR="0" wp14:anchorId="09B4CD57" wp14:editId="49A354FF">
            <wp:extent cx="6025769" cy="3996718"/>
            <wp:effectExtent l="0" t="0" r="0" b="0"/>
            <wp:docPr id="1189861011" name="Picture 2" descr="A diagram of a road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61011" name="Picture 2" descr="A diagram of a road with arrow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67047" cy="4024096"/>
                    </a:xfrm>
                    <a:prstGeom prst="rect">
                      <a:avLst/>
                    </a:prstGeom>
                    <a:noFill/>
                  </pic:spPr>
                </pic:pic>
              </a:graphicData>
            </a:graphic>
          </wp:inline>
        </w:drawing>
      </w:r>
    </w:p>
    <w:p w14:paraId="15F3F93E" w14:textId="6757EADC" w:rsidR="008E573A" w:rsidRPr="00A4272B" w:rsidRDefault="008E573A" w:rsidP="008E573A">
      <w:pPr>
        <w:autoSpaceDE w:val="0"/>
        <w:rPr>
          <w:sz w:val="18"/>
          <w:szCs w:val="18"/>
          <w:lang w:val="en-US"/>
        </w:rPr>
      </w:pPr>
      <w:r w:rsidRPr="00A4272B">
        <w:rPr>
          <w:b/>
          <w:lang w:val="en-US"/>
        </w:rPr>
        <w:t>Figure 4.1.11:</w:t>
      </w:r>
      <w:r w:rsidRPr="00A4272B">
        <w:rPr>
          <w:lang w:val="en-US"/>
        </w:rPr>
        <w:t xml:space="preserve"> </w:t>
      </w:r>
      <w:r w:rsidRPr="00A4272B">
        <w:rPr>
          <w:b/>
          <w:bCs/>
          <w:lang w:val="en-US"/>
        </w:rPr>
        <w:t xml:space="preserve">Cross-cutting considerations for POPs air monitoring. </w:t>
      </w:r>
      <w:r w:rsidRPr="00A4272B">
        <w:rPr>
          <w:sz w:val="18"/>
          <w:szCs w:val="18"/>
          <w:lang w:val="en-US"/>
        </w:rPr>
        <w:t>(Modified from Harner et al., 2024)</w:t>
      </w:r>
      <w:r w:rsidR="00C85C14" w:rsidRPr="00A4272B">
        <w:rPr>
          <w:sz w:val="18"/>
          <w:szCs w:val="18"/>
          <w:lang w:val="en-US"/>
        </w:rPr>
        <w:t>.</w:t>
      </w:r>
    </w:p>
    <w:p w14:paraId="50CF93FC" w14:textId="5C23C561" w:rsidR="00F3536C" w:rsidRPr="00A4272B" w:rsidRDefault="00817D9F" w:rsidP="00817D9F">
      <w:pPr>
        <w:pStyle w:val="GMPHeading2"/>
        <w:tabs>
          <w:tab w:val="clear" w:pos="360"/>
          <w:tab w:val="clear" w:pos="450"/>
          <w:tab w:val="clear" w:pos="540"/>
          <w:tab w:val="clear" w:pos="630"/>
        </w:tabs>
        <w:rPr>
          <w:rFonts w:hint="eastAsia"/>
        </w:rPr>
      </w:pPr>
      <w:bookmarkStart w:id="180" w:name="_Toc187270490"/>
      <w:r w:rsidRPr="00A4272B">
        <w:t>4.2</w:t>
      </w:r>
      <w:r w:rsidRPr="00A4272B">
        <w:tab/>
      </w:r>
      <w:r w:rsidR="00F3536C" w:rsidRPr="00A4272B">
        <w:t>Human milk and human blood</w:t>
      </w:r>
      <w:bookmarkEnd w:id="180"/>
    </w:p>
    <w:p w14:paraId="466D055C" w14:textId="37D12D56" w:rsidR="00F3536C" w:rsidRPr="00A4272B" w:rsidRDefault="00BE51B2" w:rsidP="00817D9F">
      <w:pPr>
        <w:pStyle w:val="Heading3"/>
        <w:rPr>
          <w:rFonts w:hint="eastAsia"/>
        </w:rPr>
      </w:pPr>
      <w:bookmarkStart w:id="181" w:name="_Toc1467880"/>
      <w:bookmarkStart w:id="182" w:name="_Toc1468053"/>
      <w:bookmarkStart w:id="183" w:name="_Toc1483937"/>
      <w:bookmarkStart w:id="184" w:name="_Toc65306481"/>
      <w:bookmarkStart w:id="185" w:name="_Toc187270491"/>
      <w:r w:rsidRPr="00A4272B">
        <w:t>4.2.1</w:t>
      </w:r>
      <w:r w:rsidRPr="00A4272B">
        <w:tab/>
      </w:r>
      <w:r w:rsidR="00F3536C" w:rsidRPr="00A4272B">
        <w:t>Experimental design</w:t>
      </w:r>
      <w:bookmarkEnd w:id="181"/>
      <w:bookmarkEnd w:id="182"/>
      <w:bookmarkEnd w:id="183"/>
      <w:bookmarkEnd w:id="184"/>
      <w:bookmarkEnd w:id="185"/>
    </w:p>
    <w:p w14:paraId="1E0888D7" w14:textId="1F370E76" w:rsidR="00E3112D" w:rsidRPr="00A4272B" w:rsidRDefault="00E3112D" w:rsidP="00E3112D">
      <w:pPr>
        <w:rPr>
          <w:color w:val="000000"/>
          <w:lang w:val="en-US"/>
        </w:rPr>
      </w:pPr>
      <w:bookmarkStart w:id="186" w:name="_Toc514239677"/>
      <w:bookmarkStart w:id="187" w:name="_Toc514240581"/>
      <w:bookmarkStart w:id="188" w:name="_Toc514240745"/>
      <w:bookmarkStart w:id="189" w:name="_Toc514243132"/>
      <w:bookmarkStart w:id="190" w:name="_Toc514752025"/>
      <w:bookmarkStart w:id="191" w:name="_Toc535584343"/>
      <w:bookmarkStart w:id="192" w:name="_Toc531647"/>
      <w:bookmarkStart w:id="193" w:name="_Toc532167"/>
      <w:bookmarkStart w:id="194" w:name="_Toc532380"/>
      <w:bookmarkStart w:id="195" w:name="_Toc1467881"/>
      <w:bookmarkStart w:id="196" w:name="_Toc1468054"/>
      <w:bookmarkStart w:id="197" w:name="_Toc1483938"/>
      <w:bookmarkStart w:id="198" w:name="_Toc65306482"/>
      <w:r w:rsidRPr="00A4272B">
        <w:rPr>
          <w:color w:val="000000"/>
          <w:lang w:val="en-US"/>
        </w:rPr>
        <w:t xml:space="preserve">The objective of human monitoring within the GMP is to track temporal and, where relevant, spatial trends in POP levels in humans. The </w:t>
      </w:r>
      <w:r w:rsidR="002A6D39" w:rsidRPr="00A4272B">
        <w:rPr>
          <w:color w:val="000000"/>
          <w:lang w:val="en-US"/>
        </w:rPr>
        <w:t xml:space="preserve">programme </w:t>
      </w:r>
      <w:r w:rsidRPr="00A4272B">
        <w:rPr>
          <w:color w:val="000000"/>
          <w:lang w:val="en-US"/>
        </w:rPr>
        <w:t>also supports regional capacity-building in developing countries by enhancing technical and analytical capabilities to detect regional POP trends.</w:t>
      </w:r>
    </w:p>
    <w:p w14:paraId="5C149FE2" w14:textId="77777777" w:rsidR="00E3112D" w:rsidRPr="00A4272B" w:rsidRDefault="00E3112D" w:rsidP="00E3112D">
      <w:pPr>
        <w:rPr>
          <w:color w:val="000000"/>
          <w:lang w:val="en-US"/>
        </w:rPr>
      </w:pPr>
      <w:r w:rsidRPr="00A4272B">
        <w:rPr>
          <w:color w:val="000000"/>
          <w:lang w:val="en-US"/>
        </w:rPr>
        <w:lastRenderedPageBreak/>
        <w:t>Human milk and blood have long served as indicators of human exposure to various POPs and are core media for POPs biomonitoring under the Stockholm Convention. Both media reflect comparable temporal trends within a population, integrating environmental and dietary exposures based on local consumption habits. They also provide crucial information on POP transfer to infants and potential health impacts.</w:t>
      </w:r>
    </w:p>
    <w:p w14:paraId="4E34BC2B" w14:textId="1B1DAA22" w:rsidR="00F3536C" w:rsidRPr="00A4272B" w:rsidRDefault="00F3536C" w:rsidP="00817D9F">
      <w:pPr>
        <w:pStyle w:val="Heading4"/>
        <w:rPr>
          <w:rFonts w:hint="eastAsia"/>
        </w:rPr>
      </w:pPr>
      <w:r w:rsidRPr="00A4272B">
        <w:t>Human milk</w:t>
      </w:r>
      <w:bookmarkEnd w:id="186"/>
      <w:bookmarkEnd w:id="187"/>
      <w:bookmarkEnd w:id="188"/>
      <w:bookmarkEnd w:id="189"/>
      <w:bookmarkEnd w:id="190"/>
      <w:bookmarkEnd w:id="191"/>
      <w:bookmarkEnd w:id="192"/>
      <w:bookmarkEnd w:id="193"/>
      <w:bookmarkEnd w:id="194"/>
      <w:bookmarkEnd w:id="195"/>
      <w:bookmarkEnd w:id="196"/>
      <w:bookmarkEnd w:id="197"/>
      <w:bookmarkEnd w:id="198"/>
    </w:p>
    <w:p w14:paraId="627A17DC" w14:textId="4FA38536" w:rsidR="00E3112D" w:rsidRPr="00A4272B" w:rsidRDefault="00E3112D" w:rsidP="00781D6A">
      <w:pPr>
        <w:autoSpaceDE w:val="0"/>
        <w:autoSpaceDN w:val="0"/>
        <w:adjustRightInd w:val="0"/>
        <w:rPr>
          <w:color w:val="000000"/>
          <w:lang w:val="en-US"/>
        </w:rPr>
      </w:pPr>
      <w:r w:rsidRPr="00A4272B">
        <w:rPr>
          <w:color w:val="000000"/>
          <w:lang w:val="en-US"/>
        </w:rPr>
        <w:t xml:space="preserve">The first evidence of POP levels in human milk was published in 1951, focusing on DDT in the general population without occupational exposure (Laug, </w:t>
      </w:r>
      <w:r w:rsidR="00F10022" w:rsidRPr="00A4272B">
        <w:rPr>
          <w:rStyle w:val="dn"/>
          <w:rFonts w:eastAsia="Arial Unicode MS" w:cs="Arial Unicode MS"/>
          <w:color w:val="000000"/>
          <w:u w:color="000000"/>
          <w:lang w:val="en-US"/>
        </w:rPr>
        <w:t>1951</w:t>
      </w:r>
      <w:r w:rsidRPr="00A4272B">
        <w:rPr>
          <w:color w:val="000000"/>
          <w:lang w:val="en-US"/>
        </w:rPr>
        <w:t>). However, it was only with advances in analytical instrumentation, especially GC-ECD, that the scope of POP analysis expanded in the 1970s to include other organochlorine pesticides, PCBs, and brominated flame retardants, with fluorinated POPs added later</w:t>
      </w:r>
      <w:r w:rsidR="00F10022" w:rsidRPr="00A4272B">
        <w:rPr>
          <w:color w:val="000000"/>
          <w:lang w:val="en-US"/>
        </w:rPr>
        <w:t xml:space="preserve"> </w:t>
      </w:r>
      <w:r w:rsidR="00F10022" w:rsidRPr="00A4272B">
        <w:rPr>
          <w:rStyle w:val="dn"/>
          <w:rFonts w:eastAsia="Arial Unicode MS" w:cs="Arial Unicode MS"/>
          <w:color w:val="000000"/>
          <w:u w:color="000000"/>
          <w:lang w:val="en-US"/>
        </w:rPr>
        <w:t>(Acker, 1970; Schulte, 1984; Van den Berg, 1989, Meironyte, 1999; Kärrman, 2007)</w:t>
      </w:r>
      <w:r w:rsidRPr="00A4272B">
        <w:rPr>
          <w:color w:val="000000"/>
          <w:lang w:val="en-US"/>
        </w:rPr>
        <w:t>. A comprehensive review highlights the progressive increase in knowledge over the past 70 years</w:t>
      </w:r>
      <w:r w:rsidR="00CA2236" w:rsidRPr="00A4272B">
        <w:rPr>
          <w:color w:val="000000"/>
          <w:lang w:val="en-US"/>
        </w:rPr>
        <w:t xml:space="preserve"> </w:t>
      </w:r>
      <w:r w:rsidR="00F10022" w:rsidRPr="00A4272B">
        <w:rPr>
          <w:rStyle w:val="dn"/>
          <w:rFonts w:eastAsia="Arial Unicode MS" w:cs="Arial Unicode MS"/>
          <w:color w:val="000000"/>
          <w:u w:color="000000"/>
          <w:lang w:val="en-US"/>
        </w:rPr>
        <w:t>(Malisch et al, 2023)</w:t>
      </w:r>
      <w:r w:rsidRPr="00A4272B">
        <w:rPr>
          <w:color w:val="000000"/>
          <w:lang w:val="en-US"/>
        </w:rPr>
        <w:t>. During this time, human milk monitoring has proven to be an efficient, cost-effective, and non-invasive tool for assessing internal human exposure to POPs and the resulting body burden.</w:t>
      </w:r>
    </w:p>
    <w:p w14:paraId="148D8904" w14:textId="45871809" w:rsidR="00E3112D" w:rsidRPr="00A4272B" w:rsidRDefault="00E3112D" w:rsidP="00781D6A">
      <w:pPr>
        <w:autoSpaceDE w:val="0"/>
        <w:autoSpaceDN w:val="0"/>
        <w:adjustRightInd w:val="0"/>
        <w:rPr>
          <w:color w:val="000000"/>
          <w:lang w:val="en-US"/>
        </w:rPr>
      </w:pPr>
      <w:r w:rsidRPr="00A4272B">
        <w:rPr>
          <w:color w:val="000000"/>
          <w:lang w:val="en-US"/>
        </w:rPr>
        <w:t xml:space="preserve">The following outlines the development of the global human milk survey initiated by WHO, in partnership with UNEP DTIE and later expanded by UNEP to support data generation for the GMP. WHO launched comprehensive human milk monitoring </w:t>
      </w:r>
      <w:r w:rsidR="00AF4A1F" w:rsidRPr="00A4272B">
        <w:rPr>
          <w:color w:val="000000"/>
          <w:lang w:val="en-US"/>
        </w:rPr>
        <w:t>programmes,</w:t>
      </w:r>
      <w:r w:rsidRPr="00A4272B">
        <w:rPr>
          <w:color w:val="000000"/>
          <w:lang w:val="en-US"/>
        </w:rPr>
        <w:t xml:space="preserve"> with early surveys conducted mainly in Europe and North America (1987–1989, 1992–1993) focusing on PCBs, PCDDs, and PCDFs. In 2001–2003, the </w:t>
      </w:r>
      <w:r w:rsidR="002A6D39" w:rsidRPr="00A4272B">
        <w:rPr>
          <w:color w:val="000000"/>
          <w:lang w:val="en-US"/>
        </w:rPr>
        <w:t xml:space="preserve">programme </w:t>
      </w:r>
      <w:r w:rsidRPr="00A4272B">
        <w:rPr>
          <w:color w:val="000000"/>
          <w:lang w:val="en-US"/>
        </w:rPr>
        <w:t>expanded globally to include the 12 POPs initially listed in the Stockholm Convention. Following the Convention’s ratification, WHO and UNEP collaborated on three more global surveys (2004–2007, 2008–2011, and 2012–2015), further broadening geographic representation. The seventh round began in 2016, covering the 30 POPs listed in the Convention as well as candidate POPs (Malisch et al., 2023).</w:t>
      </w:r>
    </w:p>
    <w:p w14:paraId="6D6C388D" w14:textId="77777777" w:rsidR="00E3112D" w:rsidRPr="00A4272B" w:rsidRDefault="00E3112D" w:rsidP="00E3112D">
      <w:pPr>
        <w:autoSpaceDE w:val="0"/>
        <w:autoSpaceDN w:val="0"/>
        <w:adjustRightInd w:val="0"/>
        <w:rPr>
          <w:color w:val="000000"/>
          <w:lang w:val="en-US"/>
        </w:rPr>
      </w:pPr>
      <w:r w:rsidRPr="00A4272B">
        <w:rPr>
          <w:color w:val="000000"/>
          <w:lang w:val="en-US"/>
        </w:rPr>
        <w:t>WHO developed a protocol for POPs exposure studies (Malisch &amp; Moy, 2006; WHO, 2007), which forms the foundation for the GMP’s human milk component (UNEP, 2017a). This protocol, accessible online, includes comprehensive guidelines for sample collection, donor selection, and pooling procedures. Participating countries are encouraged to adhere closely to the protocol, which includes specific criteria for selecting donor mothers:</w:t>
      </w:r>
    </w:p>
    <w:p w14:paraId="1C9F9475" w14:textId="7FEE759A" w:rsidR="00E3112D" w:rsidRPr="00A4272B" w:rsidRDefault="00E3112D">
      <w:pPr>
        <w:pStyle w:val="ListParagraph"/>
        <w:numPr>
          <w:ilvl w:val="0"/>
          <w:numId w:val="55"/>
        </w:numPr>
        <w:autoSpaceDE w:val="0"/>
        <w:autoSpaceDN w:val="0"/>
        <w:adjustRightInd w:val="0"/>
        <w:rPr>
          <w:color w:val="000000"/>
        </w:rPr>
      </w:pPr>
      <w:r w:rsidRPr="00A4272B">
        <w:rPr>
          <w:color w:val="000000"/>
        </w:rPr>
        <w:t>First-time mothers;</w:t>
      </w:r>
    </w:p>
    <w:p w14:paraId="310F02FA" w14:textId="189BC8C4" w:rsidR="00E3112D" w:rsidRPr="00A4272B" w:rsidRDefault="00E3112D">
      <w:pPr>
        <w:pStyle w:val="ListParagraph"/>
        <w:numPr>
          <w:ilvl w:val="0"/>
          <w:numId w:val="55"/>
        </w:numPr>
        <w:autoSpaceDE w:val="0"/>
        <w:autoSpaceDN w:val="0"/>
        <w:adjustRightInd w:val="0"/>
        <w:rPr>
          <w:color w:val="000000"/>
        </w:rPr>
      </w:pPr>
      <w:r w:rsidRPr="00A4272B">
        <w:rPr>
          <w:color w:val="000000"/>
        </w:rPr>
        <w:t>Healthy;</w:t>
      </w:r>
    </w:p>
    <w:p w14:paraId="4741DB9D" w14:textId="77777777" w:rsidR="00E3112D" w:rsidRPr="00A4272B" w:rsidRDefault="00E3112D">
      <w:pPr>
        <w:pStyle w:val="ListParagraph"/>
        <w:numPr>
          <w:ilvl w:val="0"/>
          <w:numId w:val="55"/>
        </w:numPr>
        <w:autoSpaceDE w:val="0"/>
        <w:autoSpaceDN w:val="0"/>
        <w:adjustRightInd w:val="0"/>
        <w:rPr>
          <w:color w:val="000000"/>
        </w:rPr>
      </w:pPr>
      <w:r w:rsidRPr="00A4272B">
        <w:rPr>
          <w:color w:val="000000"/>
        </w:rPr>
        <w:t>Exclusively breastfeeding one child (no twins).</w:t>
      </w:r>
    </w:p>
    <w:p w14:paraId="6F1B5CD7" w14:textId="77777777" w:rsidR="00E3112D" w:rsidRPr="00A4272B" w:rsidRDefault="00E3112D" w:rsidP="00E3112D">
      <w:pPr>
        <w:autoSpaceDE w:val="0"/>
        <w:autoSpaceDN w:val="0"/>
        <w:adjustRightInd w:val="0"/>
        <w:rPr>
          <w:color w:val="000000"/>
          <w:lang w:val="en-US"/>
        </w:rPr>
      </w:pPr>
      <w:r w:rsidRPr="00A4272B">
        <w:rPr>
          <w:color w:val="000000"/>
          <w:lang w:val="en-US"/>
        </w:rPr>
        <w:t>To ensure statistically reliable data, each country is advised to collect at least 50 individual samples, which are pooled to create a representative composite sample. Countries with over 50 million people should include an additional donor per million over 50 million. For countries with substantial populations and resources, multiple pooled samples are encouraged.</w:t>
      </w:r>
    </w:p>
    <w:p w14:paraId="1C898E22" w14:textId="74D8D228" w:rsidR="00E3112D" w:rsidRPr="00A4272B" w:rsidRDefault="00E3112D" w:rsidP="00E3112D">
      <w:pPr>
        <w:autoSpaceDE w:val="0"/>
        <w:autoSpaceDN w:val="0"/>
        <w:adjustRightInd w:val="0"/>
        <w:rPr>
          <w:color w:val="000000"/>
          <w:lang w:val="en-US"/>
        </w:rPr>
      </w:pPr>
      <w:r w:rsidRPr="00A4272B">
        <w:rPr>
          <w:color w:val="000000"/>
          <w:lang w:val="en-US"/>
        </w:rPr>
        <w:t>This pooling approach is cost-effective, reducing expenses compared to analyzing individual samples and requiring a smaller milk volume per donor. It also allows for a more comprehensive analysis at lower quantification limits. Centralized analysis further ensures data reliability and comparability across laboratories. The State Institute for Chemical and Veterinary Analysis of Food (Germany) serves as the reference laboratory for lipophilic POPs, while the MTM laboratory at the University of Örebro (Sweden) analyses proteinophilic POPs (e.g., PFOS).</w:t>
      </w:r>
    </w:p>
    <w:p w14:paraId="5791F031" w14:textId="77777777" w:rsidR="00E3112D" w:rsidRPr="00A4272B" w:rsidRDefault="00E3112D" w:rsidP="00E3112D">
      <w:pPr>
        <w:autoSpaceDE w:val="0"/>
        <w:autoSpaceDN w:val="0"/>
        <w:adjustRightInd w:val="0"/>
        <w:rPr>
          <w:color w:val="000000"/>
          <w:lang w:val="en-US"/>
        </w:rPr>
      </w:pPr>
      <w:r w:rsidRPr="00A4272B">
        <w:rPr>
          <w:color w:val="000000"/>
          <w:lang w:val="en-US"/>
        </w:rPr>
        <w:t>The main objectives of these studies are to:</w:t>
      </w:r>
    </w:p>
    <w:p w14:paraId="14B8702E" w14:textId="5EF8AF69" w:rsidR="00E3112D" w:rsidRPr="00A4272B" w:rsidRDefault="00E3112D">
      <w:pPr>
        <w:numPr>
          <w:ilvl w:val="0"/>
          <w:numId w:val="56"/>
        </w:numPr>
        <w:autoSpaceDE w:val="0"/>
        <w:autoSpaceDN w:val="0"/>
        <w:adjustRightInd w:val="0"/>
        <w:rPr>
          <w:color w:val="000000"/>
          <w:lang w:val="en-US"/>
        </w:rPr>
      </w:pPr>
      <w:r w:rsidRPr="00A4272B">
        <w:rPr>
          <w:color w:val="000000"/>
          <w:lang w:val="en-US"/>
        </w:rPr>
        <w:t>Generate reliable, comparable data on POP concentrations in human milk for improved infant health risk assessment</w:t>
      </w:r>
      <w:r w:rsidR="00BD537C" w:rsidRPr="00A4272B">
        <w:rPr>
          <w:color w:val="000000"/>
          <w:lang w:val="en-US"/>
        </w:rPr>
        <w:t>;</w:t>
      </w:r>
    </w:p>
    <w:p w14:paraId="02B4492A" w14:textId="2E03F248" w:rsidR="00E3112D" w:rsidRPr="00A4272B" w:rsidRDefault="00E3112D">
      <w:pPr>
        <w:numPr>
          <w:ilvl w:val="0"/>
          <w:numId w:val="56"/>
        </w:numPr>
        <w:autoSpaceDE w:val="0"/>
        <w:autoSpaceDN w:val="0"/>
        <w:adjustRightInd w:val="0"/>
        <w:rPr>
          <w:color w:val="000000"/>
          <w:lang w:val="en-US"/>
        </w:rPr>
      </w:pPr>
      <w:r w:rsidRPr="00A4272B">
        <w:rPr>
          <w:color w:val="000000"/>
          <w:lang w:val="en-US"/>
        </w:rPr>
        <w:t>Provide an overview of exposure levels across countries and regions, helping to prioritize follow-up actions</w:t>
      </w:r>
      <w:r w:rsidR="00BD537C" w:rsidRPr="00A4272B">
        <w:rPr>
          <w:color w:val="000000"/>
          <w:lang w:val="en-US"/>
        </w:rPr>
        <w:t>;</w:t>
      </w:r>
    </w:p>
    <w:p w14:paraId="5967896D" w14:textId="77777777" w:rsidR="00E3112D" w:rsidRPr="00A4272B" w:rsidRDefault="00E3112D">
      <w:pPr>
        <w:numPr>
          <w:ilvl w:val="0"/>
          <w:numId w:val="56"/>
        </w:numPr>
        <w:autoSpaceDE w:val="0"/>
        <w:autoSpaceDN w:val="0"/>
        <w:adjustRightInd w:val="0"/>
        <w:rPr>
          <w:color w:val="000000"/>
          <w:lang w:val="en-US"/>
        </w:rPr>
      </w:pPr>
      <w:r w:rsidRPr="00A4272B">
        <w:rPr>
          <w:color w:val="000000"/>
          <w:lang w:val="en-US"/>
        </w:rPr>
        <w:t>Track trends in exposure levels.</w:t>
      </w:r>
    </w:p>
    <w:p w14:paraId="74100B24" w14:textId="77777777" w:rsidR="00E3112D" w:rsidRPr="00A4272B" w:rsidRDefault="00E3112D" w:rsidP="00E3112D">
      <w:pPr>
        <w:autoSpaceDE w:val="0"/>
        <w:autoSpaceDN w:val="0"/>
        <w:adjustRightInd w:val="0"/>
        <w:rPr>
          <w:color w:val="000000"/>
          <w:lang w:val="en-US"/>
        </w:rPr>
      </w:pPr>
      <w:r w:rsidRPr="00A4272B">
        <w:rPr>
          <w:color w:val="000000"/>
          <w:lang w:val="en-US"/>
        </w:rPr>
        <w:t>All pooled samples are analyzed by WHO/UNEP reference laboratories using validated methods, while aliquots of individual samples can be analyzed for specific analytes by labs selected by the National Coordinator. This method offers a cost-effective way to monitor POPs exposure in human populations across regions and over time.</w:t>
      </w:r>
    </w:p>
    <w:p w14:paraId="26884E2E" w14:textId="77777777" w:rsidR="00E3112D" w:rsidRPr="00A4272B" w:rsidRDefault="00E3112D" w:rsidP="00E3112D">
      <w:pPr>
        <w:autoSpaceDE w:val="0"/>
        <w:autoSpaceDN w:val="0"/>
        <w:adjustRightInd w:val="0"/>
        <w:rPr>
          <w:color w:val="000000"/>
          <w:lang w:val="en-US"/>
        </w:rPr>
      </w:pPr>
      <w:r w:rsidRPr="00A4272B">
        <w:rPr>
          <w:color w:val="000000"/>
          <w:lang w:val="en-US"/>
        </w:rPr>
        <w:t>Results from the WHO/UNEP Human Milk Survey for PCDDs, PCDFs, PCBs, and DDTs were also evaluated for breastfeeding benefit–risk assessment (van den Berg et al., 2017).</w:t>
      </w:r>
    </w:p>
    <w:p w14:paraId="0A485688" w14:textId="77777777" w:rsidR="00F3536C" w:rsidRPr="00A4272B" w:rsidRDefault="00F3536C" w:rsidP="00817D9F">
      <w:pPr>
        <w:pStyle w:val="Heading4"/>
        <w:rPr>
          <w:rFonts w:hint="eastAsia"/>
        </w:rPr>
      </w:pPr>
      <w:bookmarkStart w:id="199" w:name="_Toc514239678"/>
      <w:bookmarkStart w:id="200" w:name="_Toc514240582"/>
      <w:bookmarkStart w:id="201" w:name="_Toc514240746"/>
      <w:bookmarkStart w:id="202" w:name="_Toc514243133"/>
      <w:bookmarkStart w:id="203" w:name="_Toc514752026"/>
      <w:bookmarkStart w:id="204" w:name="_Toc535584344"/>
      <w:bookmarkStart w:id="205" w:name="_Toc531648"/>
      <w:bookmarkStart w:id="206" w:name="_Toc532168"/>
      <w:bookmarkStart w:id="207" w:name="_Toc532381"/>
      <w:bookmarkStart w:id="208" w:name="_Toc1467882"/>
      <w:bookmarkStart w:id="209" w:name="_Toc1468055"/>
      <w:bookmarkStart w:id="210" w:name="_Toc1483939"/>
      <w:bookmarkStart w:id="211" w:name="_Toc65306483"/>
      <w:r w:rsidRPr="00A4272B">
        <w:t>Human blood</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309B7A8F" w14:textId="24FB963C" w:rsidR="00E3112D" w:rsidRPr="00A4272B" w:rsidRDefault="00E3112D" w:rsidP="00E3112D">
      <w:pPr>
        <w:rPr>
          <w:lang w:val="en-US"/>
        </w:rPr>
      </w:pPr>
      <w:bookmarkStart w:id="212" w:name="_Toc1467883"/>
      <w:bookmarkStart w:id="213" w:name="_Toc1468056"/>
      <w:bookmarkStart w:id="214" w:name="_Toc1483940"/>
      <w:bookmarkStart w:id="215" w:name="_Toc65306484"/>
      <w:r w:rsidRPr="00A4272B">
        <w:rPr>
          <w:lang w:val="en-US"/>
        </w:rPr>
        <w:t xml:space="preserve">To ensure comparable results across human matrices, maternal blood is considered a core medium under the GMP. Other donor types are also included in human monitoring </w:t>
      </w:r>
      <w:r w:rsidR="002A6D39" w:rsidRPr="00A4272B">
        <w:rPr>
          <w:lang w:val="en-US"/>
        </w:rPr>
        <w:t xml:space="preserve">programmes </w:t>
      </w:r>
      <w:r w:rsidRPr="00A4272B">
        <w:rPr>
          <w:lang w:val="en-US"/>
        </w:rPr>
        <w:t xml:space="preserve">to capture POP concentration trends over time. While data from these additional populations may not be directly comparable to human milk or first-time mothers’ blood results, they complement overall exposure insights and contribute to understanding sources and exposure </w:t>
      </w:r>
      <w:r w:rsidRPr="00A4272B">
        <w:rPr>
          <w:lang w:val="en-US"/>
        </w:rPr>
        <w:lastRenderedPageBreak/>
        <w:t>pathways. Surveys focused on POP levels in general population blood should be treated as a secondary source, not on par with the core matrices.</w:t>
      </w:r>
    </w:p>
    <w:p w14:paraId="0256F9B6" w14:textId="77777777" w:rsidR="00E3112D" w:rsidRPr="00A4272B" w:rsidRDefault="00E3112D" w:rsidP="00E3112D">
      <w:pPr>
        <w:rPr>
          <w:lang w:val="en-US"/>
        </w:rPr>
      </w:pPr>
      <w:r w:rsidRPr="00A4272B">
        <w:rPr>
          <w:lang w:val="en-US"/>
        </w:rPr>
        <w:t>The European Environment and Health Action Plan (2004) called for expanding human biomonitoring as a safety and exposure-reduction tool, recommending a coherent European approach. Supported by projects like COPHES and DEMOCOPHES, this led to the Human Biomonitoring Initiative for Europe (HBM4EU), which established a harmonized approach for generating comparable biomonitoring data across nations. This work continues under the PARC initiative, advancing chemical risk assessment using human biomonitoring data.</w:t>
      </w:r>
    </w:p>
    <w:p w14:paraId="3A3674F9" w14:textId="77777777" w:rsidR="00E3112D" w:rsidRPr="00A4272B" w:rsidRDefault="00E3112D" w:rsidP="00E3112D">
      <w:pPr>
        <w:rPr>
          <w:lang w:val="en-US"/>
        </w:rPr>
      </w:pPr>
      <w:r w:rsidRPr="00A4272B">
        <w:rPr>
          <w:lang w:val="en-US"/>
        </w:rPr>
        <w:t>Maternal blood (plasma and serum) is the primary matrix for human exposure assessment by the Arctic Monitoring and Assessment Programme (AMAP, 2009). Though invasive, blood sampling is sometimes preferred based on local practices and infrastructure. Like human milk, pooled blood samples provide a cost-effective method to compare POP levels between countries and observe time trends. Blood is especially suited for monitoring proteinophilic POPs, such as PFOS, and is increasingly preferred as more hazardous, protein-binding compounds are identified.</w:t>
      </w:r>
    </w:p>
    <w:p w14:paraId="60DBE356" w14:textId="2ED76CDC" w:rsidR="00E3112D" w:rsidRPr="00A4272B" w:rsidRDefault="00E3112D" w:rsidP="00E3112D">
      <w:pPr>
        <w:rPr>
          <w:lang w:val="en-US"/>
        </w:rPr>
      </w:pPr>
      <w:r w:rsidRPr="00A4272B">
        <w:rPr>
          <w:lang w:val="en-US"/>
        </w:rPr>
        <w:t xml:space="preserve">Since the early 1990s, AMAP has conducted maternal blood plasma monitoring across the Arctic, using standardized protocols. Recent assessments have included PBDEs and perfluorinated compounds alongside PCBs and organochlorine pesticides (AMAP, 2009, 2014, 2020). This </w:t>
      </w:r>
      <w:r w:rsidR="002A6D39" w:rsidRPr="00A4272B">
        <w:rPr>
          <w:lang w:val="en-US"/>
        </w:rPr>
        <w:t xml:space="preserve">programme </w:t>
      </w:r>
      <w:r w:rsidRPr="00A4272B">
        <w:rPr>
          <w:lang w:val="en-US"/>
        </w:rPr>
        <w:t>includes an international QA/QC system with tri-annual interlaboratory ring tests, ensuring participating laboratories produce reliable data on maternal plasma and cord blood. AMAP, in partnership with Quebec’s Centre du Toxicologie, developed a detailed protocol for sampling and preparation, which is available online at www.amap.no. This protocol includes comprehensive guidance on sampling, storage, shipping, and analysis and is standard for all AMAP blood sampling.</w:t>
      </w:r>
    </w:p>
    <w:p w14:paraId="0585DD60" w14:textId="77777777" w:rsidR="00E3112D" w:rsidRPr="00A4272B" w:rsidRDefault="00E3112D" w:rsidP="00E3112D">
      <w:pPr>
        <w:rPr>
          <w:lang w:val="en-US"/>
        </w:rPr>
      </w:pPr>
      <w:r w:rsidRPr="00A4272B">
        <w:rPr>
          <w:lang w:val="en-US"/>
        </w:rPr>
        <w:t>Long-term human monitoring data collected by AMAP informs public health policies in the Arctic, with participating countries (e.g., Canada, Greenland, Denmark, Sweden, Norway, Finland, Russia) benefiting from these results. AMAP’s efforts, along with WHO’s EEHP and European initiatives like HBM4EU and PARC, serve as a model for future global monitoring. In 2023, the 7th Ministerial Conference on Environment and Health in Budapest also adopted a region-wide human biomonitoring partnership under WHO.</w:t>
      </w:r>
    </w:p>
    <w:p w14:paraId="04CF6483" w14:textId="77777777" w:rsidR="00E3112D" w:rsidRPr="00A4272B" w:rsidRDefault="00E3112D" w:rsidP="00E3112D">
      <w:pPr>
        <w:rPr>
          <w:lang w:val="en-US"/>
        </w:rPr>
      </w:pPr>
      <w:r w:rsidRPr="00A4272B">
        <w:rPr>
          <w:lang w:val="en-US"/>
        </w:rPr>
        <w:t>Blood concentrations are a reliable measure of body burden for most contaminants, including lipophilic, protein-bound, and ionic compounds. For weakly lipophilic compounds, blood concentrations are higher than those in milk. For example, PFOS serum levels were found to be 100 times higher than in breast milk in paired maternal-newborn samples (Kärrman et al., 2007). For lipophilic compounds, blood concentrations (lipid-based) correlate closely with those in stored fat and breast milk.</w:t>
      </w:r>
    </w:p>
    <w:p w14:paraId="11035BF8" w14:textId="77777777" w:rsidR="00E3112D" w:rsidRPr="00A4272B" w:rsidRDefault="00E3112D" w:rsidP="00E3112D">
      <w:pPr>
        <w:rPr>
          <w:b/>
          <w:bCs/>
          <w:lang w:val="en-US"/>
        </w:rPr>
      </w:pPr>
      <w:r w:rsidRPr="00A4272B">
        <w:rPr>
          <w:lang w:val="en-US"/>
        </w:rPr>
        <w:t>To ensure consistency with global human milk data, only maternal blood from first-time mothers is considered a core medium under the GMP.</w:t>
      </w:r>
    </w:p>
    <w:p w14:paraId="449C9037" w14:textId="676E641B" w:rsidR="00F3536C" w:rsidRPr="00A4272B" w:rsidRDefault="00293C25" w:rsidP="00817D9F">
      <w:pPr>
        <w:pStyle w:val="Heading3"/>
        <w:rPr>
          <w:rFonts w:hint="eastAsia"/>
        </w:rPr>
      </w:pPr>
      <w:bookmarkStart w:id="216" w:name="_Toc187270492"/>
      <w:r w:rsidRPr="00A4272B">
        <w:t>4.2.</w:t>
      </w:r>
      <w:r w:rsidR="009106E4" w:rsidRPr="00A4272B">
        <w:t>2</w:t>
      </w:r>
      <w:r w:rsidRPr="00A4272B">
        <w:tab/>
      </w:r>
      <w:r w:rsidR="00F3536C" w:rsidRPr="00A4272B">
        <w:t>Sample matrix</w:t>
      </w:r>
      <w:bookmarkEnd w:id="212"/>
      <w:bookmarkEnd w:id="213"/>
      <w:bookmarkEnd w:id="214"/>
      <w:bookmarkEnd w:id="215"/>
      <w:bookmarkEnd w:id="216"/>
    </w:p>
    <w:p w14:paraId="25B2D68C" w14:textId="77777777" w:rsidR="00E3112D" w:rsidRPr="00A4272B" w:rsidRDefault="00E3112D" w:rsidP="00E3112D">
      <w:pPr>
        <w:rPr>
          <w:lang w:val="en-US"/>
        </w:rPr>
      </w:pPr>
      <w:bookmarkStart w:id="217" w:name="_Toc535584347"/>
      <w:bookmarkStart w:id="218" w:name="_Toc531650"/>
      <w:bookmarkStart w:id="219" w:name="_Toc532170"/>
      <w:bookmarkStart w:id="220" w:name="_Toc532383"/>
      <w:bookmarkStart w:id="221" w:name="_Toc1467884"/>
      <w:bookmarkStart w:id="222" w:name="_Toc1468057"/>
      <w:bookmarkStart w:id="223" w:name="_Toc1483941"/>
      <w:bookmarkStart w:id="224" w:name="_Toc65306485"/>
      <w:r w:rsidRPr="00A4272B">
        <w:rPr>
          <w:lang w:val="en-US"/>
        </w:rPr>
        <w:t>POP levels in humans are typically measured in blood or milk. Studies comparing POP concentrations in breast milk, maternal blood, and cord blood have shown correlations in lipid-adjusted levels of lipophilic contaminants across these compartments (Jarrell et al., 2005; Muckle et al., 2001; Anda et al., 2007; Bo Yuan et al., 2024). Both milk and maternal blood serve as core media for POPs biomonitoring under the GMP, allowing for assessments of temporal trends, regional variations, and regulatory effectiveness.</w:t>
      </w:r>
    </w:p>
    <w:p w14:paraId="43BF97D3" w14:textId="77777777" w:rsidR="00E3112D" w:rsidRPr="00A4272B" w:rsidRDefault="00E3112D" w:rsidP="00E3112D">
      <w:pPr>
        <w:rPr>
          <w:lang w:val="en-US"/>
        </w:rPr>
      </w:pPr>
      <w:r w:rsidRPr="00A4272B">
        <w:rPr>
          <w:lang w:val="en-US"/>
        </w:rPr>
        <w:t>A common criterion in selecting donors for human milk and maternal blood studies is to sample first-time mothers to capture cumulative lifetime exposure and total body burden, as POP levels typically decrease over the course of lactation, leading to lower levels in mothers at subsequent births.</w:t>
      </w:r>
    </w:p>
    <w:p w14:paraId="61DA509D" w14:textId="77777777" w:rsidR="00E3112D" w:rsidRPr="00A4272B" w:rsidRDefault="00E3112D" w:rsidP="00E3112D">
      <w:pPr>
        <w:rPr>
          <w:lang w:val="en-US"/>
        </w:rPr>
      </w:pPr>
      <w:r w:rsidRPr="00A4272B">
        <w:rPr>
          <w:lang w:val="en-US"/>
        </w:rPr>
        <w:t>Key considerations when choosing a sampling matrix include:</w:t>
      </w:r>
    </w:p>
    <w:p w14:paraId="13DB1C79" w14:textId="0C0DFFDF" w:rsidR="00E3112D" w:rsidRPr="00A4272B" w:rsidRDefault="00E3112D">
      <w:pPr>
        <w:pStyle w:val="ListParagraph"/>
        <w:numPr>
          <w:ilvl w:val="0"/>
          <w:numId w:val="57"/>
        </w:numPr>
      </w:pPr>
      <w:r w:rsidRPr="00A4272B">
        <w:t>Non-invasive milk sampling: Milk can be collected in reasonable quantities from lactating mothers, although in some populations obtaining milk samples may be challenging</w:t>
      </w:r>
      <w:r w:rsidR="003F50B4" w:rsidRPr="00A4272B">
        <w:t>;</w:t>
      </w:r>
    </w:p>
    <w:p w14:paraId="57E01A9C" w14:textId="63CAC518" w:rsidR="00E3112D" w:rsidRPr="00A4272B" w:rsidRDefault="00E3112D">
      <w:pPr>
        <w:pStyle w:val="ListParagraph"/>
        <w:numPr>
          <w:ilvl w:val="0"/>
          <w:numId w:val="57"/>
        </w:numPr>
      </w:pPr>
      <w:r w:rsidRPr="00A4272B">
        <w:t>Invasive blood sampling: Blood can often be sampled from mothers prior to birth but may not be culturally acceptable in all regions</w:t>
      </w:r>
      <w:r w:rsidR="003F50B4" w:rsidRPr="00A4272B">
        <w:t>;</w:t>
      </w:r>
    </w:p>
    <w:p w14:paraId="4B69A58B" w14:textId="6B344508" w:rsidR="00E3112D" w:rsidRPr="00A4272B" w:rsidRDefault="00E3112D">
      <w:pPr>
        <w:pStyle w:val="ListParagraph"/>
        <w:numPr>
          <w:ilvl w:val="0"/>
          <w:numId w:val="57"/>
        </w:numPr>
      </w:pPr>
      <w:r w:rsidRPr="00A4272B">
        <w:t>Biohazard precautions: Blood and milk are potential biohazards, so appropriate precautions should be taken during collection and handling, especially regarding potential HIV or hepatitis contamination</w:t>
      </w:r>
      <w:r w:rsidR="003F50B4" w:rsidRPr="00A4272B">
        <w:t>;</w:t>
      </w:r>
    </w:p>
    <w:p w14:paraId="2F009B4A" w14:textId="453A60C9" w:rsidR="00E3112D" w:rsidRPr="00A4272B" w:rsidRDefault="00E3112D">
      <w:pPr>
        <w:pStyle w:val="ListParagraph"/>
        <w:numPr>
          <w:ilvl w:val="0"/>
          <w:numId w:val="57"/>
        </w:numPr>
      </w:pPr>
      <w:r w:rsidRPr="00A4272B">
        <w:t>Detection limits: POP detection limits are generally lower in milk than in blood due to higher lipid content and the availability of larger sample volumes</w:t>
      </w:r>
      <w:r w:rsidR="003F50B4" w:rsidRPr="00A4272B">
        <w:t>;</w:t>
      </w:r>
    </w:p>
    <w:p w14:paraId="73334E5E" w14:textId="77777777" w:rsidR="00E3112D" w:rsidRPr="00A4272B" w:rsidRDefault="00E3112D">
      <w:pPr>
        <w:pStyle w:val="ListParagraph"/>
        <w:numPr>
          <w:ilvl w:val="0"/>
          <w:numId w:val="57"/>
        </w:numPr>
        <w:rPr>
          <w:b/>
          <w:bCs/>
        </w:rPr>
      </w:pPr>
      <w:r w:rsidRPr="00A4272B">
        <w:t>Less lipophilic substances (e.g., PFOS): For substances with lower lipophilicity, such as PFOS, detection limits are lower in blood, as only a small and variable fraction (around 1%) is present in milk. Analytical precision decreases as the detection limit is approached.</w:t>
      </w:r>
    </w:p>
    <w:p w14:paraId="2E2A160A" w14:textId="32DA426B" w:rsidR="00F3536C" w:rsidRPr="00A4272B" w:rsidRDefault="00BE51B2" w:rsidP="00817D9F">
      <w:pPr>
        <w:pStyle w:val="Heading3"/>
        <w:rPr>
          <w:rFonts w:hint="eastAsia"/>
        </w:rPr>
      </w:pPr>
      <w:bookmarkStart w:id="225" w:name="_Toc187270493"/>
      <w:r w:rsidRPr="00A4272B">
        <w:lastRenderedPageBreak/>
        <w:t>4.2.</w:t>
      </w:r>
      <w:r w:rsidR="009106E4" w:rsidRPr="00A4272B">
        <w:t>3</w:t>
      </w:r>
      <w:r w:rsidRPr="00A4272B">
        <w:tab/>
      </w:r>
      <w:r w:rsidR="00F3536C" w:rsidRPr="00A4272B">
        <w:t>Sampling and sample preparation methodology</w:t>
      </w:r>
      <w:bookmarkEnd w:id="217"/>
      <w:bookmarkEnd w:id="218"/>
      <w:bookmarkEnd w:id="219"/>
      <w:bookmarkEnd w:id="220"/>
      <w:bookmarkEnd w:id="221"/>
      <w:bookmarkEnd w:id="222"/>
      <w:bookmarkEnd w:id="223"/>
      <w:bookmarkEnd w:id="224"/>
      <w:bookmarkEnd w:id="225"/>
    </w:p>
    <w:p w14:paraId="74D61F64" w14:textId="77777777" w:rsidR="00E3112D" w:rsidRPr="00A4272B" w:rsidRDefault="00E3112D" w:rsidP="00E3112D">
      <w:pPr>
        <w:autoSpaceDE w:val="0"/>
        <w:autoSpaceDN w:val="0"/>
        <w:adjustRightInd w:val="0"/>
        <w:rPr>
          <w:color w:val="000000"/>
          <w:lang w:val="en-US"/>
        </w:rPr>
      </w:pPr>
      <w:r w:rsidRPr="00A4272B">
        <w:rPr>
          <w:color w:val="000000"/>
          <w:lang w:val="en-US"/>
        </w:rPr>
        <w:t>The Global Monitoring Plan uses human milk and maternal blood as two primary matrices for comparable biological monitoring in the first tier. The 2007 WHO protocol and the 2017 UNEP protocol provide guidelines for selecting donor mothers, which should be followed closely. The key criterion for selecting donors in both human milk and maternal blood sampling is that they should be first-time mothers.</w:t>
      </w:r>
    </w:p>
    <w:p w14:paraId="1F9C3FF2" w14:textId="4D97A6EC" w:rsidR="00F3536C" w:rsidRPr="00A4272B" w:rsidRDefault="00E3112D" w:rsidP="00E3112D">
      <w:pPr>
        <w:autoSpaceDE w:val="0"/>
        <w:autoSpaceDN w:val="0"/>
        <w:adjustRightInd w:val="0"/>
        <w:rPr>
          <w:color w:val="000000"/>
          <w:lang w:val="en-US"/>
        </w:rPr>
      </w:pPr>
      <w:r w:rsidRPr="00A4272B">
        <w:rPr>
          <w:color w:val="000000"/>
          <w:lang w:val="en-US"/>
        </w:rPr>
        <w:t>While data from other representative populations may not be directly comparable with first-time mothers' human milk or blood samples, these additional results enhance the overall understanding of exposure in the general population and contribute insights into exposure sources. Selection criteria for these populations should align with approaches used by AMAP or HBM4EU.</w:t>
      </w:r>
    </w:p>
    <w:p w14:paraId="484DF73D" w14:textId="77777777" w:rsidR="00F3536C" w:rsidRPr="00A4272B" w:rsidRDefault="00F3536C" w:rsidP="00817D9F">
      <w:pPr>
        <w:pStyle w:val="Heading4"/>
        <w:rPr>
          <w:rFonts w:hint="eastAsia"/>
        </w:rPr>
      </w:pPr>
      <w:r w:rsidRPr="00A4272B">
        <w:t>Number of samples/sampling location</w:t>
      </w:r>
    </w:p>
    <w:p w14:paraId="69BACF03" w14:textId="77777777" w:rsidR="00BB7E34" w:rsidRPr="00A4272B" w:rsidRDefault="00BB7E34" w:rsidP="00BB7E34">
      <w:pPr>
        <w:rPr>
          <w:color w:val="000000"/>
          <w:lang w:val="en-US"/>
        </w:rPr>
      </w:pPr>
      <w:bookmarkStart w:id="226" w:name="_Toc514239684"/>
      <w:bookmarkStart w:id="227" w:name="_Toc514240588"/>
      <w:bookmarkStart w:id="228" w:name="_Toc514240752"/>
      <w:bookmarkStart w:id="229" w:name="_Toc514243139"/>
      <w:bookmarkStart w:id="230" w:name="_Toc514752032"/>
      <w:bookmarkStart w:id="231" w:name="_Toc535584350"/>
      <w:r w:rsidRPr="00A4272B">
        <w:rPr>
          <w:color w:val="000000"/>
          <w:lang w:val="en-US"/>
        </w:rPr>
        <w:t>The WHO (2007) and UNEP (2017a) guidelines recommend collecting samples from 50 individuals. However, some countries may face challenges recruiting this number, requiring an extended collection period. Samples may also be gathered from post-natal clinics.</w:t>
      </w:r>
    </w:p>
    <w:p w14:paraId="4AB23DC4" w14:textId="77777777" w:rsidR="00BB7E34" w:rsidRPr="00A4272B" w:rsidRDefault="00BB7E34" w:rsidP="00BB7E34">
      <w:pPr>
        <w:rPr>
          <w:color w:val="000000"/>
          <w:lang w:val="en-US"/>
        </w:rPr>
      </w:pPr>
      <w:r w:rsidRPr="00A4272B">
        <w:rPr>
          <w:color w:val="000000"/>
          <w:lang w:val="en-US"/>
        </w:rPr>
        <w:t>The protocol allows countries to stratify participants to reflect presumed national exposure profiles. Factors to consider include diet, agricultural practices, occupational exposures, rural vs. urban residence, and proximity to potential POPs sources (e.g., waste sites or industrial activities). This stratification should remain consistent across monitoring rounds to track changes and trends. Since exposure profiles are not well-defined in most developing countries, assumptions may be necessary but should be documented as part of the information package.</w:t>
      </w:r>
    </w:p>
    <w:p w14:paraId="7F687F8F" w14:textId="77777777" w:rsidR="00BB7E34" w:rsidRPr="00A4272B" w:rsidRDefault="00BB7E34" w:rsidP="00BB7E34">
      <w:pPr>
        <w:rPr>
          <w:color w:val="000000"/>
          <w:lang w:val="en-US"/>
        </w:rPr>
      </w:pPr>
      <w:r w:rsidRPr="00A4272B">
        <w:rPr>
          <w:color w:val="000000"/>
          <w:lang w:val="en-US"/>
        </w:rPr>
        <w:t>For countries with sufficient resources, the protocol allows submission of two pooled samples. Although the protocol targets individual countries, stratification and sample collection could potentially be organized regionally. However, efforts should prioritize participation from as many countries and regions as possible to establish a comprehensive baseline.</w:t>
      </w:r>
    </w:p>
    <w:p w14:paraId="38813DC5" w14:textId="77777777" w:rsidR="00F3536C" w:rsidRPr="00A4272B" w:rsidRDefault="00F3536C" w:rsidP="00817D9F">
      <w:pPr>
        <w:pStyle w:val="Heading4"/>
        <w:rPr>
          <w:rFonts w:hint="eastAsia"/>
          <w:color w:val="000000"/>
        </w:rPr>
      </w:pPr>
      <w:r w:rsidRPr="00A4272B">
        <w:t>Questionnaire and informed consent</w:t>
      </w:r>
      <w:bookmarkEnd w:id="226"/>
      <w:bookmarkEnd w:id="227"/>
      <w:bookmarkEnd w:id="228"/>
      <w:bookmarkEnd w:id="229"/>
      <w:bookmarkEnd w:id="230"/>
      <w:bookmarkEnd w:id="231"/>
    </w:p>
    <w:p w14:paraId="2344A877" w14:textId="77777777" w:rsidR="00BB7E34" w:rsidRPr="00A4272B" w:rsidRDefault="00BB7E34" w:rsidP="00BB7E34">
      <w:pPr>
        <w:rPr>
          <w:color w:val="000000"/>
          <w:lang w:val="en-US"/>
        </w:rPr>
      </w:pPr>
      <w:bookmarkStart w:id="232" w:name="_Toc514239685"/>
      <w:bookmarkStart w:id="233" w:name="_Toc514240589"/>
      <w:bookmarkStart w:id="234" w:name="_Toc514240753"/>
      <w:bookmarkStart w:id="235" w:name="_Toc514243140"/>
      <w:bookmarkStart w:id="236" w:name="_Toc514752033"/>
      <w:bookmarkStart w:id="237" w:name="_Toc535584351"/>
      <w:r w:rsidRPr="00A4272B">
        <w:rPr>
          <w:color w:val="000000"/>
          <w:lang w:val="en-US"/>
        </w:rPr>
        <w:t>The same questionnaire and approach should be used for both human milk and blood sampling, with information about the invasive nature of blood sampling included. The informed consent template should be adapted to align with local practices and customs in each country or region.</w:t>
      </w:r>
    </w:p>
    <w:p w14:paraId="38A3E74D" w14:textId="77777777" w:rsidR="00BB7E34" w:rsidRPr="00A4272B" w:rsidRDefault="00BB7E34" w:rsidP="00BB7E34">
      <w:pPr>
        <w:rPr>
          <w:color w:val="000000"/>
          <w:lang w:val="en-US"/>
        </w:rPr>
      </w:pPr>
      <w:r w:rsidRPr="00A4272B">
        <w:rPr>
          <w:color w:val="000000"/>
          <w:lang w:val="en-US"/>
        </w:rPr>
        <w:t>It is highly recommended to follow the questionnaire guidelines from the WHO Guidelines for Developing a National Protocol, with additional questions added if needed to better characterize exposure profiles. Questionnaires should be translated into local languages and administered by qualified health or science professionals at prenatal clinics or collection sites. This is especially important in developing countries, where some questions may need to be adapted to local knowledge and customs.</w:t>
      </w:r>
    </w:p>
    <w:p w14:paraId="669EC018" w14:textId="77777777" w:rsidR="00BB7E34" w:rsidRPr="00A4272B" w:rsidRDefault="00BB7E34" w:rsidP="00BB7E34">
      <w:pPr>
        <w:rPr>
          <w:color w:val="000000"/>
          <w:lang w:val="en-US"/>
        </w:rPr>
      </w:pPr>
      <w:r w:rsidRPr="00A4272B">
        <w:rPr>
          <w:color w:val="000000"/>
          <w:lang w:val="en-US"/>
        </w:rPr>
        <w:t>The first part of the questionnaire screens mothers during pregnancy, after which some mothers are selected and notified. In many developing countries, however, communication limitations may require selection and recruitment to be conducted directly at clinics or other appropriate centers.</w:t>
      </w:r>
    </w:p>
    <w:p w14:paraId="748CB1BD" w14:textId="77777777" w:rsidR="00F3536C" w:rsidRPr="00A4272B" w:rsidRDefault="00F3536C" w:rsidP="00817D9F">
      <w:pPr>
        <w:pStyle w:val="Heading4"/>
        <w:rPr>
          <w:rFonts w:hint="eastAsia"/>
        </w:rPr>
      </w:pPr>
      <w:r w:rsidRPr="00A4272B">
        <w:t>Sample handling</w:t>
      </w:r>
      <w:bookmarkEnd w:id="232"/>
      <w:bookmarkEnd w:id="233"/>
      <w:bookmarkEnd w:id="234"/>
      <w:bookmarkEnd w:id="235"/>
      <w:bookmarkEnd w:id="236"/>
      <w:bookmarkEnd w:id="237"/>
    </w:p>
    <w:p w14:paraId="548B9B4A" w14:textId="0D917A39" w:rsidR="00F3536C" w:rsidRPr="00A4272B" w:rsidRDefault="00BB7E34" w:rsidP="00BB7E34">
      <w:pPr>
        <w:rPr>
          <w:color w:val="000000"/>
          <w:lang w:val="en-US"/>
        </w:rPr>
      </w:pPr>
      <w:r w:rsidRPr="00A4272B">
        <w:rPr>
          <w:color w:val="000000"/>
          <w:lang w:val="en-US"/>
        </w:rPr>
        <w:t xml:space="preserve">The guidelines for sample handling should be strictly followed, and qualified personnel must conduct the sampling. Training may be required for personnel involved. If samples are to be stored in biobanks, special measures for sampling and handling are necessary, as discussed in the </w:t>
      </w:r>
      <w:r w:rsidR="002A6D39" w:rsidRPr="00A4272B">
        <w:rPr>
          <w:color w:val="000000"/>
          <w:lang w:val="en-US"/>
        </w:rPr>
        <w:t>chapter</w:t>
      </w:r>
      <w:r w:rsidRPr="00A4272B">
        <w:rPr>
          <w:color w:val="000000"/>
          <w:lang w:val="en-US"/>
        </w:rPr>
        <w:t xml:space="preserve"> on specimen banking.</w:t>
      </w:r>
    </w:p>
    <w:p w14:paraId="0AD15B00" w14:textId="7EE6BE29" w:rsidR="00F3536C" w:rsidRPr="00A4272B" w:rsidRDefault="00F3536C" w:rsidP="00817D9F">
      <w:pPr>
        <w:pStyle w:val="Heading4"/>
        <w:rPr>
          <w:rFonts w:hint="eastAsia"/>
        </w:rPr>
      </w:pPr>
      <w:bookmarkStart w:id="238" w:name="_Toc531655"/>
      <w:bookmarkStart w:id="239" w:name="_Toc532175"/>
      <w:bookmarkStart w:id="240" w:name="_Toc532388"/>
      <w:bookmarkStart w:id="241" w:name="_Toc1467885"/>
      <w:bookmarkStart w:id="242" w:name="_Toc1468058"/>
      <w:bookmarkStart w:id="243" w:name="_Toc1483942"/>
      <w:bookmarkStart w:id="244" w:name="_Toc65306486"/>
      <w:r w:rsidRPr="00A4272B">
        <w:t>Human milk</w:t>
      </w:r>
      <w:bookmarkEnd w:id="238"/>
      <w:bookmarkEnd w:id="239"/>
      <w:bookmarkEnd w:id="240"/>
      <w:bookmarkEnd w:id="241"/>
      <w:bookmarkEnd w:id="242"/>
      <w:bookmarkEnd w:id="243"/>
      <w:bookmarkEnd w:id="244"/>
    </w:p>
    <w:p w14:paraId="4D42EE60" w14:textId="77777777" w:rsidR="00BB7E34" w:rsidRPr="00A4272B" w:rsidRDefault="00BB7E34" w:rsidP="00781D6A">
      <w:pPr>
        <w:rPr>
          <w:color w:val="000000"/>
          <w:lang w:val="en-US"/>
        </w:rPr>
      </w:pPr>
      <w:bookmarkStart w:id="245" w:name="_Toc531656"/>
      <w:bookmarkStart w:id="246" w:name="_Toc532176"/>
      <w:bookmarkStart w:id="247" w:name="_Toc532389"/>
      <w:bookmarkStart w:id="248" w:name="_Toc1467886"/>
      <w:bookmarkStart w:id="249" w:name="_Toc1468059"/>
      <w:bookmarkStart w:id="250" w:name="_Toc1483943"/>
      <w:bookmarkStart w:id="251" w:name="_Toc65306487"/>
      <w:r w:rsidRPr="00A4272B">
        <w:rPr>
          <w:color w:val="000000"/>
          <w:lang w:val="en-US"/>
        </w:rPr>
        <w:t>Each of the 50 donors will provide 50 ml of milk, with 25 ml allocated to the pooled and back-up sample for additional analysis if needed, and 25 ml for individual analysis of basic POPs (if performed). During sampling, milk from a single mother can be stored at 4°C for up to 72 hours. In countries where temperature control is not feasible, milk samples should be collected in bottles containing a potassium dichromate tablet for preservation (UNEP, 2017a), a method successfully used by some countries in the third round of WHO-coordinated exposure studies (van Leeuwen and Malisch, 2002; Schecter et al., 2003). For details on pooled sample preparation and transport to the reference laboratory, refer to the UNEP guidance document.</w:t>
      </w:r>
    </w:p>
    <w:p w14:paraId="4450BA54" w14:textId="1FBDBE86" w:rsidR="00F3536C" w:rsidRPr="00A4272B" w:rsidRDefault="00F3536C" w:rsidP="00817D9F">
      <w:pPr>
        <w:pStyle w:val="Heading4"/>
        <w:rPr>
          <w:rFonts w:hint="eastAsia"/>
        </w:rPr>
      </w:pPr>
      <w:r w:rsidRPr="00A4272B">
        <w:t>Human blood</w:t>
      </w:r>
      <w:bookmarkEnd w:id="245"/>
      <w:bookmarkEnd w:id="246"/>
      <w:bookmarkEnd w:id="247"/>
      <w:bookmarkEnd w:id="248"/>
      <w:bookmarkEnd w:id="249"/>
      <w:bookmarkEnd w:id="250"/>
      <w:bookmarkEnd w:id="251"/>
      <w:r w:rsidRPr="00A4272B">
        <w:t xml:space="preserve"> </w:t>
      </w:r>
    </w:p>
    <w:p w14:paraId="2A28B8C8" w14:textId="18F7BA1D" w:rsidR="00BB7E34" w:rsidRPr="00A4272B" w:rsidRDefault="00BB7E34" w:rsidP="00BB7E34">
      <w:pPr>
        <w:rPr>
          <w:color w:val="000000"/>
          <w:lang w:val="en-US"/>
        </w:rPr>
      </w:pPr>
      <w:r w:rsidRPr="00A4272B">
        <w:rPr>
          <w:color w:val="000000"/>
          <w:lang w:val="en-US"/>
        </w:rPr>
        <w:t xml:space="preserve">Proper sample handling is essential for obtaining homogeneous blood (plasma or serum) samples and ensuring their integrity. Therefore, the sample handling guidelines should be strictly followed (see </w:t>
      </w:r>
      <w:r w:rsidR="00874453" w:rsidRPr="00A4272B">
        <w:rPr>
          <w:color w:val="000000"/>
          <w:lang w:val="en-US"/>
        </w:rPr>
        <w:t>appendix IV</w:t>
      </w:r>
      <w:r w:rsidRPr="00A4272B">
        <w:rPr>
          <w:color w:val="000000"/>
          <w:lang w:val="en-US"/>
        </w:rPr>
        <w:t>). Qualified personnel must conduct the sampling, with training provided if necessary.</w:t>
      </w:r>
    </w:p>
    <w:p w14:paraId="44F88F56" w14:textId="77777777" w:rsidR="00BB7E34" w:rsidRPr="00A4272B" w:rsidRDefault="00BB7E34" w:rsidP="00BB7E34">
      <w:pPr>
        <w:rPr>
          <w:color w:val="000000"/>
          <w:lang w:val="en-US"/>
        </w:rPr>
      </w:pPr>
      <w:r w:rsidRPr="00A4272B">
        <w:rPr>
          <w:color w:val="000000"/>
          <w:lang w:val="en-US"/>
        </w:rPr>
        <w:lastRenderedPageBreak/>
        <w:t>After sampling, plasma samples can be stored at room temperature for up to 5 days. In high ambient temperatures (e.g., tropical regions), samples should not be stored for more than 1 day before freezing and should be kept out of sunlight.</w:t>
      </w:r>
    </w:p>
    <w:p w14:paraId="20695956" w14:textId="77777777" w:rsidR="00BB7E34" w:rsidRPr="00A4272B" w:rsidRDefault="00BB7E34" w:rsidP="00BB7E34">
      <w:pPr>
        <w:rPr>
          <w:color w:val="000000"/>
          <w:lang w:val="en-US"/>
        </w:rPr>
      </w:pPr>
      <w:r w:rsidRPr="00A4272B">
        <w:rPr>
          <w:color w:val="000000"/>
          <w:lang w:val="en-US"/>
        </w:rPr>
        <w:t>For pooling, 5 ml from each plasma sample should be combined to create a 250 ml pooled sample, which can be stored at -70 °C until analysis. Before analysis, thaw the sample to room temperature, mix gently by inversion, and extract the entire sample, rinsing the container with solvents. Sample handling during storage, transport, and analysis should minimize risks of cross-contamination and ensure personnel safety.</w:t>
      </w:r>
    </w:p>
    <w:p w14:paraId="46A6C989" w14:textId="77777777" w:rsidR="00F3536C" w:rsidRPr="00A4272B" w:rsidRDefault="00F3536C" w:rsidP="00817D9F">
      <w:pPr>
        <w:pStyle w:val="Heading4"/>
        <w:rPr>
          <w:rFonts w:hint="eastAsia"/>
        </w:rPr>
      </w:pPr>
      <w:r w:rsidRPr="00A4272B">
        <w:t>Lipid adjustment of human blood and milk contaminant data</w:t>
      </w:r>
    </w:p>
    <w:p w14:paraId="02DE3177" w14:textId="77777777" w:rsidR="00BB7E34" w:rsidRPr="00A4272B" w:rsidRDefault="00BB7E34" w:rsidP="00BB7E34">
      <w:pPr>
        <w:rPr>
          <w:color w:val="000000"/>
          <w:lang w:val="en-US"/>
        </w:rPr>
      </w:pPr>
      <w:bookmarkStart w:id="252" w:name="_Toc514239686"/>
      <w:bookmarkStart w:id="253" w:name="_Toc514240590"/>
      <w:bookmarkStart w:id="254" w:name="_Toc514240754"/>
      <w:bookmarkStart w:id="255" w:name="_Toc514243141"/>
      <w:bookmarkStart w:id="256" w:name="_Toc514752034"/>
      <w:bookmarkStart w:id="257" w:name="_Toc535584352"/>
      <w:r w:rsidRPr="00A4272B">
        <w:rPr>
          <w:color w:val="000000"/>
          <w:lang w:val="en-US"/>
        </w:rPr>
        <w:t>Since many factors influence human milk composition (Harris et al., 2001; Lovelady et al., 2002), it is important to follow the guidance from the Fourth WHO-Coordinated Survey (WHO, 2007).</w:t>
      </w:r>
    </w:p>
    <w:p w14:paraId="546A70F3" w14:textId="77777777" w:rsidR="00BB7E34" w:rsidRPr="00A4272B" w:rsidRDefault="00BB7E34" w:rsidP="00BB7E34">
      <w:pPr>
        <w:rPr>
          <w:color w:val="000000"/>
          <w:lang w:val="en-US"/>
        </w:rPr>
      </w:pPr>
      <w:r w:rsidRPr="00A4272B">
        <w:rPr>
          <w:color w:val="000000"/>
          <w:lang w:val="en-US"/>
        </w:rPr>
        <w:t>Lipid levels in breast milk are approximately ten times higher than in blood, making lipid normalization essential for comparing lipid-soluble compounds like POPs between maternal blood and breast milk. In blood, lipid levels can fluctuate with meals, but lipid adjustment has been shown to account for these variations, enabling more accurate comparisons of POP levels (Philips et al., 1989).</w:t>
      </w:r>
    </w:p>
    <w:p w14:paraId="37F7D895" w14:textId="77777777" w:rsidR="00BB7E34" w:rsidRPr="00A4272B" w:rsidRDefault="00BB7E34" w:rsidP="00BB7E34">
      <w:pPr>
        <w:rPr>
          <w:color w:val="000000"/>
          <w:lang w:val="en-US"/>
        </w:rPr>
      </w:pPr>
      <w:r w:rsidRPr="00A4272B">
        <w:rPr>
          <w:color w:val="000000"/>
          <w:lang w:val="en-US"/>
        </w:rPr>
        <w:t>Lipid levels in maternal blood also increase during pregnancy, peaking just before delivery and returning to baseline shortly afterward (Longnecker et al., 1999). Adjusting for these changes, as Hansen et al. (2010) demonstrated, provides the most reliable data normalization. For blood plasma, lipid levels should be determined enzymatically, using an appropriate summation formula (see also the chapter on “Choice of Sampling Medium, Study Group, and Number of Samples”).</w:t>
      </w:r>
    </w:p>
    <w:p w14:paraId="3DCD971A" w14:textId="77777777" w:rsidR="00F3536C" w:rsidRPr="00A4272B" w:rsidRDefault="00F3536C" w:rsidP="00817D9F">
      <w:pPr>
        <w:pStyle w:val="Heading4"/>
        <w:rPr>
          <w:rFonts w:hint="eastAsia"/>
        </w:rPr>
      </w:pPr>
      <w:r w:rsidRPr="00A4272B">
        <w:t>Ethics</w:t>
      </w:r>
      <w:bookmarkEnd w:id="252"/>
      <w:bookmarkEnd w:id="253"/>
      <w:bookmarkEnd w:id="254"/>
      <w:bookmarkEnd w:id="255"/>
      <w:bookmarkEnd w:id="256"/>
      <w:bookmarkEnd w:id="257"/>
    </w:p>
    <w:p w14:paraId="6C271509" w14:textId="5A0A3B17" w:rsidR="00B568F5" w:rsidRPr="00A4272B" w:rsidRDefault="00B568F5" w:rsidP="00B568F5">
      <w:pPr>
        <w:rPr>
          <w:color w:val="000000"/>
          <w:lang w:val="en-US"/>
        </w:rPr>
      </w:pPr>
      <w:bookmarkStart w:id="258" w:name="_Toc514239687"/>
      <w:bookmarkStart w:id="259" w:name="_Toc514240591"/>
      <w:bookmarkStart w:id="260" w:name="_Toc514240755"/>
      <w:bookmarkStart w:id="261" w:name="_Toc514243142"/>
      <w:bookmarkStart w:id="262" w:name="_Toc514752035"/>
      <w:bookmarkStart w:id="263" w:name="_Toc535584353"/>
      <w:r w:rsidRPr="00A4272B">
        <w:rPr>
          <w:color w:val="000000"/>
          <w:lang w:val="en-US"/>
        </w:rPr>
        <w:t>Each country should ensure that their protocols receive approval from the relevant ethical committees, with evidence of this approval included in the information package. For human milk sampling, each participating country’s national protocol is based on the WHO protocol (Malish &amp; Moy, 2006; WHO, 2007). Any deviations due to local ethical considerations should be documented and included in the accompanying information package.</w:t>
      </w:r>
    </w:p>
    <w:p w14:paraId="6BAA76AE" w14:textId="77777777" w:rsidR="00B568F5" w:rsidRPr="00A4272B" w:rsidRDefault="00B568F5" w:rsidP="00B568F5">
      <w:pPr>
        <w:rPr>
          <w:color w:val="000000"/>
          <w:lang w:val="en-US"/>
        </w:rPr>
      </w:pPr>
      <w:r w:rsidRPr="00A4272B">
        <w:rPr>
          <w:color w:val="000000"/>
          <w:lang w:val="en-US"/>
        </w:rPr>
        <w:t>Obtaining ethical clearance can be a lengthy process, so participating countries should account for potential delays in their planning. Actively facilitating this process is essential to ensure timely implementation of sampling activities.</w:t>
      </w:r>
    </w:p>
    <w:p w14:paraId="50121D5C" w14:textId="21DB0DBB" w:rsidR="00F3536C" w:rsidRPr="00A4272B" w:rsidRDefault="00F3536C" w:rsidP="00817D9F">
      <w:pPr>
        <w:pStyle w:val="Heading4"/>
        <w:rPr>
          <w:rFonts w:hint="eastAsia"/>
        </w:rPr>
      </w:pPr>
      <w:r w:rsidRPr="00A4272B">
        <w:t>HIV/AIDS</w:t>
      </w:r>
      <w:bookmarkEnd w:id="258"/>
      <w:bookmarkEnd w:id="259"/>
      <w:bookmarkEnd w:id="260"/>
      <w:bookmarkEnd w:id="261"/>
      <w:bookmarkEnd w:id="262"/>
      <w:bookmarkEnd w:id="263"/>
    </w:p>
    <w:p w14:paraId="154052B0" w14:textId="77777777" w:rsidR="00B568F5" w:rsidRPr="00A4272B" w:rsidRDefault="00B568F5" w:rsidP="00781D6A">
      <w:pPr>
        <w:rPr>
          <w:lang w:val="en-US"/>
        </w:rPr>
      </w:pPr>
      <w:bookmarkStart w:id="264" w:name="_Toc514239688"/>
      <w:bookmarkStart w:id="265" w:name="_Toc514240592"/>
      <w:bookmarkStart w:id="266" w:name="_Toc514240756"/>
      <w:bookmarkStart w:id="267" w:name="_Toc514243143"/>
      <w:bookmarkStart w:id="268" w:name="_Toc514752036"/>
      <w:bookmarkStart w:id="269" w:name="_Toc535584354"/>
      <w:r w:rsidRPr="00A4272B">
        <w:rPr>
          <w:lang w:val="en-US"/>
        </w:rPr>
        <w:t>All human biological samples should be handled as though they are infectious to minimize the risk of personnel exposure.</w:t>
      </w:r>
    </w:p>
    <w:p w14:paraId="476165FB" w14:textId="7A5E7876" w:rsidR="00F3536C" w:rsidRPr="00A4272B" w:rsidRDefault="00F3536C" w:rsidP="00817D9F">
      <w:pPr>
        <w:pStyle w:val="Heading4"/>
        <w:rPr>
          <w:rFonts w:hint="eastAsia"/>
        </w:rPr>
      </w:pPr>
      <w:r w:rsidRPr="00A4272B">
        <w:t>Transporting of samples</w:t>
      </w:r>
      <w:bookmarkEnd w:id="264"/>
      <w:bookmarkEnd w:id="265"/>
      <w:bookmarkEnd w:id="266"/>
      <w:bookmarkEnd w:id="267"/>
      <w:bookmarkEnd w:id="268"/>
      <w:bookmarkEnd w:id="269"/>
    </w:p>
    <w:p w14:paraId="37322D8B" w14:textId="77777777" w:rsidR="00B568F5" w:rsidRPr="00A4272B" w:rsidRDefault="00B568F5" w:rsidP="00781D6A">
      <w:pPr>
        <w:rPr>
          <w:color w:val="000000"/>
          <w:lang w:val="en-US"/>
        </w:rPr>
      </w:pPr>
      <w:bookmarkStart w:id="270" w:name="_Toc514239689"/>
      <w:bookmarkStart w:id="271" w:name="_Toc514240593"/>
      <w:bookmarkStart w:id="272" w:name="_Toc514240757"/>
      <w:bookmarkStart w:id="273" w:name="_Toc514243144"/>
      <w:bookmarkStart w:id="274" w:name="_Toc514752037"/>
      <w:bookmarkStart w:id="275" w:name="_Toc535584355"/>
      <w:r w:rsidRPr="00A4272B">
        <w:rPr>
          <w:color w:val="000000"/>
          <w:lang w:val="en-US"/>
        </w:rPr>
        <w:t>Milk and blood samples should be shipped to the designated analytical laboratories following relevant protocols and any specific instructions provided by the receiving party. Due to the prevalence of infectious diseases such as HIV and hepatitis, all human milk and blood samples should be appropriately labeled and handled as a precaution.</w:t>
      </w:r>
    </w:p>
    <w:p w14:paraId="45BA9B03" w14:textId="5F50BB66" w:rsidR="00F3536C" w:rsidRPr="00A4272B" w:rsidRDefault="00F3536C" w:rsidP="00817D9F">
      <w:pPr>
        <w:pStyle w:val="Heading4"/>
        <w:rPr>
          <w:rFonts w:hint="eastAsia"/>
        </w:rPr>
      </w:pPr>
      <w:r w:rsidRPr="00A4272B">
        <w:t>Interlaboratory comparison and cooperation issues</w:t>
      </w:r>
      <w:bookmarkEnd w:id="270"/>
      <w:bookmarkEnd w:id="271"/>
      <w:bookmarkEnd w:id="272"/>
      <w:bookmarkEnd w:id="273"/>
      <w:bookmarkEnd w:id="274"/>
      <w:bookmarkEnd w:id="275"/>
    </w:p>
    <w:p w14:paraId="5F82BB03" w14:textId="77777777" w:rsidR="00B568F5" w:rsidRPr="00A4272B" w:rsidRDefault="00B568F5" w:rsidP="00B568F5">
      <w:pPr>
        <w:rPr>
          <w:lang w:val="en-US"/>
        </w:rPr>
      </w:pPr>
      <w:bookmarkStart w:id="276" w:name="_Toc535584346"/>
      <w:bookmarkStart w:id="277" w:name="_Toc531657"/>
      <w:bookmarkStart w:id="278" w:name="_Toc532177"/>
      <w:bookmarkStart w:id="279" w:name="_Toc532390"/>
      <w:bookmarkStart w:id="280" w:name="_Toc1467887"/>
      <w:bookmarkStart w:id="281" w:name="_Toc1468060"/>
      <w:bookmarkStart w:id="282" w:name="_Toc1483944"/>
      <w:bookmarkStart w:id="283" w:name="_Toc65306488"/>
      <w:r w:rsidRPr="00A4272B">
        <w:rPr>
          <w:lang w:val="en-US"/>
        </w:rPr>
        <w:t>The AMAP ring test for persistent organic pollutants is coordinated by the Centre de Toxicologie du Québec / INSPQ. For further details, visit http://www.ctq.qc.ca and the External Quality Assessment Scheme (G-EQUAS) in Germany. Participating laboratories are supported with methodological guidance, reference materials, sample cross-checking, data handling, and more, all under strict security protocols.</w:t>
      </w:r>
    </w:p>
    <w:p w14:paraId="66E586A8" w14:textId="77777777" w:rsidR="00B568F5" w:rsidRPr="00A4272B" w:rsidRDefault="00B568F5" w:rsidP="00B568F5">
      <w:pPr>
        <w:rPr>
          <w:b/>
          <w:bCs/>
          <w:lang w:val="en-US"/>
        </w:rPr>
      </w:pPr>
      <w:r w:rsidRPr="00A4272B">
        <w:rPr>
          <w:lang w:val="en-US"/>
        </w:rPr>
        <w:t>To ensure reliability and comparability, WHO routinely conducts inter-laboratory quality assurance studies for POPs, including proficiency tests for insecticide POPs and PCB congeners 28, 52, 101, 138, 153, and 180 in human milk. Additionally, UNEP conducts a “Biennial Global Interlaboratory Assessment on Persistent Organic Pollutants” (latest report: UNEP, 2017b), which also includes human milk.</w:t>
      </w:r>
    </w:p>
    <w:p w14:paraId="36408835" w14:textId="3A6C46D1" w:rsidR="00F3536C" w:rsidRPr="00A4272B" w:rsidRDefault="00546F41" w:rsidP="00817D9F">
      <w:pPr>
        <w:pStyle w:val="Heading3"/>
        <w:rPr>
          <w:rFonts w:hint="eastAsia"/>
        </w:rPr>
      </w:pPr>
      <w:bookmarkStart w:id="284" w:name="_Toc187270494"/>
      <w:r w:rsidRPr="00A4272B">
        <w:t>4.2.4</w:t>
      </w:r>
      <w:r w:rsidRPr="00A4272B">
        <w:tab/>
      </w:r>
      <w:r w:rsidR="00F3536C" w:rsidRPr="00A4272B">
        <w:t xml:space="preserve">Special considerations for </w:t>
      </w:r>
      <w:bookmarkEnd w:id="276"/>
      <w:bookmarkEnd w:id="277"/>
      <w:bookmarkEnd w:id="278"/>
      <w:bookmarkEnd w:id="279"/>
      <w:bookmarkEnd w:id="280"/>
      <w:bookmarkEnd w:id="281"/>
      <w:bookmarkEnd w:id="282"/>
      <w:r w:rsidR="00F3536C" w:rsidRPr="00A4272B">
        <w:t>fluorinated POPs</w:t>
      </w:r>
      <w:bookmarkEnd w:id="283"/>
      <w:bookmarkEnd w:id="284"/>
    </w:p>
    <w:p w14:paraId="59A91A9C" w14:textId="2F1A859F" w:rsidR="00D10582" w:rsidRPr="00A4272B" w:rsidRDefault="00D10582" w:rsidP="00D10582">
      <w:pPr>
        <w:rPr>
          <w:lang w:val="en-US"/>
        </w:rPr>
      </w:pPr>
      <w:r w:rsidRPr="00A4272B">
        <w:rPr>
          <w:lang w:val="en-US"/>
        </w:rPr>
        <w:t>Fluorinated POPs, such as perfluorooctane sulfonic acid (PFOS) and perfluorooctanoic acid (PFOA), do not follow the typical partitioning into fatty tissues seen with other POPs. Instead, they bind preferentially to plasma proteins like albumin and gamma-lipoproteins, and to liver proteins such as liver fatty acid-binding protein</w:t>
      </w:r>
      <w:r w:rsidR="00CA2236" w:rsidRPr="00A4272B">
        <w:rPr>
          <w:lang w:val="en-US"/>
        </w:rPr>
        <w:t xml:space="preserve"> </w:t>
      </w:r>
      <w:r w:rsidR="0068648C" w:rsidRPr="00A4272B">
        <w:rPr>
          <w:rStyle w:val="dn"/>
          <w:rFonts w:eastAsia="Arial Unicode MS" w:cs="Arial Unicode MS"/>
          <w:lang w:val="en-US"/>
        </w:rPr>
        <w:t>(Kärrman, 2007; Völkel, 2008)</w:t>
      </w:r>
      <w:r w:rsidRPr="00A4272B">
        <w:rPr>
          <w:lang w:val="en-US"/>
        </w:rPr>
        <w:t xml:space="preserve">. This makes blood and liver the primary media for analyzing PFOS and PFOA. General analytical issues for PFOS are discussed in the analytical </w:t>
      </w:r>
      <w:r w:rsidR="002A6D39" w:rsidRPr="00A4272B">
        <w:rPr>
          <w:lang w:val="en-US"/>
        </w:rPr>
        <w:t>chapter</w:t>
      </w:r>
      <w:r w:rsidRPr="00A4272B">
        <w:rPr>
          <w:lang w:val="en-US"/>
        </w:rPr>
        <w:t>.</w:t>
      </w:r>
    </w:p>
    <w:p w14:paraId="7D10816C" w14:textId="77777777" w:rsidR="00D10582" w:rsidRPr="00A4272B" w:rsidRDefault="00D10582" w:rsidP="00D10582">
      <w:pPr>
        <w:rPr>
          <w:lang w:val="en-US"/>
        </w:rPr>
      </w:pPr>
      <w:r w:rsidRPr="00A4272B">
        <w:rPr>
          <w:lang w:val="en-US"/>
        </w:rPr>
        <w:lastRenderedPageBreak/>
        <w:t>Unlike traditional POPs, research on fluorinated POPs, including PFOS and PFOA, began in the early 2000s, with the first reports of PFOS in humans and the environment (Hansen et al., 2001; Giesy and Kannan, 2001). Analytical methods have since advanced significantly (e.g., Kärrman et al., 2007, 2009).</w:t>
      </w:r>
    </w:p>
    <w:p w14:paraId="66FB77DA" w14:textId="77777777" w:rsidR="00D10582" w:rsidRPr="00A4272B" w:rsidRDefault="00D10582" w:rsidP="00D10582">
      <w:pPr>
        <w:rPr>
          <w:lang w:val="en-US"/>
        </w:rPr>
      </w:pPr>
      <w:r w:rsidRPr="00A4272B">
        <w:rPr>
          <w:lang w:val="en-US"/>
        </w:rPr>
        <w:t>Blood, due to its higher albumin content, is the preferred medium for fluorinated compound analysis. However, with current technology, PFOS and PFOA can also be reliably measured in milk, where a strong association with blood concentrations has been observed (Kärrman et al., 2007). PFOS levels in human milk are generally much lower—20–100 times lower when reported in ng/ml (Kärrman et al., 2007, 2009; Tao et al., 2008)—making milk a less primary target for PFOS detection and posing analytical challenges. This was evident in the fourth QA/QC study on PFCs in human milk, where variations across 20 expert laboratories were over 35% (38% and 49%) for two milk pools.</w:t>
      </w:r>
    </w:p>
    <w:p w14:paraId="75CE0B74" w14:textId="77777777" w:rsidR="00D10582" w:rsidRPr="00A4272B" w:rsidRDefault="00D10582" w:rsidP="00D10582">
      <w:pPr>
        <w:rPr>
          <w:lang w:val="en-US"/>
        </w:rPr>
      </w:pPr>
      <w:r w:rsidRPr="00A4272B">
        <w:rPr>
          <w:lang w:val="en-US"/>
        </w:rPr>
        <w:t>In a study by Kärrman and Davies (2013), milk and serum samples from first-time mothers in Uppsala, Sweden, were collected and analyzed in 2004, 2007, 2009, and 2011. A total of 48 serum and 48 milk samples were analyzed on an MS/MS system with electrospray ionization. Using validated methods, the study found PFOS (linear isomer) in all samples, with concentrations ranging from 1.3 to 20 ng/mL in serum and 0.028 to 0.354 ng/mL in milk. Detection limits were 0.05 ng/mL for serum and 0.012 ng/mL for milk. These concentrations align with other studies on PFOS in serum and milk. Regression analysis (Figure 4.2.4) demonstrated a strong correlation between PFOS levels in milk and serum, with a Pearson correlation coefficient of 0.9171. Milk levels averaged 1.55% of the corresponding serum levels, consistent with previous findings of 1.09% (Kim et al., 2011), 1% (Kärrman et al., 2007), and 1.4% (Thomsen et al., 2010).</w:t>
      </w:r>
    </w:p>
    <w:p w14:paraId="113FEC6D" w14:textId="77777777" w:rsidR="00D10582" w:rsidRPr="00A4272B" w:rsidRDefault="00D10582" w:rsidP="00D10582">
      <w:pPr>
        <w:rPr>
          <w:noProof/>
          <w:lang w:val="en-US"/>
        </w:rPr>
      </w:pPr>
      <w:r w:rsidRPr="00A4272B">
        <w:rPr>
          <w:lang w:val="en-US"/>
        </w:rPr>
        <w:t>This study also confirmed excellent recoveries, reproducibility, and accuracy. Quality control (QC) samples were analyzed alongside the study samples, with PFOS recoveries of 78% (51–90%) in milk and 101% (81–110%) in serum.</w:t>
      </w:r>
    </w:p>
    <w:p w14:paraId="3D39653A" w14:textId="184D77C9" w:rsidR="00F3536C" w:rsidRPr="00A4272B" w:rsidRDefault="00852F36" w:rsidP="006D5860">
      <w:pPr>
        <w:jc w:val="center"/>
        <w:rPr>
          <w:noProof/>
          <w:lang w:val="en-US"/>
        </w:rPr>
      </w:pPr>
      <w:r w:rsidRPr="00A4272B">
        <w:rPr>
          <w:noProof/>
          <w:lang w:val="en-US"/>
        </w:rPr>
        <w:drawing>
          <wp:inline distT="0" distB="0" distL="0" distR="0" wp14:anchorId="32A2B5DC" wp14:editId="128A39A3">
            <wp:extent cx="3439497" cy="2260397"/>
            <wp:effectExtent l="0" t="0" r="8890" b="6985"/>
            <wp:docPr id="996518617" name="Picture 1" descr="A graph of serum and ser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18617" name="Picture 1" descr="A graph of serum and serum&#10;&#10;Description automatically generated with medium confidence"/>
                    <pic:cNvPicPr/>
                  </pic:nvPicPr>
                  <pic:blipFill>
                    <a:blip r:embed="rId41"/>
                    <a:stretch>
                      <a:fillRect/>
                    </a:stretch>
                  </pic:blipFill>
                  <pic:spPr>
                    <a:xfrm>
                      <a:off x="0" y="0"/>
                      <a:ext cx="3467730" cy="2278952"/>
                    </a:xfrm>
                    <a:prstGeom prst="rect">
                      <a:avLst/>
                    </a:prstGeom>
                  </pic:spPr>
                </pic:pic>
              </a:graphicData>
            </a:graphic>
          </wp:inline>
        </w:drawing>
      </w:r>
    </w:p>
    <w:p w14:paraId="6ED5C5B2" w14:textId="0E2EF6FE" w:rsidR="00F3536C" w:rsidRPr="00A4272B" w:rsidRDefault="00F3536C" w:rsidP="00781D6A">
      <w:pPr>
        <w:pStyle w:val="NoSpacing"/>
        <w:spacing w:after="120"/>
        <w:rPr>
          <w:rFonts w:ascii="Times New Roman" w:hAnsi="Times New Roman"/>
          <w:b/>
          <w:sz w:val="20"/>
          <w:szCs w:val="20"/>
        </w:rPr>
      </w:pPr>
      <w:r w:rsidRPr="00A4272B">
        <w:rPr>
          <w:rFonts w:ascii="Times New Roman" w:hAnsi="Times New Roman"/>
          <w:b/>
          <w:sz w:val="20"/>
          <w:szCs w:val="20"/>
        </w:rPr>
        <w:t xml:space="preserve">Figure 4.2.4: </w:t>
      </w:r>
      <w:r w:rsidR="00D10582" w:rsidRPr="00A4272B">
        <w:rPr>
          <w:rStyle w:val="Strong"/>
          <w:rFonts w:ascii="Times New Roman" w:hAnsi="Times New Roman"/>
          <w:bCs w:val="0"/>
          <w:sz w:val="20"/>
          <w:szCs w:val="20"/>
        </w:rPr>
        <w:t>PFOS concentrations (ng/mL) in serum and milk samples from Sweden, 2004–2011.</w:t>
      </w:r>
      <w:r w:rsidR="00D10582" w:rsidRPr="00A4272B">
        <w:rPr>
          <w:rStyle w:val="Strong"/>
          <w:rFonts w:ascii="Times New Roman" w:hAnsi="Times New Roman"/>
          <w:b w:val="0"/>
          <w:sz w:val="18"/>
          <w:szCs w:val="18"/>
        </w:rPr>
        <w:t xml:space="preserve"> (The linear regression equation, R² value, and Pearson’s correlation coefficient are displayed.</w:t>
      </w:r>
      <w:r w:rsidR="00D10582" w:rsidRPr="00A4272B">
        <w:rPr>
          <w:rFonts w:ascii="Times New Roman" w:hAnsi="Times New Roman"/>
          <w:bCs/>
          <w:sz w:val="18"/>
          <w:szCs w:val="18"/>
        </w:rPr>
        <w:t>)</w:t>
      </w:r>
      <w:r w:rsidR="00553256" w:rsidRPr="00A4272B">
        <w:rPr>
          <w:rFonts w:ascii="Times New Roman" w:hAnsi="Times New Roman"/>
          <w:bCs/>
          <w:sz w:val="18"/>
          <w:szCs w:val="18"/>
        </w:rPr>
        <w:t xml:space="preserve"> </w:t>
      </w:r>
      <w:bookmarkStart w:id="285" w:name="_Hlk182950963"/>
      <w:r w:rsidR="0068648C" w:rsidRPr="00A4272B">
        <w:rPr>
          <w:rFonts w:ascii="Times New Roman" w:hAnsi="Times New Roman"/>
          <w:bCs/>
          <w:sz w:val="18"/>
          <w:szCs w:val="18"/>
        </w:rPr>
        <w:t>(Kärrman and Davies (2013)</w:t>
      </w:r>
      <w:bookmarkEnd w:id="285"/>
      <w:r w:rsidR="0068648C" w:rsidRPr="00A4272B">
        <w:rPr>
          <w:rFonts w:ascii="Times New Roman" w:hAnsi="Times New Roman"/>
          <w:bCs/>
          <w:sz w:val="18"/>
          <w:szCs w:val="18"/>
        </w:rPr>
        <w:t>).</w:t>
      </w:r>
    </w:p>
    <w:p w14:paraId="2ED885DD" w14:textId="7BF133B9" w:rsidR="00F3536C" w:rsidRPr="00A4272B" w:rsidRDefault="00A46744" w:rsidP="009C240D">
      <w:pPr>
        <w:pStyle w:val="GMPHeading2"/>
        <w:tabs>
          <w:tab w:val="clear" w:pos="360"/>
          <w:tab w:val="clear" w:pos="450"/>
          <w:tab w:val="clear" w:pos="540"/>
          <w:tab w:val="clear" w:pos="630"/>
        </w:tabs>
        <w:rPr>
          <w:rFonts w:hint="eastAsia"/>
        </w:rPr>
      </w:pPr>
      <w:bookmarkStart w:id="286" w:name="_Toc187270495"/>
      <w:r w:rsidRPr="00A4272B">
        <w:t>4.3</w:t>
      </w:r>
      <w:r w:rsidRPr="00A4272B">
        <w:tab/>
      </w:r>
      <w:r w:rsidR="00F3536C" w:rsidRPr="00A4272B">
        <w:t>Water</w:t>
      </w:r>
      <w:bookmarkStart w:id="287" w:name="_Toc159831851"/>
      <w:bookmarkEnd w:id="286"/>
    </w:p>
    <w:p w14:paraId="43943784" w14:textId="74BF3A8A" w:rsidR="00F3536C" w:rsidRPr="00A4272B" w:rsidRDefault="001F665D" w:rsidP="00817D9F">
      <w:pPr>
        <w:pStyle w:val="Heading3"/>
        <w:rPr>
          <w:rFonts w:hint="eastAsia"/>
        </w:rPr>
      </w:pPr>
      <w:bookmarkStart w:id="288" w:name="_Toc535584358"/>
      <w:bookmarkStart w:id="289" w:name="_Toc531659"/>
      <w:bookmarkStart w:id="290" w:name="_Toc532179"/>
      <w:bookmarkStart w:id="291" w:name="_Toc532392"/>
      <w:bookmarkStart w:id="292" w:name="_Toc1467889"/>
      <w:bookmarkStart w:id="293" w:name="_Toc1468062"/>
      <w:bookmarkStart w:id="294" w:name="_Toc1483946"/>
      <w:bookmarkStart w:id="295" w:name="_Toc65306490"/>
      <w:bookmarkStart w:id="296" w:name="_Toc187270496"/>
      <w:r w:rsidRPr="00A4272B">
        <w:t>4</w:t>
      </w:r>
      <w:r w:rsidR="00F3536C" w:rsidRPr="00A4272B">
        <w:t>.3.1</w:t>
      </w:r>
      <w:r w:rsidR="00F3536C" w:rsidRPr="00A4272B">
        <w:tab/>
      </w:r>
      <w:bookmarkEnd w:id="288"/>
      <w:bookmarkEnd w:id="289"/>
      <w:bookmarkEnd w:id="290"/>
      <w:bookmarkEnd w:id="291"/>
      <w:r w:rsidR="00F3536C" w:rsidRPr="00A4272B">
        <w:t>Experimental design</w:t>
      </w:r>
      <w:bookmarkEnd w:id="292"/>
      <w:bookmarkEnd w:id="293"/>
      <w:bookmarkEnd w:id="294"/>
      <w:bookmarkEnd w:id="295"/>
      <w:bookmarkEnd w:id="296"/>
    </w:p>
    <w:bookmarkEnd w:id="287"/>
    <w:p w14:paraId="537B62B1" w14:textId="1AF837DD" w:rsidR="00F3536C" w:rsidRPr="00A4272B" w:rsidRDefault="00E64E45" w:rsidP="00366AEE">
      <w:pPr>
        <w:rPr>
          <w:lang w:val="en-US"/>
        </w:rPr>
      </w:pPr>
      <w:r w:rsidRPr="00A4272B">
        <w:rPr>
          <w:lang w:val="en-US"/>
        </w:rPr>
        <w:t xml:space="preserve">Water has been identified as a core matrix under the GMP exclusively for fluorinated POPs, based on evidence that it serves as the primary transport medium for these chemicals in the environment. This designation is supported by extensive research demonstrating the feasibility of detecting these substances in water and the availability of standard methods for such analyses. PFOS, PFOA, PFHxS, and the long-chain perfluorocarboxylates (C9-C18 LC-PFCAs) proposed for addition to the Stockholm Convention are noted for their relatively high water solubility, especially compared to their neutral analogs, such as fluorotelomer olefins, alcohols, sulfonamides, or sulfonamidoethanols (Sosnowska et al., 2023; UNEP, 2023). Consequently, these compounds are recommended for monitoring in water as a core matrix. The open ocean water column has been suggested as a final sink for perfluorinated substances, including PFOS and PFOA (Lohmann et al., 2013). Given the challenges in determining PFOS, PFOA, PFHxS, and LC-PFCA anions in air (see </w:t>
      </w:r>
      <w:r w:rsidR="002A6D39" w:rsidRPr="00A4272B">
        <w:rPr>
          <w:lang w:val="en-US"/>
        </w:rPr>
        <w:t>chapter</w:t>
      </w:r>
      <w:r w:rsidRPr="00A4272B">
        <w:rPr>
          <w:lang w:val="en-US"/>
        </w:rPr>
        <w:t xml:space="preserve"> 4.1.1), water remains the most suitable environmental matrix for monitoring anionic PFAS</w:t>
      </w:r>
      <w:r w:rsidR="00526070" w:rsidRPr="00A4272B">
        <w:rPr>
          <w:lang w:val="en-US"/>
        </w:rPr>
        <w:t>s</w:t>
      </w:r>
      <w:r w:rsidRPr="00A4272B">
        <w:rPr>
          <w:lang w:val="en-US"/>
        </w:rPr>
        <w:t>. Complementary guidance on including PFAS</w:t>
      </w:r>
      <w:r w:rsidR="00526070" w:rsidRPr="00A4272B">
        <w:rPr>
          <w:lang w:val="en-US"/>
        </w:rPr>
        <w:t>s</w:t>
      </w:r>
      <w:r w:rsidRPr="00A4272B">
        <w:rPr>
          <w:lang w:val="en-US"/>
        </w:rPr>
        <w:t xml:space="preserve"> in the GMP has been published by UNEP’s Chemicals Branch (Weiss et al., 2015)</w:t>
      </w:r>
      <w:r w:rsidR="00F3536C" w:rsidRPr="00A4272B">
        <w:rPr>
          <w:lang w:val="en-US"/>
        </w:rPr>
        <w:t>.</w:t>
      </w:r>
      <w:r w:rsidR="00D41E6C" w:rsidRPr="00A4272B">
        <w:rPr>
          <w:lang w:val="en-US"/>
        </w:rPr>
        <w:t xml:space="preserve"> Please note that the potential inclusion of additional POPs data on water is discussed in Chapter 4.4, under the section on other media.</w:t>
      </w:r>
    </w:p>
    <w:p w14:paraId="3F860993" w14:textId="77777777" w:rsidR="00F3536C" w:rsidRPr="00A4272B" w:rsidRDefault="00F3536C" w:rsidP="00817D9F">
      <w:pPr>
        <w:pStyle w:val="Heading4"/>
        <w:rPr>
          <w:rFonts w:hint="eastAsia"/>
        </w:rPr>
      </w:pPr>
      <w:r w:rsidRPr="00A4272B">
        <w:lastRenderedPageBreak/>
        <w:t>Sampling locations</w:t>
      </w:r>
    </w:p>
    <w:p w14:paraId="47394A26" w14:textId="48AE5A50" w:rsidR="00E64E45" w:rsidRPr="00A4272B" w:rsidRDefault="00E64E45" w:rsidP="00E64E45">
      <w:pPr>
        <w:rPr>
          <w:lang w:val="en-US"/>
        </w:rPr>
      </w:pPr>
      <w:r w:rsidRPr="00A4272B">
        <w:rPr>
          <w:lang w:val="en-US"/>
        </w:rPr>
        <w:t xml:space="preserve">The Third Global Monitoring Report (UNEP/POPS/COP.11/INF/38) presented global results for PFOS, PFOA, and PFHxS in coastal marine and open ocean waters, based on peer-reviewed literature and data from national </w:t>
      </w:r>
      <w:r w:rsidR="002A6D39" w:rsidRPr="00A4272B">
        <w:rPr>
          <w:lang w:val="en-US"/>
        </w:rPr>
        <w:t xml:space="preserve">programmes </w:t>
      </w:r>
      <w:r w:rsidRPr="00A4272B">
        <w:rPr>
          <w:lang w:val="en-US"/>
        </w:rPr>
        <w:t>for the period 2015–2019. While most data originated from the Northern Hemisphere (WEOG and Asia-Pacific regions), the PFAS analysis conducted by the UNEP/GEF GMP II project in 22 countries between 2017 and 2019 provided a robust foundation for assessing surface water concentrations and excellent short-term temporal trends in select locations (Baabish et al., 2021). The geographic distribution of water sampling sites for PFOS, PFOA, and PFHxS, currently available in the Stockholm Convention Data Warehouse (</w:t>
      </w:r>
      <w:hyperlink r:id="rId42" w:tgtFrame="_new" w:history="1">
        <w:r w:rsidRPr="00A4272B">
          <w:rPr>
            <w:rStyle w:val="Hyperlink"/>
            <w:lang w:val="en-US"/>
          </w:rPr>
          <w:t>https://data.pops-gmp.org/</w:t>
        </w:r>
      </w:hyperlink>
      <w:r w:rsidRPr="00A4272B">
        <w:rPr>
          <w:lang w:val="en-US"/>
        </w:rPr>
        <w:t>), is shown in Figure 1.</w:t>
      </w:r>
    </w:p>
    <w:p w14:paraId="7BDE72F6" w14:textId="3F83DB26" w:rsidR="00E64E45" w:rsidRPr="00A4272B" w:rsidRDefault="00E64E45" w:rsidP="00E64E45">
      <w:pPr>
        <w:rPr>
          <w:lang w:val="en-US"/>
        </w:rPr>
      </w:pPr>
      <w:r w:rsidRPr="00A4272B">
        <w:rPr>
          <w:lang w:val="en-US"/>
        </w:rPr>
        <w:t>The majority of PFAS data in the GMP III report were drawn from individual studies published in peer-reviewed journals by university and government researchers, similar to the GMP II report. Therefore, to evaluate temporal trends related to the effectiveness of global phase-outs under the Convention, the next global assessment of PFAS</w:t>
      </w:r>
      <w:r w:rsidR="00526070" w:rsidRPr="00A4272B">
        <w:rPr>
          <w:lang w:val="en-US"/>
        </w:rPr>
        <w:t>s</w:t>
      </w:r>
      <w:r w:rsidRPr="00A4272B">
        <w:rPr>
          <w:lang w:val="en-US"/>
        </w:rPr>
        <w:t xml:space="preserve"> in water will need to use this data as a baseline. This will require careful evaluation of individual studies and sampling sites to confirm that they meet the criteria for site selection and analysis.</w:t>
      </w:r>
    </w:p>
    <w:p w14:paraId="1FED3B6F" w14:textId="77777777" w:rsidR="00E64E45" w:rsidRPr="00A4272B" w:rsidRDefault="00E64E45" w:rsidP="00E64E45">
      <w:pPr>
        <w:rPr>
          <w:lang w:val="en-US"/>
        </w:rPr>
      </w:pPr>
      <w:r w:rsidRPr="00A4272B">
        <w:rPr>
          <w:lang w:val="en-US"/>
        </w:rPr>
        <w:t>Results from rivers and coastal waters offer the best opportunities for assessing temporal trends due to reductions in active emissions from sources such as PFAS-emitting industries, wastewater treatment plants (WWTPs), tributaries, and accidental spills, provided these sources are well documented. Coastal seas, including the Yellow Sea, the Baltic Sea, and the North Sea, have substantial datasets that can be analyzed for temporal trends (Muir and Miaz, 2021). For open oceans, monitoring results along key cruise transects, as discussed in Section 4.3.4.1, will provide critical information.</w:t>
      </w:r>
    </w:p>
    <w:p w14:paraId="6B0DD2BC" w14:textId="77777777" w:rsidR="00E64E45" w:rsidRPr="00A4272B" w:rsidRDefault="00E64E45" w:rsidP="00E64E45">
      <w:pPr>
        <w:rPr>
          <w:lang w:val="en-US"/>
        </w:rPr>
      </w:pPr>
      <w:r w:rsidRPr="00A4272B">
        <w:rPr>
          <w:lang w:val="en-US"/>
        </w:rPr>
        <w:t>Recommendations for selecting sampling locations are as follows (Weiss et al., 2015):</w:t>
      </w:r>
    </w:p>
    <w:p w14:paraId="0C5A6618" w14:textId="77777777" w:rsidR="00E64E45" w:rsidRPr="00A4272B" w:rsidRDefault="00E64E45">
      <w:pPr>
        <w:numPr>
          <w:ilvl w:val="0"/>
          <w:numId w:val="58"/>
        </w:numPr>
        <w:rPr>
          <w:lang w:val="en-US"/>
        </w:rPr>
      </w:pPr>
      <w:r w:rsidRPr="00A4272B">
        <w:rPr>
          <w:lang w:val="en-US"/>
        </w:rPr>
        <w:t>Define the objectives of the project and the selected monitoring site;</w:t>
      </w:r>
    </w:p>
    <w:p w14:paraId="030B5A80" w14:textId="77777777" w:rsidR="00E64E45" w:rsidRPr="00A4272B" w:rsidRDefault="00E64E45">
      <w:pPr>
        <w:numPr>
          <w:ilvl w:val="0"/>
          <w:numId w:val="58"/>
        </w:numPr>
        <w:rPr>
          <w:lang w:val="en-US"/>
        </w:rPr>
      </w:pPr>
      <w:r w:rsidRPr="00A4272B">
        <w:rPr>
          <w:lang w:val="en-US"/>
        </w:rPr>
        <w:t>Gather hydrological and other relevant data (e.g., presence of industry and WWTPs, population density);</w:t>
      </w:r>
    </w:p>
    <w:p w14:paraId="659B8151" w14:textId="77777777" w:rsidR="00E64E45" w:rsidRPr="00A4272B" w:rsidRDefault="00E64E45">
      <w:pPr>
        <w:numPr>
          <w:ilvl w:val="0"/>
          <w:numId w:val="58"/>
        </w:numPr>
        <w:rPr>
          <w:lang w:val="en-US"/>
        </w:rPr>
      </w:pPr>
      <w:r w:rsidRPr="00A4272B">
        <w:rPr>
          <w:lang w:val="en-US"/>
        </w:rPr>
        <w:t>For monitoring purposes, estuaries are recommended as sampling sites, though data from other sites are also valuable if they meet one of the following criteria:</w:t>
      </w:r>
    </w:p>
    <w:p w14:paraId="19BCEFB3" w14:textId="77777777" w:rsidR="00E64E45" w:rsidRPr="00A4272B" w:rsidRDefault="00E64E45">
      <w:pPr>
        <w:numPr>
          <w:ilvl w:val="1"/>
          <w:numId w:val="59"/>
        </w:numPr>
        <w:rPr>
          <w:lang w:val="en-US"/>
        </w:rPr>
      </w:pPr>
      <w:r w:rsidRPr="00A4272B">
        <w:rPr>
          <w:lang w:val="en-US"/>
        </w:rPr>
        <w:t>Estuary, following US EPA guidance for both small, discrete sites (&lt;10 km²) and larger tidal rivers and bays (USEPA, 2009);</w:t>
      </w:r>
    </w:p>
    <w:p w14:paraId="00446665" w14:textId="77777777" w:rsidR="00E64E45" w:rsidRPr="00A4272B" w:rsidRDefault="00E64E45">
      <w:pPr>
        <w:numPr>
          <w:ilvl w:val="1"/>
          <w:numId w:val="59"/>
        </w:numPr>
        <w:rPr>
          <w:lang w:val="en-US"/>
        </w:rPr>
      </w:pPr>
      <w:r w:rsidRPr="00A4272B">
        <w:rPr>
          <w:lang w:val="en-US"/>
        </w:rPr>
        <w:t>River, downstream of a populated area, downstream of the mixing zone and any influent or point source;</w:t>
      </w:r>
    </w:p>
    <w:p w14:paraId="5B18E54A" w14:textId="77777777" w:rsidR="00E64E45" w:rsidRPr="00A4272B" w:rsidRDefault="00E64E45">
      <w:pPr>
        <w:numPr>
          <w:ilvl w:val="1"/>
          <w:numId w:val="59"/>
        </w:numPr>
        <w:rPr>
          <w:lang w:val="en-US"/>
        </w:rPr>
      </w:pPr>
      <w:r w:rsidRPr="00A4272B">
        <w:rPr>
          <w:lang w:val="en-US"/>
        </w:rPr>
        <w:t>Lake with a defined surrounding population;</w:t>
      </w:r>
    </w:p>
    <w:p w14:paraId="6521355A" w14:textId="77777777" w:rsidR="00E64E45" w:rsidRPr="00A4272B" w:rsidRDefault="00E64E45">
      <w:pPr>
        <w:numPr>
          <w:ilvl w:val="1"/>
          <w:numId w:val="59"/>
        </w:numPr>
        <w:rPr>
          <w:lang w:val="en-US"/>
        </w:rPr>
      </w:pPr>
      <w:r w:rsidRPr="00A4272B">
        <w:rPr>
          <w:lang w:val="en-US"/>
        </w:rPr>
        <w:t>Tributary before entering the main stream.</w:t>
      </w:r>
    </w:p>
    <w:p w14:paraId="4608B462" w14:textId="0423E6E4" w:rsidR="00E64E45" w:rsidRPr="00A4272B" w:rsidRDefault="00E64E45">
      <w:pPr>
        <w:pStyle w:val="ListParagraph"/>
        <w:numPr>
          <w:ilvl w:val="0"/>
          <w:numId w:val="58"/>
        </w:numPr>
      </w:pPr>
      <w:r w:rsidRPr="00A4272B">
        <w:t>Adapt the distance to shore according to site-specific circumstances, ensuring that water samples are taken outside the mixing zone of point sources;</w:t>
      </w:r>
    </w:p>
    <w:p w14:paraId="56FCE2A6" w14:textId="33993A8B" w:rsidR="00E64E45" w:rsidRPr="00A4272B" w:rsidRDefault="00E64E45">
      <w:pPr>
        <w:numPr>
          <w:ilvl w:val="0"/>
          <w:numId w:val="58"/>
        </w:numPr>
        <w:rPr>
          <w:lang w:val="en-US"/>
        </w:rPr>
      </w:pPr>
      <w:r w:rsidRPr="00A4272B">
        <w:rPr>
          <w:lang w:val="en-US"/>
        </w:rPr>
        <w:t>Ensure accessibility for limnological or oceanographic vessels equipped to deploy water sampling equipment, or from land-based sites (e.g., bridges, piers, jetties) with facilities for water sampling deployment.</w:t>
      </w:r>
    </w:p>
    <w:p w14:paraId="1267F189" w14:textId="77777777" w:rsidR="00F3536C" w:rsidRPr="00A4272B" w:rsidRDefault="00F3536C" w:rsidP="00817D9F">
      <w:pPr>
        <w:pStyle w:val="Heading4"/>
        <w:rPr>
          <w:rFonts w:hint="eastAsia"/>
        </w:rPr>
      </w:pPr>
      <w:r w:rsidRPr="00A4272B">
        <w:t>Siting considerations</w:t>
      </w:r>
    </w:p>
    <w:p w14:paraId="3E9125CC" w14:textId="77777777" w:rsidR="00E64E45" w:rsidRPr="00A4272B" w:rsidRDefault="00E64E45" w:rsidP="00E64E45">
      <w:pPr>
        <w:rPr>
          <w:lang w:val="en-US" w:eastAsia="ja-JP"/>
        </w:rPr>
      </w:pPr>
      <w:r w:rsidRPr="00A4272B">
        <w:rPr>
          <w:lang w:val="en-US" w:eastAsia="ja-JP"/>
        </w:rPr>
        <w:t>Similarly to air sampling, water sampling sites should be located sufficiently far from urban centers, harbors, industrial wastewater inputs, and other sources of POPs to ensure that the concentrations measured are representative of a larger area around the site.</w:t>
      </w:r>
    </w:p>
    <w:p w14:paraId="6163D395" w14:textId="77777777" w:rsidR="00E64E45" w:rsidRPr="00A4272B" w:rsidRDefault="00E64E45" w:rsidP="00E64E45">
      <w:pPr>
        <w:rPr>
          <w:lang w:val="en-US" w:eastAsia="ja-JP"/>
        </w:rPr>
      </w:pPr>
      <w:r w:rsidRPr="00A4272B">
        <w:rPr>
          <w:lang w:val="en-US" w:eastAsia="ja-JP"/>
        </w:rPr>
        <w:t>Requirements for water sampling sites include:</w:t>
      </w:r>
    </w:p>
    <w:p w14:paraId="4DB8D81D" w14:textId="77777777" w:rsidR="00E64E45" w:rsidRPr="00A4272B" w:rsidRDefault="00E64E45">
      <w:pPr>
        <w:pStyle w:val="ListParagraph"/>
        <w:numPr>
          <w:ilvl w:val="0"/>
          <w:numId w:val="60"/>
        </w:numPr>
        <w:rPr>
          <w:lang w:eastAsia="ja-JP"/>
        </w:rPr>
      </w:pPr>
      <w:r w:rsidRPr="00A4272B">
        <w:rPr>
          <w:lang w:eastAsia="ja-JP"/>
        </w:rPr>
        <w:t>Easy access by limnological or oceanographic vessels capable of deploying water sampling equipment, or from land-based sites such as bridges;</w:t>
      </w:r>
    </w:p>
    <w:p w14:paraId="4747BA55" w14:textId="2C2AF53B" w:rsidR="00E64E45" w:rsidRPr="00A4272B" w:rsidRDefault="00E64E45">
      <w:pPr>
        <w:pStyle w:val="ListParagraph"/>
        <w:numPr>
          <w:ilvl w:val="0"/>
          <w:numId w:val="60"/>
        </w:numPr>
        <w:rPr>
          <w:lang w:eastAsia="ja-JP"/>
        </w:rPr>
      </w:pPr>
      <w:r w:rsidRPr="00A4272B">
        <w:rPr>
          <w:lang w:eastAsia="ja-JP"/>
        </w:rPr>
        <w:t xml:space="preserve">Presence of an existing routine monitoring </w:t>
      </w:r>
      <w:r w:rsidR="002A6D39" w:rsidRPr="00A4272B">
        <w:rPr>
          <w:lang w:eastAsia="ja-JP"/>
        </w:rPr>
        <w:t xml:space="preserve">programme </w:t>
      </w:r>
      <w:r w:rsidRPr="00A4272B">
        <w:rPr>
          <w:lang w:eastAsia="ja-JP"/>
        </w:rPr>
        <w:t>with available water chemistry data;</w:t>
      </w:r>
    </w:p>
    <w:p w14:paraId="25C43B01" w14:textId="77777777" w:rsidR="00E64E45" w:rsidRPr="00A4272B" w:rsidRDefault="00E64E45">
      <w:pPr>
        <w:pStyle w:val="ListParagraph"/>
        <w:numPr>
          <w:ilvl w:val="0"/>
          <w:numId w:val="60"/>
        </w:numPr>
        <w:rPr>
          <w:lang w:eastAsia="ja-JP"/>
        </w:rPr>
      </w:pPr>
      <w:r w:rsidRPr="00A4272B">
        <w:rPr>
          <w:lang w:eastAsia="ja-JP"/>
        </w:rPr>
        <w:t>Availability of physical measurements (e.g., temperature, pH, conductivity) and flow data;</w:t>
      </w:r>
    </w:p>
    <w:p w14:paraId="74184CF5" w14:textId="77777777" w:rsidR="00E64E45" w:rsidRPr="00A4272B" w:rsidRDefault="00E64E45">
      <w:pPr>
        <w:pStyle w:val="ListParagraph"/>
        <w:numPr>
          <w:ilvl w:val="0"/>
          <w:numId w:val="60"/>
        </w:numPr>
        <w:rPr>
          <w:lang w:eastAsia="ja-JP"/>
        </w:rPr>
      </w:pPr>
      <w:r w:rsidRPr="00A4272B">
        <w:rPr>
          <w:lang w:eastAsia="ja-JP"/>
        </w:rPr>
        <w:t>Meteorological observations;</w:t>
      </w:r>
    </w:p>
    <w:p w14:paraId="634D4AAA" w14:textId="77777777" w:rsidR="00E64E45" w:rsidRPr="00A4272B" w:rsidRDefault="00E64E45">
      <w:pPr>
        <w:pStyle w:val="ListParagraph"/>
        <w:numPr>
          <w:ilvl w:val="0"/>
          <w:numId w:val="60"/>
        </w:numPr>
        <w:rPr>
          <w:lang w:eastAsia="ja-JP"/>
        </w:rPr>
      </w:pPr>
      <w:r w:rsidRPr="00A4272B">
        <w:rPr>
          <w:lang w:eastAsia="ja-JP"/>
        </w:rPr>
        <w:t>Personnel who can be trained in sampling techniques;</w:t>
      </w:r>
    </w:p>
    <w:p w14:paraId="0BA25223" w14:textId="6B9FDD47" w:rsidR="00F3536C" w:rsidRPr="00A4272B" w:rsidRDefault="00E64E45">
      <w:pPr>
        <w:pStyle w:val="ListParagraph"/>
        <w:numPr>
          <w:ilvl w:val="0"/>
          <w:numId w:val="60"/>
        </w:numPr>
        <w:rPr>
          <w:lang w:eastAsia="ja-JP"/>
        </w:rPr>
      </w:pPr>
      <w:r w:rsidRPr="00A4272B">
        <w:rPr>
          <w:lang w:eastAsia="ja-JP"/>
        </w:rPr>
        <w:t>Suitable laboratory facilities to prepare necessary sampling media and subsequently process, analyze, and report PFAS data from collected samples</w:t>
      </w:r>
      <w:r w:rsidR="003F50B4" w:rsidRPr="00A4272B">
        <w:rPr>
          <w:lang w:eastAsia="ja-JP"/>
        </w:rPr>
        <w:t>.</w:t>
      </w:r>
    </w:p>
    <w:p w14:paraId="6D35BF2F" w14:textId="77777777" w:rsidR="00F3536C" w:rsidRPr="00A4272B" w:rsidRDefault="00F3536C" w:rsidP="00817D9F">
      <w:pPr>
        <w:pStyle w:val="Heading4"/>
        <w:rPr>
          <w:rFonts w:hint="eastAsia"/>
        </w:rPr>
      </w:pPr>
      <w:r w:rsidRPr="00A4272B">
        <w:lastRenderedPageBreak/>
        <w:t>Sampling frequency</w:t>
      </w:r>
    </w:p>
    <w:p w14:paraId="0DDD4BA4" w14:textId="77777777" w:rsidR="00E64E45" w:rsidRPr="00A4272B" w:rsidRDefault="00E64E45" w:rsidP="00E64E45">
      <w:pPr>
        <w:rPr>
          <w:lang w:val="en-US"/>
        </w:rPr>
      </w:pPr>
      <w:bookmarkStart w:id="297" w:name="_Toc535584361"/>
      <w:bookmarkStart w:id="298" w:name="_Toc531661"/>
      <w:bookmarkStart w:id="299" w:name="_Toc532181"/>
      <w:bookmarkStart w:id="300" w:name="_Toc532394"/>
      <w:bookmarkStart w:id="301" w:name="_Toc1467890"/>
      <w:bookmarkStart w:id="302" w:name="_Toc1468063"/>
      <w:bookmarkStart w:id="303" w:name="_Toc1483947"/>
      <w:bookmarkStart w:id="304" w:name="_Toc65306491"/>
      <w:r w:rsidRPr="00A4272B">
        <w:rPr>
          <w:lang w:val="en-US"/>
        </w:rPr>
        <w:t>The sampling frequency should be realistic in terms of the number of samples, considering costs and logistics, but still sufficient to yield a statistically valid dataset for monitoring purposes. Both the temporal and spatial sampling design should have adequate resolution. Grab samples of surface water can be used to observe temporal and regional variations, and the sampling frequency should be high enough to filter out short-term variability (e.g., due to precipitation events).</w:t>
      </w:r>
    </w:p>
    <w:p w14:paraId="3B11386D" w14:textId="407B0DAE" w:rsidR="00E64E45" w:rsidRPr="00A4272B" w:rsidRDefault="00E64E45" w:rsidP="00E64E45">
      <w:pPr>
        <w:rPr>
          <w:lang w:val="en-US"/>
        </w:rPr>
      </w:pPr>
      <w:r w:rsidRPr="00A4272B">
        <w:rPr>
          <w:lang w:val="en-US"/>
        </w:rPr>
        <w:t>Recommended minimum and optimal sampling frequencies are outlined in Water Quality Monitoring - A Practical Guide to the Design and Implementation of Freshwater Quality Studies and Monitoring Programmes (UNEP/WHO, 1996), and sampling frequencies for PFOS are recommended in the Guidance on PFAS Analysis in Water for the GMP on POPs (Weiss et al., 2015). The successful field study of PFAS</w:t>
      </w:r>
      <w:r w:rsidR="00526070" w:rsidRPr="00A4272B">
        <w:rPr>
          <w:lang w:val="en-US"/>
        </w:rPr>
        <w:t>s</w:t>
      </w:r>
      <w:r w:rsidRPr="00A4272B">
        <w:rPr>
          <w:lang w:val="en-US"/>
        </w:rPr>
        <w:t xml:space="preserve"> in water by Baabish et al. (2021) also provides useful guidance. For PFAS sampling frequency in water, it is recommended to:</w:t>
      </w:r>
    </w:p>
    <w:p w14:paraId="29521C91" w14:textId="77777777" w:rsidR="00E64E45" w:rsidRPr="00A4272B" w:rsidRDefault="00E64E45">
      <w:pPr>
        <w:pStyle w:val="ListParagraph"/>
        <w:numPr>
          <w:ilvl w:val="0"/>
          <w:numId w:val="61"/>
        </w:numPr>
      </w:pPr>
      <w:r w:rsidRPr="00A4272B">
        <w:t>Sample at the selected site four times a year (using the same site and method);</w:t>
      </w:r>
    </w:p>
    <w:p w14:paraId="5236C85D" w14:textId="6EF8D9F6" w:rsidR="00E64E45" w:rsidRPr="00A4272B" w:rsidRDefault="00E64E45">
      <w:pPr>
        <w:pStyle w:val="ListParagraph"/>
        <w:numPr>
          <w:ilvl w:val="0"/>
          <w:numId w:val="61"/>
        </w:numPr>
        <w:rPr>
          <w:b/>
          <w:bCs/>
        </w:rPr>
      </w:pPr>
      <w:r w:rsidRPr="00A4272B">
        <w:t>Carefully determine sampling occasions based on optimal conditions, preferably consistent between years (e.g., twice during high-water and twice during low-water periods, avoiding drought or freezing conditions</w:t>
      </w:r>
      <w:r w:rsidR="003F50B4" w:rsidRPr="00A4272B">
        <w:t>.</w:t>
      </w:r>
    </w:p>
    <w:p w14:paraId="1F303F09" w14:textId="479C4CB0" w:rsidR="00F3536C" w:rsidRPr="00A4272B" w:rsidRDefault="001F665D" w:rsidP="00817D9F">
      <w:pPr>
        <w:pStyle w:val="Heading3"/>
        <w:rPr>
          <w:rFonts w:hint="eastAsia"/>
        </w:rPr>
      </w:pPr>
      <w:bookmarkStart w:id="305" w:name="_Toc187270497"/>
      <w:r w:rsidRPr="00A4272B">
        <w:t>4</w:t>
      </w:r>
      <w:r w:rsidR="00F3536C" w:rsidRPr="00A4272B">
        <w:t>.3.2</w:t>
      </w:r>
      <w:bookmarkEnd w:id="297"/>
      <w:r w:rsidR="00755345" w:rsidRPr="00A4272B">
        <w:tab/>
      </w:r>
      <w:r w:rsidR="00F3536C" w:rsidRPr="00A4272B">
        <w:t>Sampled matri</w:t>
      </w:r>
      <w:bookmarkEnd w:id="298"/>
      <w:bookmarkEnd w:id="299"/>
      <w:bookmarkEnd w:id="300"/>
      <w:r w:rsidR="00F3536C" w:rsidRPr="00A4272B">
        <w:t>x</w:t>
      </w:r>
      <w:bookmarkEnd w:id="301"/>
      <w:bookmarkEnd w:id="302"/>
      <w:bookmarkEnd w:id="303"/>
      <w:bookmarkEnd w:id="304"/>
      <w:bookmarkEnd w:id="305"/>
    </w:p>
    <w:p w14:paraId="18EEEDF3" w14:textId="6DADBA56" w:rsidR="00F3536C" w:rsidRPr="00A4272B" w:rsidRDefault="00E64E45" w:rsidP="00366AEE">
      <w:pPr>
        <w:rPr>
          <w:lang w:val="en-US"/>
        </w:rPr>
      </w:pPr>
      <w:r w:rsidRPr="00A4272B">
        <w:rPr>
          <w:lang w:val="en-US"/>
        </w:rPr>
        <w:t>Surface freshwater or seawater should be sampled for monitoring PFAS</w:t>
      </w:r>
      <w:r w:rsidR="00526070" w:rsidRPr="00A4272B">
        <w:rPr>
          <w:lang w:val="en-US"/>
        </w:rPr>
        <w:t>s</w:t>
      </w:r>
      <w:r w:rsidRPr="00A4272B">
        <w:rPr>
          <w:lang w:val="en-US"/>
        </w:rPr>
        <w:t xml:space="preserve"> in water under the GMP. Determining PFAS</w:t>
      </w:r>
      <w:r w:rsidR="00526070" w:rsidRPr="00A4272B">
        <w:rPr>
          <w:lang w:val="en-US"/>
        </w:rPr>
        <w:t>s</w:t>
      </w:r>
      <w:r w:rsidRPr="00A4272B">
        <w:rPr>
          <w:lang w:val="en-US"/>
        </w:rPr>
        <w:t xml:space="preserve"> in groundwater or drinking water is not envisioned. Aquatic biota (e.g., fish, invertebrates) reflect PFAS concentrations in surrounding water, sediment, and the food web. Data on PFAS and other POPs in biota are discussed in Section 4.4, 'Other Media’.</w:t>
      </w:r>
    </w:p>
    <w:p w14:paraId="212B472A" w14:textId="4987C5F4" w:rsidR="00F3536C" w:rsidRPr="00A4272B" w:rsidRDefault="001F665D" w:rsidP="00817D9F">
      <w:pPr>
        <w:pStyle w:val="Heading3"/>
        <w:rPr>
          <w:rFonts w:hint="eastAsia"/>
        </w:rPr>
      </w:pPr>
      <w:bookmarkStart w:id="306" w:name="_Toc531664"/>
      <w:bookmarkStart w:id="307" w:name="_Toc532184"/>
      <w:bookmarkStart w:id="308" w:name="_Toc532397"/>
      <w:bookmarkStart w:id="309" w:name="_Toc1467891"/>
      <w:bookmarkStart w:id="310" w:name="_Toc1468064"/>
      <w:bookmarkStart w:id="311" w:name="_Toc1483948"/>
      <w:bookmarkStart w:id="312" w:name="_Toc65306492"/>
      <w:bookmarkStart w:id="313" w:name="_Toc187270498"/>
      <w:r w:rsidRPr="00A4272B">
        <w:t>4</w:t>
      </w:r>
      <w:r w:rsidR="00F3536C" w:rsidRPr="00A4272B">
        <w:t>.3.3</w:t>
      </w:r>
      <w:r w:rsidR="00755345" w:rsidRPr="00A4272B">
        <w:tab/>
      </w:r>
      <w:r w:rsidR="00F3536C" w:rsidRPr="00A4272B">
        <w:t xml:space="preserve">Sampling </w:t>
      </w:r>
      <w:bookmarkEnd w:id="306"/>
      <w:bookmarkEnd w:id="307"/>
      <w:bookmarkEnd w:id="308"/>
      <w:r w:rsidR="00F3536C" w:rsidRPr="00A4272B">
        <w:t>and sample handling</w:t>
      </w:r>
      <w:bookmarkEnd w:id="309"/>
      <w:bookmarkEnd w:id="310"/>
      <w:bookmarkEnd w:id="311"/>
      <w:bookmarkEnd w:id="312"/>
      <w:bookmarkEnd w:id="313"/>
    </w:p>
    <w:p w14:paraId="1C5A7B11" w14:textId="3CD275BF" w:rsidR="009E34B8" w:rsidRPr="00A4272B" w:rsidRDefault="009E34B8" w:rsidP="009E34B8">
      <w:pPr>
        <w:rPr>
          <w:lang w:val="en-US"/>
        </w:rPr>
      </w:pPr>
      <w:r w:rsidRPr="00A4272B">
        <w:rPr>
          <w:lang w:val="en-US"/>
        </w:rPr>
        <w:t>Water samples have been collected using both active and passive methods. Seawater samples are commonly gathered through ship intake systems (Ahrens et al., 2009a; Yamashita et al., 2004). In lakes and large rivers, sampling is performed by direct pumping into bottles (Furdui et al., 2008) or using Niskin-type samplers (Scott et al., 2009; Scott et al., 2010). Baabish et al. (2021) collected surface water samples manually at a depth of approximately 1 meter. Passive sampling of PFAS</w:t>
      </w:r>
      <w:r w:rsidR="00526070" w:rsidRPr="00A4272B">
        <w:rPr>
          <w:lang w:val="en-US"/>
        </w:rPr>
        <w:t>s</w:t>
      </w:r>
      <w:r w:rsidRPr="00A4272B">
        <w:rPr>
          <w:lang w:val="en-US"/>
        </w:rPr>
        <w:t xml:space="preserve"> in water, using microporous polyethylene tubes (MPT), has also proven successful (Kaserzon et al., 2019; Beggs et al., 2023).</w:t>
      </w:r>
    </w:p>
    <w:p w14:paraId="562FFCD0" w14:textId="77777777" w:rsidR="009E34B8" w:rsidRPr="00A4272B" w:rsidRDefault="009E34B8" w:rsidP="009E34B8">
      <w:pPr>
        <w:rPr>
          <w:lang w:val="en-US"/>
        </w:rPr>
      </w:pPr>
      <w:r w:rsidRPr="00A4272B">
        <w:rPr>
          <w:lang w:val="en-US"/>
        </w:rPr>
        <w:t>In estuaries, coastal seas, and open oceans, water samples are typically not filtered before extraction. A study of the Elbe River and North Sea waters found that, on average, 14% of PFOS was associated with particulates (Ahrens et al., 2009b). In ocean waters, PFOS was not detectable on particulates, likely due to lower suspended particulate matter (SPM), so filtration is not recommended unless it can be done in-line or in a clean room to avoid contamination (Ahrens et al., 2009b). Baabish et al. (2021) also did not filter samples in their PFAS study across 22 countries.</w:t>
      </w:r>
    </w:p>
    <w:p w14:paraId="0A0295E7" w14:textId="77777777" w:rsidR="009E34B8" w:rsidRPr="00A4272B" w:rsidRDefault="009E34B8" w:rsidP="009E34B8">
      <w:pPr>
        <w:rPr>
          <w:lang w:val="en-US"/>
        </w:rPr>
      </w:pPr>
      <w:r w:rsidRPr="00A4272B">
        <w:rPr>
          <w:lang w:val="en-US"/>
        </w:rPr>
        <w:t>Contamination risks from polytetrafluoroethylene (PTFE) materials arise from PFOA used in PTFE production. Common sources include PTFE tubing, o-rings, and seals. PTFE bottles and bottles with fluorinated interiors should be avoided.</w:t>
      </w:r>
    </w:p>
    <w:p w14:paraId="203D6655" w14:textId="4A3B6719" w:rsidR="009E34B8" w:rsidRPr="00A4272B" w:rsidRDefault="009E34B8" w:rsidP="009E34B8">
      <w:pPr>
        <w:rPr>
          <w:lang w:val="en-US"/>
        </w:rPr>
      </w:pPr>
      <w:r w:rsidRPr="00A4272B">
        <w:rPr>
          <w:lang w:val="en-US"/>
        </w:rPr>
        <w:t>Guidelines for PFAS sampling under the GMP are as follows (Weiss et al., 2015; Baabish et al., 2021</w:t>
      </w:r>
      <w:r w:rsidR="00D41E6C" w:rsidRPr="00A4272B">
        <w:rPr>
          <w:lang w:val="en-US"/>
        </w:rPr>
        <w:t>; US EPA 2024</w:t>
      </w:r>
      <w:r w:rsidRPr="00A4272B">
        <w:rPr>
          <w:lang w:val="en-US"/>
        </w:rPr>
        <w:t>):</w:t>
      </w:r>
    </w:p>
    <w:p w14:paraId="6E8B932F" w14:textId="21A5B3CF" w:rsidR="009E34B8" w:rsidRPr="00A4272B" w:rsidRDefault="009E34B8">
      <w:pPr>
        <w:numPr>
          <w:ilvl w:val="0"/>
          <w:numId w:val="62"/>
        </w:numPr>
        <w:rPr>
          <w:lang w:val="en-US"/>
        </w:rPr>
      </w:pPr>
      <w:r w:rsidRPr="00A4272B">
        <w:rPr>
          <w:lang w:val="en-US"/>
        </w:rPr>
        <w:t>Active/grab sampling is recommended, though passive sampling is also viable</w:t>
      </w:r>
      <w:r w:rsidR="003F50B4" w:rsidRPr="00A4272B">
        <w:rPr>
          <w:lang w:val="en-US"/>
        </w:rPr>
        <w:t>;</w:t>
      </w:r>
    </w:p>
    <w:p w14:paraId="7B9A56C6" w14:textId="46456E40" w:rsidR="009E34B8" w:rsidRPr="00A4272B" w:rsidRDefault="009E34B8">
      <w:pPr>
        <w:numPr>
          <w:ilvl w:val="0"/>
          <w:numId w:val="62"/>
        </w:numPr>
        <w:rPr>
          <w:lang w:val="en-US"/>
        </w:rPr>
      </w:pPr>
      <w:r w:rsidRPr="00A4272B">
        <w:rPr>
          <w:lang w:val="en-US"/>
        </w:rPr>
        <w:t>Use Niskin™ or similar remotely activated water samplers, or hand-dip for manual collection</w:t>
      </w:r>
      <w:r w:rsidR="003F50B4" w:rsidRPr="00A4272B">
        <w:rPr>
          <w:lang w:val="en-US"/>
        </w:rPr>
        <w:t>;</w:t>
      </w:r>
    </w:p>
    <w:p w14:paraId="6AFFEEED" w14:textId="479FB010" w:rsidR="009E34B8" w:rsidRPr="00A4272B" w:rsidRDefault="009E34B8">
      <w:pPr>
        <w:numPr>
          <w:ilvl w:val="0"/>
          <w:numId w:val="62"/>
        </w:numPr>
        <w:rPr>
          <w:lang w:val="en-US"/>
        </w:rPr>
      </w:pPr>
      <w:r w:rsidRPr="00A4272B">
        <w:rPr>
          <w:lang w:val="en-US"/>
        </w:rPr>
        <w:t>Avoid sampling surface water layers; keep the bottle capped until submerged and fill at a depth of 0.5 to 1 meter if possible</w:t>
      </w:r>
      <w:r w:rsidR="003F50B4" w:rsidRPr="00A4272B">
        <w:rPr>
          <w:lang w:val="en-US"/>
        </w:rPr>
        <w:t>;</w:t>
      </w:r>
    </w:p>
    <w:p w14:paraId="777DE3D2" w14:textId="2380752C" w:rsidR="009E34B8" w:rsidRPr="00A4272B" w:rsidRDefault="009E34B8">
      <w:pPr>
        <w:numPr>
          <w:ilvl w:val="0"/>
          <w:numId w:val="62"/>
        </w:numPr>
        <w:rPr>
          <w:lang w:val="en-US"/>
        </w:rPr>
      </w:pPr>
      <w:r w:rsidRPr="00A4272B">
        <w:rPr>
          <w:lang w:val="en-US"/>
        </w:rPr>
        <w:t>For sampling, use 500 or 1000 mL wide-mouth HDPE bottles</w:t>
      </w:r>
      <w:r w:rsidR="003F50B4" w:rsidRPr="00A4272B">
        <w:rPr>
          <w:lang w:val="en-US"/>
        </w:rPr>
        <w:t>;</w:t>
      </w:r>
    </w:p>
    <w:p w14:paraId="3399D485" w14:textId="505FD273" w:rsidR="009E34B8" w:rsidRPr="00A4272B" w:rsidRDefault="009E34B8">
      <w:pPr>
        <w:numPr>
          <w:ilvl w:val="0"/>
          <w:numId w:val="62"/>
        </w:numPr>
        <w:rPr>
          <w:lang w:val="en-US"/>
        </w:rPr>
      </w:pPr>
      <w:r w:rsidRPr="00A4272B">
        <w:rPr>
          <w:lang w:val="en-US"/>
        </w:rPr>
        <w:t>Sampling and storage containers should be HDPE, including bottles, test tubes, and vials; rinse all materials with methanol before use</w:t>
      </w:r>
      <w:r w:rsidR="003F50B4" w:rsidRPr="00A4272B">
        <w:rPr>
          <w:lang w:val="en-US"/>
        </w:rPr>
        <w:t>;</w:t>
      </w:r>
    </w:p>
    <w:p w14:paraId="2F7AB514" w14:textId="76F6D9B8" w:rsidR="009E34B8" w:rsidRPr="00A4272B" w:rsidRDefault="009E34B8">
      <w:pPr>
        <w:numPr>
          <w:ilvl w:val="0"/>
          <w:numId w:val="62"/>
        </w:numPr>
        <w:rPr>
          <w:lang w:val="en-US"/>
        </w:rPr>
      </w:pPr>
      <w:r w:rsidRPr="00A4272B">
        <w:rPr>
          <w:lang w:val="en-US"/>
        </w:rPr>
        <w:t>Analysis volume ranges from 50 to 1000 mL, as recommended by the analytical laboratory</w:t>
      </w:r>
      <w:r w:rsidR="003F50B4" w:rsidRPr="00A4272B">
        <w:rPr>
          <w:lang w:val="en-US"/>
        </w:rPr>
        <w:t>;</w:t>
      </w:r>
    </w:p>
    <w:p w14:paraId="1181940A" w14:textId="089B4907" w:rsidR="009E34B8" w:rsidRPr="00A4272B" w:rsidRDefault="009E34B8">
      <w:pPr>
        <w:numPr>
          <w:ilvl w:val="0"/>
          <w:numId w:val="62"/>
        </w:numPr>
        <w:rPr>
          <w:lang w:val="en-US"/>
        </w:rPr>
      </w:pPr>
      <w:r w:rsidRPr="00A4272B">
        <w:rPr>
          <w:lang w:val="en-US"/>
        </w:rPr>
        <w:t>To prevent cross-contamination, use sampling bottles only once and take two samples per site, one for analysis and one for potential confirmation</w:t>
      </w:r>
      <w:r w:rsidR="003F50B4" w:rsidRPr="00A4272B">
        <w:rPr>
          <w:lang w:val="en-US"/>
        </w:rPr>
        <w:t>;</w:t>
      </w:r>
    </w:p>
    <w:p w14:paraId="0BC3E95B" w14:textId="658EAEF2" w:rsidR="009E34B8" w:rsidRPr="00A4272B" w:rsidRDefault="009E34B8">
      <w:pPr>
        <w:numPr>
          <w:ilvl w:val="0"/>
          <w:numId w:val="62"/>
        </w:numPr>
        <w:rPr>
          <w:lang w:val="en-US"/>
        </w:rPr>
      </w:pPr>
      <w:r w:rsidRPr="00A4272B">
        <w:rPr>
          <w:lang w:val="en-US"/>
        </w:rPr>
        <w:t>Include field blanks by opening empty bottles during sampling; use PFAS-free water if available</w:t>
      </w:r>
      <w:r w:rsidR="003F50B4" w:rsidRPr="00A4272B">
        <w:rPr>
          <w:lang w:val="en-US"/>
        </w:rPr>
        <w:t>;</w:t>
      </w:r>
    </w:p>
    <w:p w14:paraId="1ADDBE84" w14:textId="66D46964" w:rsidR="00D41E6C" w:rsidRPr="00A4272B" w:rsidRDefault="00D41E6C">
      <w:pPr>
        <w:numPr>
          <w:ilvl w:val="0"/>
          <w:numId w:val="62"/>
        </w:numPr>
        <w:rPr>
          <w:lang w:val="en-US"/>
        </w:rPr>
      </w:pPr>
      <w:r w:rsidRPr="00A4272B">
        <w:rPr>
          <w:lang w:val="en-US"/>
        </w:rPr>
        <w:t xml:space="preserve">Refrigerate samples below 6 ºC and protect from the light until analysis. Samples can be held for 28 days at 0–6 ºC, or for up to 90 days if frozen at -20 ºC (USEPA 2024). </w:t>
      </w:r>
    </w:p>
    <w:p w14:paraId="12B24F6E" w14:textId="77777777" w:rsidR="009E34B8" w:rsidRPr="00A4272B" w:rsidRDefault="009E34B8">
      <w:pPr>
        <w:numPr>
          <w:ilvl w:val="0"/>
          <w:numId w:val="62"/>
        </w:numPr>
        <w:rPr>
          <w:lang w:val="en-US"/>
        </w:rPr>
      </w:pPr>
      <w:r w:rsidRPr="00A4272B">
        <w:rPr>
          <w:lang w:val="en-US"/>
        </w:rPr>
        <w:t>Pilot sampling is recommended to determine levels and ensure sampling proficiency.</w:t>
      </w:r>
    </w:p>
    <w:p w14:paraId="5D9DDA58" w14:textId="77777777" w:rsidR="009E34B8" w:rsidRPr="00A4272B" w:rsidRDefault="009E34B8" w:rsidP="009E34B8">
      <w:pPr>
        <w:rPr>
          <w:lang w:val="en-US"/>
        </w:rPr>
      </w:pPr>
      <w:r w:rsidRPr="00A4272B">
        <w:rPr>
          <w:lang w:val="en-US"/>
        </w:rPr>
        <w:lastRenderedPageBreak/>
        <w:t>For anionic PFAS analysis, HDPE containers are recommended to minimize sorption, and PTFE and related fluoropolymers should be avoided, as these materials are potential sources of PFOA and PFNA (Yamashita et al., 2004). Following the clean-hands/dirty-hands method, one person handles the sampling equipment (clean hands) while the other performs the sampling (dirty hands) (US EPA, 1996). Check sample caps to confirm they have HDPE liners.</w:t>
      </w:r>
    </w:p>
    <w:p w14:paraId="0BCE4254" w14:textId="77777777" w:rsidR="009E34B8" w:rsidRPr="00A4272B" w:rsidRDefault="009E34B8" w:rsidP="009E34B8">
      <w:pPr>
        <w:rPr>
          <w:lang w:val="en-US"/>
        </w:rPr>
      </w:pPr>
      <w:r w:rsidRPr="00A4272B">
        <w:rPr>
          <w:lang w:val="en-US"/>
        </w:rPr>
        <w:t>Sampling volumes are guided by analytical requirements and expected PFAS levels, typically ranging from 100 to 1000 mL, to achieve quantification limits. The Stockholm Convention Data Warehouse (</w:t>
      </w:r>
      <w:hyperlink r:id="rId43" w:tgtFrame="_new" w:history="1">
        <w:r w:rsidRPr="00A4272B">
          <w:rPr>
            <w:rStyle w:val="Hyperlink"/>
            <w:lang w:val="en-US"/>
          </w:rPr>
          <w:t>https://data.pops-gmp.org/</w:t>
        </w:r>
      </w:hyperlink>
      <w:r w:rsidRPr="00A4272B">
        <w:rPr>
          <w:lang w:val="en-US"/>
        </w:rPr>
        <w:t>) can be consulted for reported PFOS, PFHxS, and PFOA concentrations to gauge likely levels. Muir and Miaz (2021) provide data on LC-PFAS in coastal and ocean waters globally.</w:t>
      </w:r>
    </w:p>
    <w:p w14:paraId="02D35AA0" w14:textId="77777777" w:rsidR="009E34B8" w:rsidRPr="00A4272B" w:rsidRDefault="009E34B8" w:rsidP="009E34B8">
      <w:pPr>
        <w:rPr>
          <w:lang w:val="en-US"/>
        </w:rPr>
      </w:pPr>
      <w:r w:rsidRPr="00A4272B">
        <w:rPr>
          <w:lang w:val="en-US"/>
        </w:rPr>
        <w:t>To avoid surface contamination, sampling should be conducted below the surface film. Niskin™ samplers, which close at a specified depth using a “messenger” drop mechanism, are ideal for lakes and large rivers or estuaries. In shallower water bodies, hand sampling using uncapped HDPE bottles at ~0.5 to 1 meter depth is sufficient. Wide-mouth bottles facilitate rapid filling, and leaving a small headspace prevents breakage if samples are frozen.</w:t>
      </w:r>
    </w:p>
    <w:p w14:paraId="5EDBB60F" w14:textId="70FBE7A4" w:rsidR="009E34B8" w:rsidRPr="00A4272B" w:rsidRDefault="009E34B8" w:rsidP="009E34B8">
      <w:pPr>
        <w:rPr>
          <w:lang w:val="en-US"/>
        </w:rPr>
      </w:pPr>
      <w:r w:rsidRPr="00A4272B">
        <w:rPr>
          <w:lang w:val="en-US"/>
        </w:rPr>
        <w:t>Passive sampling for anionic PFAS</w:t>
      </w:r>
      <w:r w:rsidR="00526070" w:rsidRPr="00A4272B">
        <w:rPr>
          <w:lang w:val="en-US"/>
        </w:rPr>
        <w:t>s</w:t>
      </w:r>
      <w:r w:rsidRPr="00A4272B">
        <w:rPr>
          <w:lang w:val="en-US"/>
        </w:rPr>
        <w:t xml:space="preserve"> is now feasible with MPT passive samplers, calibrated for PFAS sampling (Kaserzon et al., 2019; Gardiner et al., 2022; Dunn et al., 2023). These samplers have been tested under varying conditions, such as deployment time, water temperature, and flow velocity (Dunn et al., 2023), and have been effectively used for PFAS monitoring in the Danube River (Beggs et al., 2023). Passive sampling offers the advantage of time-averaged concentration measurements over several weeks, reducing the impact of episodic events (e.g., extreme weather, spills, or industrial releases) (Lohmann et al., 2017). This method also lowers shipping costs and avoids import/export controls on natural water samples.</w:t>
      </w:r>
    </w:p>
    <w:p w14:paraId="019A9F39" w14:textId="40799039" w:rsidR="00F3536C" w:rsidRPr="00A4272B" w:rsidRDefault="001F665D" w:rsidP="00817D9F">
      <w:pPr>
        <w:pStyle w:val="Heading3"/>
        <w:rPr>
          <w:rFonts w:hint="eastAsia"/>
        </w:rPr>
      </w:pPr>
      <w:bookmarkStart w:id="314" w:name="_Toc535584363"/>
      <w:bookmarkStart w:id="315" w:name="_Toc531666"/>
      <w:bookmarkStart w:id="316" w:name="_Toc532186"/>
      <w:bookmarkStart w:id="317" w:name="_Toc532399"/>
      <w:bookmarkStart w:id="318" w:name="_Toc1467892"/>
      <w:bookmarkStart w:id="319" w:name="_Toc1468065"/>
      <w:bookmarkStart w:id="320" w:name="_Toc1483949"/>
      <w:bookmarkStart w:id="321" w:name="_Toc65306493"/>
      <w:bookmarkStart w:id="322" w:name="_Toc187270499"/>
      <w:r w:rsidRPr="00A4272B">
        <w:t>4</w:t>
      </w:r>
      <w:r w:rsidR="00F3536C" w:rsidRPr="00A4272B">
        <w:t>.3.4</w:t>
      </w:r>
      <w:r w:rsidR="00755345" w:rsidRPr="00A4272B">
        <w:tab/>
      </w:r>
      <w:r w:rsidR="00F3536C" w:rsidRPr="00A4272B">
        <w:t>QA/QC</w:t>
      </w:r>
      <w:bookmarkEnd w:id="314"/>
      <w:bookmarkEnd w:id="315"/>
      <w:bookmarkEnd w:id="316"/>
      <w:bookmarkEnd w:id="317"/>
      <w:r w:rsidR="00F3536C" w:rsidRPr="00A4272B">
        <w:t xml:space="preserve"> and </w:t>
      </w:r>
      <w:r w:rsidR="003654EB" w:rsidRPr="00A4272B">
        <w:t>d</w:t>
      </w:r>
      <w:r w:rsidR="00F3536C" w:rsidRPr="00A4272B">
        <w:t xml:space="preserve">ata </w:t>
      </w:r>
      <w:r w:rsidR="003654EB" w:rsidRPr="00A4272B">
        <w:t>t</w:t>
      </w:r>
      <w:r w:rsidR="00F3536C" w:rsidRPr="00A4272B">
        <w:t>reatment</w:t>
      </w:r>
      <w:bookmarkEnd w:id="318"/>
      <w:bookmarkEnd w:id="319"/>
      <w:bookmarkEnd w:id="320"/>
      <w:bookmarkEnd w:id="321"/>
      <w:bookmarkEnd w:id="322"/>
    </w:p>
    <w:p w14:paraId="59C03776" w14:textId="77777777" w:rsidR="009E34B8" w:rsidRPr="00A4272B" w:rsidRDefault="009E34B8" w:rsidP="009E34B8">
      <w:pPr>
        <w:rPr>
          <w:lang w:val="en-US"/>
        </w:rPr>
      </w:pPr>
      <w:r w:rsidRPr="00A4272B">
        <w:rPr>
          <w:lang w:val="en-US"/>
        </w:rPr>
        <w:t>Quality control procedures are essential for collecting environmental water samples to:</w:t>
      </w:r>
    </w:p>
    <w:p w14:paraId="6AACFD9E" w14:textId="77777777" w:rsidR="009E34B8" w:rsidRPr="00A4272B" w:rsidRDefault="009E34B8">
      <w:pPr>
        <w:pStyle w:val="ListParagraph"/>
        <w:numPr>
          <w:ilvl w:val="0"/>
          <w:numId w:val="63"/>
        </w:numPr>
      </w:pPr>
      <w:r w:rsidRPr="00A4272B">
        <w:t>Monitor the effectiveness of sampling methodology;</w:t>
      </w:r>
    </w:p>
    <w:p w14:paraId="098A80CD" w14:textId="77777777" w:rsidR="009E34B8" w:rsidRPr="00A4272B" w:rsidRDefault="009E34B8">
      <w:pPr>
        <w:pStyle w:val="ListParagraph"/>
        <w:numPr>
          <w:ilvl w:val="0"/>
          <w:numId w:val="63"/>
        </w:numPr>
      </w:pPr>
      <w:r w:rsidRPr="00A4272B">
        <w:t>Ensure that all stages of the sample collection process are properly controlled and fit for purpose, including minimizing errors from sources such as sample contamination, analyte loss, and sample instability. These quality control procedures should include methods for detecting sampling errors and rejecting invalid or misleading data;</w:t>
      </w:r>
    </w:p>
    <w:p w14:paraId="217BE941" w14:textId="77777777" w:rsidR="009E34B8" w:rsidRPr="00A4272B" w:rsidRDefault="009E34B8">
      <w:pPr>
        <w:pStyle w:val="ListParagraph"/>
        <w:numPr>
          <w:ilvl w:val="0"/>
          <w:numId w:val="63"/>
        </w:numPr>
      </w:pPr>
      <w:r w:rsidRPr="00A4272B">
        <w:t>Quantify and manage sources of sampling error, which provides insight into the impact of sampling on the overall data accuracy.</w:t>
      </w:r>
    </w:p>
    <w:p w14:paraId="29B01F9B" w14:textId="77777777" w:rsidR="009E34B8" w:rsidRPr="00A4272B" w:rsidRDefault="009E34B8" w:rsidP="009E34B8">
      <w:pPr>
        <w:rPr>
          <w:lang w:val="en-US"/>
        </w:rPr>
      </w:pPr>
      <w:r w:rsidRPr="00A4272B">
        <w:rPr>
          <w:lang w:val="en-US"/>
        </w:rPr>
        <w:t>A series of ISO guidelines addresses sampling in surface and marine waters, and following these standards ensures the quality of the sampling process (ISO 1992, ISO 2014a, ISO 2016). Additional guidance on quality assurance techniques for environmental water sampling is provided in an ISO standard (ISO, 2014b).</w:t>
      </w:r>
    </w:p>
    <w:p w14:paraId="347C680C" w14:textId="77777777" w:rsidR="009E34B8" w:rsidRPr="00A4272B" w:rsidRDefault="009E34B8" w:rsidP="009E34B8">
      <w:pPr>
        <w:rPr>
          <w:lang w:val="en-US"/>
        </w:rPr>
      </w:pPr>
      <w:r w:rsidRPr="00A4272B">
        <w:rPr>
          <w:lang w:val="en-US"/>
        </w:rPr>
        <w:t>As with air sampling, special care is required to prevent contamination during sample preparation, transport, storage, and laboratory processing. Sorbent materials used in solid-phase extraction are typically pre-cleaned by Soxhlet extraction with both polar and non-polar solvents. Pre-packaged media, such as solid-phase cartridges, are conditioned with a combination of polar and non-polar solvents either in the lab or, if feasible, in the field before use. Glass fiber filters should be baked at 350°C before use and stored in sealed containers.</w:t>
      </w:r>
    </w:p>
    <w:p w14:paraId="42247056" w14:textId="77777777" w:rsidR="009E34B8" w:rsidRPr="00A4272B" w:rsidRDefault="009E34B8" w:rsidP="009E34B8">
      <w:pPr>
        <w:rPr>
          <w:lang w:val="en-US"/>
        </w:rPr>
      </w:pPr>
      <w:r w:rsidRPr="00A4272B">
        <w:rPr>
          <w:lang w:val="en-US"/>
        </w:rPr>
        <w:t>Additional precautions for solid-phase sampling systems include (1) field blanks, using the same media exposed to ambient air during field handling, and (2) laboratory blanks, prepared at the same time as the field blanks and kept in the lab. Comparing field and laboratory blanks allows assessment of contamination during sampling and transport.</w:t>
      </w:r>
    </w:p>
    <w:p w14:paraId="2D36341C" w14:textId="77777777" w:rsidR="009E34B8" w:rsidRPr="00A4272B" w:rsidRDefault="009E34B8" w:rsidP="009E34B8">
      <w:pPr>
        <w:rPr>
          <w:lang w:val="en-US"/>
        </w:rPr>
      </w:pPr>
      <w:r w:rsidRPr="00A4272B">
        <w:rPr>
          <w:lang w:val="en-US"/>
        </w:rPr>
        <w:t>Purified laboratory water, such as MilliQ™ or distilled water, can be used but should be verified as PFAS-free. Lab-purified waters are typically not ideal as blanks due to trace PFAS contamination (Weiss et al., 2015).</w:t>
      </w:r>
    </w:p>
    <w:p w14:paraId="3F598DE6" w14:textId="0AF274D2" w:rsidR="009E34B8" w:rsidRPr="00A4272B" w:rsidRDefault="009E34B8" w:rsidP="009E34B8">
      <w:pPr>
        <w:rPr>
          <w:lang w:val="en-US"/>
        </w:rPr>
      </w:pPr>
      <w:r w:rsidRPr="00A4272B">
        <w:rPr>
          <w:lang w:val="en-US"/>
        </w:rPr>
        <w:t>Certified reference materials for PFOS in surface water are not available. However, the JRC-IRMM has released a reference material certified for PFOS and other perfluoroalkyl substances in drinking water (Dabrio Ramos et al., 2015; IRMM-428; certified PFOS value of 9.6 ± 1.7 ng/L). This CRM is the only known certified reference material for PFAS</w:t>
      </w:r>
      <w:r w:rsidR="00526070" w:rsidRPr="00A4272B">
        <w:rPr>
          <w:lang w:val="en-US"/>
        </w:rPr>
        <w:t>s</w:t>
      </w:r>
      <w:r w:rsidRPr="00A4272B">
        <w:rPr>
          <w:lang w:val="en-US"/>
        </w:rPr>
        <w:t xml:space="preserve"> in water, though it may not fully represent a surface water sample with suspended particulate and dissolved organic matter (Ricci et al., 2016).</w:t>
      </w:r>
    </w:p>
    <w:p w14:paraId="0C3CF314" w14:textId="3359044F" w:rsidR="009E34B8" w:rsidRPr="00A4272B" w:rsidRDefault="009E34B8" w:rsidP="009E34B8">
      <w:pPr>
        <w:rPr>
          <w:lang w:val="en-US"/>
        </w:rPr>
      </w:pPr>
      <w:r w:rsidRPr="00A4272B">
        <w:rPr>
          <w:lang w:val="en-US"/>
        </w:rPr>
        <w:t xml:space="preserve">External quality assurance for laboratories conducting routine chemical measurements in aquatic environments is provided through proficiency testing. WEPAL-QUASIMEME (www.quasimeme.org) organizes laboratory performance studies for marine environmental monitoring and included a study on PFAS in seawater in 2021–22, involving laboratories in North America and Asia-Pacific. Additionally, Canada’s Northern Contaminants </w:t>
      </w:r>
      <w:r w:rsidR="002A6D39" w:rsidRPr="00A4272B">
        <w:rPr>
          <w:lang w:val="en-US"/>
        </w:rPr>
        <w:t xml:space="preserve">Programme </w:t>
      </w:r>
      <w:r w:rsidRPr="00A4272B">
        <w:rPr>
          <w:lang w:val="en-US"/>
        </w:rPr>
        <w:t xml:space="preserve">and the Arctic Monitoring and Assessment </w:t>
      </w:r>
      <w:r w:rsidR="002A6D39" w:rsidRPr="00A4272B">
        <w:rPr>
          <w:lang w:val="en-US"/>
        </w:rPr>
        <w:t xml:space="preserve">Programme </w:t>
      </w:r>
      <w:r w:rsidRPr="00A4272B">
        <w:rPr>
          <w:lang w:val="en-US"/>
        </w:rPr>
        <w:t>have conducted interlaboratory studies on PFAS</w:t>
      </w:r>
      <w:r w:rsidR="00526070" w:rsidRPr="00A4272B">
        <w:rPr>
          <w:lang w:val="en-US"/>
        </w:rPr>
        <w:t>s</w:t>
      </w:r>
      <w:r w:rsidRPr="00A4272B">
        <w:rPr>
          <w:lang w:val="en-US"/>
        </w:rPr>
        <w:t xml:space="preserve"> annually for over a decade. The Biennial Global Interlaboratory Assessment on Persistent Organic Pollutants has included PFAS</w:t>
      </w:r>
      <w:r w:rsidR="00526070" w:rsidRPr="00A4272B">
        <w:rPr>
          <w:lang w:val="en-US"/>
        </w:rPr>
        <w:t>s</w:t>
      </w:r>
      <w:r w:rsidRPr="00A4272B">
        <w:rPr>
          <w:lang w:val="en-US"/>
        </w:rPr>
        <w:t xml:space="preserve"> in water in its 2nd, 3rd, and 4th rounds (UNEP, 2021). The analysis covered PFHxS, PFOA, PFOS, and LC-PFCAs, with the 4th round using a natural water sample from the Netherlands. Results for PFAS</w:t>
      </w:r>
      <w:r w:rsidR="00526070" w:rsidRPr="00A4272B">
        <w:rPr>
          <w:lang w:val="en-US"/>
        </w:rPr>
        <w:t>s</w:t>
      </w:r>
      <w:r w:rsidRPr="00A4272B">
        <w:rPr>
          <w:lang w:val="en-US"/>
        </w:rPr>
        <w:t xml:space="preserve"> in water were deemed </w:t>
      </w:r>
      <w:r w:rsidRPr="00A4272B">
        <w:rPr>
          <w:lang w:val="en-US"/>
        </w:rPr>
        <w:lastRenderedPageBreak/>
        <w:t>"promising," with over 50% of participating labs achieving Z-scores &lt;2 for PFHxS, PFOA, and PFOS (UNEP, 2021). The NORMAN association has also organized an interlaboratory study targeting both targeted and non-targeted chemical analysis of PFAS</w:t>
      </w:r>
      <w:r w:rsidR="00526070" w:rsidRPr="00A4272B">
        <w:rPr>
          <w:lang w:val="en-US"/>
        </w:rPr>
        <w:t>s</w:t>
      </w:r>
      <w:r w:rsidRPr="00A4272B">
        <w:rPr>
          <w:lang w:val="en-US"/>
        </w:rPr>
        <w:t xml:space="preserve"> in passive samplers (NORMAN, 2024).</w:t>
      </w:r>
    </w:p>
    <w:p w14:paraId="21C40DF8" w14:textId="1A7ECB83" w:rsidR="009E34B8" w:rsidRPr="00A4272B" w:rsidRDefault="009E34B8" w:rsidP="00BD537C">
      <w:pPr>
        <w:jc w:val="center"/>
        <w:rPr>
          <w:lang w:val="en-US"/>
        </w:rPr>
      </w:pPr>
      <w:r w:rsidRPr="00A4272B">
        <w:rPr>
          <w:noProof/>
          <w:sz w:val="22"/>
          <w:szCs w:val="22"/>
          <w:lang w:val="en-US"/>
        </w:rPr>
        <w:drawing>
          <wp:inline distT="0" distB="0" distL="0" distR="0" wp14:anchorId="0D52218E" wp14:editId="43A97839">
            <wp:extent cx="4924425" cy="3060795"/>
            <wp:effectExtent l="0" t="0" r="0" b="6350"/>
            <wp:docPr id="10975506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5062" name="Picture 1" descr="A map of the worl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2561" cy="3065852"/>
                    </a:xfrm>
                    <a:prstGeom prst="rect">
                      <a:avLst/>
                    </a:prstGeom>
                    <a:noFill/>
                  </pic:spPr>
                </pic:pic>
              </a:graphicData>
            </a:graphic>
          </wp:inline>
        </w:drawing>
      </w:r>
    </w:p>
    <w:p w14:paraId="57922554" w14:textId="2557AE94" w:rsidR="009E34B8" w:rsidRPr="00A4272B" w:rsidRDefault="009F04ED" w:rsidP="009E34B8">
      <w:pPr>
        <w:rPr>
          <w:b/>
          <w:bCs/>
          <w:lang w:val="en-US"/>
        </w:rPr>
      </w:pPr>
      <w:r w:rsidRPr="00A4272B">
        <w:rPr>
          <w:b/>
          <w:bCs/>
          <w:lang w:val="en-US"/>
        </w:rPr>
        <w:t>Figure</w:t>
      </w:r>
      <w:r w:rsidR="009E34B8" w:rsidRPr="00A4272B">
        <w:rPr>
          <w:b/>
          <w:bCs/>
          <w:lang w:val="en-US"/>
        </w:rPr>
        <w:t xml:space="preserve"> 4.3.1: Geographic distribution of PFOS, PFOA, and PFHxS sampling sites for water in the Stockholm Convention Data Warehouse 2009 to 2019.</w:t>
      </w:r>
    </w:p>
    <w:p w14:paraId="0B9308FB" w14:textId="22ACB881" w:rsidR="00F3536C" w:rsidRPr="00A4272B" w:rsidRDefault="00554888" w:rsidP="00CE0F82">
      <w:pPr>
        <w:pStyle w:val="GMPHeading2"/>
        <w:tabs>
          <w:tab w:val="clear" w:pos="360"/>
          <w:tab w:val="clear" w:pos="450"/>
          <w:tab w:val="clear" w:pos="540"/>
          <w:tab w:val="clear" w:pos="630"/>
        </w:tabs>
        <w:rPr>
          <w:rFonts w:eastAsia="Yu Mincho" w:hint="eastAsia"/>
          <w:lang w:eastAsia="ja-JP"/>
        </w:rPr>
      </w:pPr>
      <w:bookmarkStart w:id="323" w:name="_Toc187270500"/>
      <w:r w:rsidRPr="00A4272B">
        <w:t>4.4</w:t>
      </w:r>
      <w:r w:rsidRPr="00A4272B">
        <w:tab/>
      </w:r>
      <w:r w:rsidR="0068417E" w:rsidRPr="00A4272B">
        <w:t>Complementary media and approaches for addressing data gaps in POPs Monitoring</w:t>
      </w:r>
      <w:bookmarkEnd w:id="323"/>
    </w:p>
    <w:p w14:paraId="3899285E" w14:textId="7963ACF0" w:rsidR="0068417E" w:rsidRPr="00A4272B" w:rsidRDefault="0068417E" w:rsidP="0068417E">
      <w:pPr>
        <w:rPr>
          <w:lang w:val="en-US"/>
        </w:rPr>
      </w:pPr>
      <w:r w:rsidRPr="00A4272B">
        <w:rPr>
          <w:lang w:val="en-US"/>
        </w:rPr>
        <w:t>Since its establishment in 2004, the primary task of the GMP has been to track changes over time in core media such as air, human biomonitoring, and water (for PFOS and PFOA). However, understanding and assessing changes in other media, including marine and freshwater, snow, ice, soil, sediment, indoor dust, and biota, are equally essential for evaluating the risks posed by POPs to humans and the environment. High-quality measurements in these additional media over time are critical for understanding the biogeochemical and commercial pathways of POP mixtures in local environments and their consequent exposure routes to humans and ecosystems.</w:t>
      </w:r>
    </w:p>
    <w:p w14:paraId="66AE7297" w14:textId="1AB994D8" w:rsidR="0068417E" w:rsidRPr="00A4272B" w:rsidRDefault="0068417E" w:rsidP="0068417E">
      <w:pPr>
        <w:rPr>
          <w:lang w:val="en-US"/>
        </w:rPr>
      </w:pPr>
      <w:r w:rsidRPr="00A4272B">
        <w:rPr>
          <w:lang w:val="en-US"/>
        </w:rPr>
        <w:t>The GMP’s role in monitoring temporal changes in these additional media overlaps and interacts with various processes under the Stockholm Convention and beyond. Data from these complementary media are increasingly being used by the POPs Review Committee and other MEAs, such as the Convention on Biological Diversity (CBD) and the Minamata Convention, to assess pollution impacts and inform international policies</w:t>
      </w:r>
      <w:r w:rsidR="006D5860" w:rsidRPr="00A4272B">
        <w:rPr>
          <w:lang w:val="en-US"/>
        </w:rPr>
        <w:t xml:space="preserve"> (Guardans, 2024)</w:t>
      </w:r>
      <w:r w:rsidRPr="00A4272B">
        <w:rPr>
          <w:lang w:val="en-US"/>
        </w:rPr>
        <w:t>.</w:t>
      </w:r>
    </w:p>
    <w:p w14:paraId="73085550" w14:textId="4D6EFFE5" w:rsidR="00BD23E8" w:rsidRPr="00A4272B" w:rsidRDefault="0068417E" w:rsidP="0068417E">
      <w:pPr>
        <w:rPr>
          <w:lang w:val="en-US"/>
        </w:rPr>
      </w:pPr>
      <w:r w:rsidRPr="00A4272B">
        <w:rPr>
          <w:lang w:val="en-US"/>
        </w:rPr>
        <w:t>This chapter provides technical guidance on monitoring these additional media, drawing on long-term POPs monitoring programmes, including UNEP, AMAP, CLRTAP, HELCOM, OSPAR, Japan's POPs monitoring initiatives, and the EU Water Framework Directive</w:t>
      </w:r>
      <w:r w:rsidR="00BD23E8" w:rsidRPr="00A4272B">
        <w:rPr>
          <w:lang w:val="en-US"/>
        </w:rPr>
        <w:t>.</w:t>
      </w:r>
    </w:p>
    <w:p w14:paraId="458E3298" w14:textId="5CB74DB4" w:rsidR="0068417E" w:rsidRPr="00A4272B" w:rsidRDefault="0068417E" w:rsidP="00817D9F">
      <w:pPr>
        <w:pStyle w:val="Heading3"/>
        <w:rPr>
          <w:rFonts w:hint="eastAsia"/>
          <w:lang w:eastAsia="ja-JP"/>
        </w:rPr>
      </w:pPr>
      <w:bookmarkStart w:id="324" w:name="_Toc187270501"/>
      <w:r w:rsidRPr="00A4272B">
        <w:t>4.4.</w:t>
      </w:r>
      <w:r w:rsidR="005416BE" w:rsidRPr="00A4272B">
        <w:rPr>
          <w:lang w:eastAsia="ja-JP"/>
        </w:rPr>
        <w:t>1</w:t>
      </w:r>
      <w:r w:rsidRPr="00A4272B">
        <w:tab/>
      </w:r>
      <w:r w:rsidR="00EC6C83" w:rsidRPr="00A4272B">
        <w:rPr>
          <w:lang w:eastAsia="ja-JP"/>
        </w:rPr>
        <w:t>A</w:t>
      </w:r>
      <w:r w:rsidRPr="00A4272B">
        <w:rPr>
          <w:lang w:eastAsia="ja-JP"/>
        </w:rPr>
        <w:t>quatic environments</w:t>
      </w:r>
      <w:bookmarkEnd w:id="324"/>
    </w:p>
    <w:p w14:paraId="4D29FFB5" w14:textId="77777777" w:rsidR="00BD23E8" w:rsidRPr="00A4272B" w:rsidRDefault="00BD23E8" w:rsidP="00817D9F">
      <w:pPr>
        <w:pStyle w:val="Heading4"/>
        <w:rPr>
          <w:rFonts w:hint="eastAsia"/>
        </w:rPr>
      </w:pPr>
      <w:r w:rsidRPr="00A4272B">
        <w:t>Water</w:t>
      </w:r>
    </w:p>
    <w:p w14:paraId="5F43971F" w14:textId="2F3DC574" w:rsidR="00BD23E8" w:rsidRPr="00A4272B" w:rsidRDefault="00BD23E8" w:rsidP="00BD23E8">
      <w:pPr>
        <w:rPr>
          <w:lang w:val="en-US"/>
        </w:rPr>
      </w:pPr>
      <w:r w:rsidRPr="00A4272B">
        <w:rPr>
          <w:lang w:val="en-US"/>
        </w:rPr>
        <w:t>Water is classified as an "other matrix" under the Stockholm Convention for monitoring POPs other than PF</w:t>
      </w:r>
      <w:r w:rsidR="00526070" w:rsidRPr="00A4272B">
        <w:rPr>
          <w:lang w:val="en-US"/>
        </w:rPr>
        <w:t>ASs</w:t>
      </w:r>
      <w:r w:rsidRPr="00A4272B">
        <w:rPr>
          <w:lang w:val="en-US"/>
        </w:rPr>
        <w:t xml:space="preserve">, indicating its secondary importance compared to core matrices like air and human biomonitoring. However, water can provide valuable data for assessing specific POPs, particularly polar compounds such as HCH isomers, which are relatively easier to measure in water compared to highly hydrophobic POPs. Monitoring POPs in water can help identify potential sources, sinks, and global exposure risks, complementing existing air and human data. For instance, pesticide monitoring </w:t>
      </w:r>
      <w:r w:rsidR="008F74AD" w:rsidRPr="00A4272B">
        <w:rPr>
          <w:lang w:val="en-US"/>
        </w:rPr>
        <w:t>programmes</w:t>
      </w:r>
      <w:r w:rsidRPr="00A4272B">
        <w:rPr>
          <w:lang w:val="en-US"/>
        </w:rPr>
        <w:t xml:space="preserve"> have generated significant data on pentachlorophenol in water, although the Stockholm Convention emphasizes pentachloroanisole (PCA) in ambient air for reporting purposes. Despite its secondary role, water monitoring remains a useful tool for understanding the environmental behavior and pathways of certain POPs.</w:t>
      </w:r>
    </w:p>
    <w:p w14:paraId="3F096E55" w14:textId="176C41D1" w:rsidR="00BD23E8" w:rsidRPr="00A4272B" w:rsidRDefault="00BD23E8" w:rsidP="00BD23E8">
      <w:pPr>
        <w:rPr>
          <w:lang w:val="en-US"/>
        </w:rPr>
      </w:pPr>
      <w:r w:rsidRPr="00A4272B">
        <w:rPr>
          <w:lang w:val="en-US"/>
        </w:rPr>
        <w:t xml:space="preserve">Monitoring highly hydrophobic POPs (typically those with a log Kow &gt; 6) in water presents significant challenges due to their extremely low concentrations, often in the picograms per liter (pg/L) range, which approach the limits of detection. This raises issues with quality control and uncertainty, including contamination risks during sampling, </w:t>
      </w:r>
      <w:r w:rsidRPr="00A4272B">
        <w:rPr>
          <w:lang w:val="en-US"/>
        </w:rPr>
        <w:lastRenderedPageBreak/>
        <w:t>transport, and laboratory analysis. Nonetheless, passive sampling techniques, which allow for in situ concentration of neutral hydrophobic POPs, have proven effective in overcoming these challenges</w:t>
      </w:r>
      <w:r w:rsidR="00526070" w:rsidRPr="00A4272B">
        <w:rPr>
          <w:lang w:val="en-US"/>
        </w:rPr>
        <w:t xml:space="preserve"> (Lohmann et al., 20</w:t>
      </w:r>
      <w:r w:rsidR="00B82313" w:rsidRPr="00A4272B">
        <w:rPr>
          <w:lang w:val="en-US"/>
        </w:rPr>
        <w:t>2</w:t>
      </w:r>
      <w:r w:rsidR="00526070" w:rsidRPr="00A4272B">
        <w:rPr>
          <w:lang w:val="en-US"/>
        </w:rPr>
        <w:t>3; Sobotka et al., 202</w:t>
      </w:r>
      <w:r w:rsidR="0073371A" w:rsidRPr="00A4272B">
        <w:rPr>
          <w:lang w:val="en-US"/>
        </w:rPr>
        <w:t>2</w:t>
      </w:r>
      <w:r w:rsidR="00526070" w:rsidRPr="00A4272B">
        <w:rPr>
          <w:lang w:val="en-US"/>
        </w:rPr>
        <w:t>)</w:t>
      </w:r>
      <w:r w:rsidRPr="00A4272B">
        <w:rPr>
          <w:lang w:val="en-US"/>
        </w:rPr>
        <w:t xml:space="preserve">. While water monitoring is generally not essential for evaluating the effectiveness of the Stockholm Convention, it can provide complementary data to identify specific sources and transport pathways of POPs. </w:t>
      </w:r>
    </w:p>
    <w:p w14:paraId="7AAB85B4" w14:textId="3A28BF50" w:rsidR="00C02A15" w:rsidRPr="00A4272B" w:rsidRDefault="00C02A15" w:rsidP="00817D9F">
      <w:pPr>
        <w:pStyle w:val="Heading4"/>
        <w:rPr>
          <w:rFonts w:hint="eastAsia"/>
        </w:rPr>
      </w:pPr>
      <w:r w:rsidRPr="00A4272B">
        <w:t>Marine and freshwater</w:t>
      </w:r>
    </w:p>
    <w:p w14:paraId="0230ACEA" w14:textId="31D343D4" w:rsidR="00640C43" w:rsidRPr="00A4272B" w:rsidRDefault="00640C43" w:rsidP="00640C43">
      <w:pPr>
        <w:rPr>
          <w:lang w:val="en-US"/>
        </w:rPr>
      </w:pPr>
      <w:r w:rsidRPr="00A4272B">
        <w:rPr>
          <w:lang w:val="en-US"/>
        </w:rPr>
        <w:t>Monitoring POPs in marine and freshwater environments is critical for assessing their distribution, impacts, and trends over time. POPs can accumulate in aquatic ecosystems, where they pose significant risks to biodiversity, food safety, and human health. In marine environments, monitoring focuses on seawater, sediments, and biota such as fish and mollusks to track contamination levels and bioaccumulation patterns. Similarly, freshwater systems, including rivers, lakes, and reservoirs, are monitored for POPs in water, sediment, and aquatic organisms. These environments act as both reservoirs and pathways for POPs, enabling their long-range transport through water systems. Effective monitoring provides the data needed for informed decision-making, supports the development of management strategies, and evaluates the effectiveness of regulatory measures under the Stockholm Convention.</w:t>
      </w:r>
    </w:p>
    <w:p w14:paraId="206631BA" w14:textId="62622CC1" w:rsidR="00640C43" w:rsidRPr="00A4272B" w:rsidRDefault="00640C43" w:rsidP="00640C43">
      <w:pPr>
        <w:rPr>
          <w:lang w:val="en-US"/>
        </w:rPr>
      </w:pPr>
      <w:r w:rsidRPr="00A4272B">
        <w:rPr>
          <w:lang w:val="en-US"/>
        </w:rPr>
        <w:t>For guidance on POPs monitoring in marine and freshwater environments, technical documents from long-term monitoring programmes serve as valuable resources. Key sources include the the Arctic Monitoring and Assessment Programme (</w:t>
      </w:r>
      <w:hyperlink r:id="rId45" w:history="1">
        <w:r w:rsidRPr="00A4272B">
          <w:rPr>
            <w:rStyle w:val="Hyperlink0"/>
            <w:rFonts w:eastAsia="MS Mincho"/>
            <w:lang w:val="en-US"/>
          </w:rPr>
          <w:t>AMAP</w:t>
        </w:r>
      </w:hyperlink>
      <w:r w:rsidRPr="00A4272B">
        <w:rPr>
          <w:lang w:val="en-US"/>
        </w:rPr>
        <w:t>), the Convention on Long-Range Transboundary Air Pollution (</w:t>
      </w:r>
      <w:hyperlink r:id="rId46" w:history="1">
        <w:r w:rsidRPr="00A4272B">
          <w:rPr>
            <w:rStyle w:val="Hyperlink0"/>
            <w:rFonts w:eastAsia="MS Mincho"/>
            <w:lang w:val="en-US"/>
          </w:rPr>
          <w:t>CLRTAP</w:t>
        </w:r>
      </w:hyperlink>
      <w:r w:rsidRPr="00A4272B">
        <w:rPr>
          <w:lang w:val="en-US"/>
        </w:rPr>
        <w:t xml:space="preserve">), and regional initiatives such as </w:t>
      </w:r>
      <w:hyperlink r:id="rId47" w:history="1">
        <w:r w:rsidRPr="00A4272B">
          <w:rPr>
            <w:rStyle w:val="Hyperlink0"/>
            <w:rFonts w:eastAsia="MS Mincho"/>
            <w:lang w:val="en-US"/>
          </w:rPr>
          <w:t>HELCOM</w:t>
        </w:r>
      </w:hyperlink>
      <w:r w:rsidRPr="00A4272B">
        <w:rPr>
          <w:lang w:val="en-US"/>
        </w:rPr>
        <w:t xml:space="preserve"> for the Baltic Sea and </w:t>
      </w:r>
      <w:hyperlink r:id="rId48" w:history="1">
        <w:r w:rsidRPr="00A4272B">
          <w:rPr>
            <w:rStyle w:val="Hyperlink0"/>
            <w:rFonts w:eastAsia="MS Mincho"/>
            <w:lang w:val="en-US"/>
          </w:rPr>
          <w:t>OSPAR</w:t>
        </w:r>
      </w:hyperlink>
      <w:r w:rsidRPr="00A4272B">
        <w:rPr>
          <w:lang w:val="en-US"/>
        </w:rPr>
        <w:t xml:space="preserve"> for the North-East Atlantic. Additional resources include the EU Water Framework Directive (</w:t>
      </w:r>
      <w:hyperlink r:id="rId49" w:history="1">
        <w:r w:rsidRPr="00A4272B">
          <w:rPr>
            <w:rStyle w:val="Hyperlink0"/>
            <w:rFonts w:eastAsia="MS Mincho"/>
            <w:lang w:val="en-US"/>
          </w:rPr>
          <w:t>WFD</w:t>
        </w:r>
      </w:hyperlink>
      <w:r w:rsidRPr="00A4272B">
        <w:rPr>
          <w:lang w:val="en-US"/>
        </w:rPr>
        <w:t xml:space="preserve">), Japan’s </w:t>
      </w:r>
      <w:hyperlink r:id="rId50" w:history="1">
        <w:r w:rsidRPr="00A4272B">
          <w:rPr>
            <w:rStyle w:val="Hyperlink0"/>
            <w:rFonts w:eastAsia="MS Mincho"/>
            <w:lang w:val="en-US"/>
          </w:rPr>
          <w:t>POPs monitoring programmes</w:t>
        </w:r>
      </w:hyperlink>
      <w:r w:rsidRPr="00A4272B">
        <w:rPr>
          <w:lang w:val="en-US"/>
        </w:rPr>
        <w:t>, and protocols developed under the Great Lakes monitoring initiatives. These programmes provide methodologies for sampling, analysis, and data interpretation, as well as insights into regional challenges and priorities. By leveraging these resources, countries and stakeholders can establish robust monitoring frameworks that contribute to the global effort to control and eliminate POPs.</w:t>
      </w:r>
    </w:p>
    <w:p w14:paraId="320386B8" w14:textId="1351B999" w:rsidR="00C02A15" w:rsidRPr="00A4272B" w:rsidRDefault="00C02A15" w:rsidP="00817D9F">
      <w:pPr>
        <w:pStyle w:val="Heading4"/>
        <w:rPr>
          <w:rFonts w:hint="eastAsia"/>
        </w:rPr>
      </w:pPr>
      <w:r w:rsidRPr="00A4272B">
        <w:t>Wastewater</w:t>
      </w:r>
    </w:p>
    <w:p w14:paraId="50A7A7B9" w14:textId="0BA4E6FE" w:rsidR="00C02A15" w:rsidRPr="00A4272B" w:rsidRDefault="00640C43" w:rsidP="00C02A15">
      <w:pPr>
        <w:rPr>
          <w:lang w:val="en-US"/>
        </w:rPr>
      </w:pPr>
      <w:r w:rsidRPr="00A4272B">
        <w:rPr>
          <w:lang w:val="en-US"/>
        </w:rPr>
        <w:t>Monitoring POPs in wastewater is critical for understanding their pathways into aquatic ecosystems and evaluating the effectiveness of wastewater treatment processes in mitigating pollution</w:t>
      </w:r>
      <w:r w:rsidR="00C9517D" w:rsidRPr="00A4272B">
        <w:rPr>
          <w:lang w:val="en-US"/>
        </w:rPr>
        <w:t xml:space="preserve"> (Smith et al., 2023; Jones et al., 2024)</w:t>
      </w:r>
      <w:r w:rsidRPr="00A4272B">
        <w:rPr>
          <w:lang w:val="en-US"/>
        </w:rPr>
        <w:t>. Wastewater treatment plants (WWTPs) are significant monitoring points as they act as collection hubs for pollutants from domestic, industrial, and agricultural sources. POPs in wastewater can persist due to their chemical stability and resistance to conventional treatment methods, leading to potential contamination of receiving water bodies. Sampling and analysis of influent, effluent, and sludge from WWTPs provide valuable insights into the presence and behavior of POPs, including their breakdown products. This data is essential for improving treatment technologies, identifying priority sources, and developing regulations to reduce the discharge of POPs into the environment. Long-term monitoring of POPs in wastewater can also inform assessments of regulatory measures under the Stockholm Convention and other global frameworks.</w:t>
      </w:r>
    </w:p>
    <w:p w14:paraId="3632AECF" w14:textId="4016E16E" w:rsidR="00640C43" w:rsidRPr="00A4272B" w:rsidRDefault="00640C43" w:rsidP="00817D9F">
      <w:pPr>
        <w:pStyle w:val="Heading4"/>
        <w:rPr>
          <w:rFonts w:hint="eastAsia"/>
        </w:rPr>
      </w:pPr>
      <w:r w:rsidRPr="00A4272B">
        <w:t>Drinking water</w:t>
      </w:r>
    </w:p>
    <w:p w14:paraId="5169060D" w14:textId="0766745C" w:rsidR="00640C43" w:rsidRPr="00A4272B" w:rsidRDefault="00640C43" w:rsidP="00640C43">
      <w:pPr>
        <w:rPr>
          <w:lang w:val="en-US"/>
        </w:rPr>
      </w:pPr>
      <w:r w:rsidRPr="00A4272B">
        <w:rPr>
          <w:lang w:val="en-US"/>
        </w:rPr>
        <w:t xml:space="preserve">Monitoring POPs in drinking water is vital to safeguard public health, as these pollutants pose significant risks due to their toxicity, persistence, and bioaccumulative properties. Drinking water sources, such as surface water and groundwater, can become contaminated by POPs through industrial discharges, agricultural runoff, atmospheric deposition, or leaching from contaminated sites. Routine monitoring focuses on detecting POPs at all stages of water treatment, including raw water intake, post-treatment water, and distribution systems, to ensure compliance with safety standards. Technical guidance for monitoring POPs in drinking water can be found in international frameworks </w:t>
      </w:r>
      <w:r w:rsidR="006F0910" w:rsidRPr="00A4272B">
        <w:rPr>
          <w:lang w:val="en-US"/>
        </w:rPr>
        <w:t>(US EPA, 2024; Loos et al., 2024)</w:t>
      </w:r>
      <w:r w:rsidRPr="00A4272B">
        <w:rPr>
          <w:lang w:val="en-US"/>
        </w:rPr>
        <w:t>, as well as regional initiatives like the EU Water Framework Directive. These guidelines provide sampling protocols, analytical techniques, and risk assessment tools to support the development of effective monitoring and management strategies that protect drinking water supplies from POP contamination.</w:t>
      </w:r>
    </w:p>
    <w:p w14:paraId="2FC21898" w14:textId="735C1B5E" w:rsidR="00C02A15" w:rsidRPr="00A4272B" w:rsidRDefault="00C02A15" w:rsidP="00817D9F">
      <w:pPr>
        <w:pStyle w:val="Heading4"/>
        <w:rPr>
          <w:rFonts w:hint="eastAsia"/>
        </w:rPr>
      </w:pPr>
      <w:r w:rsidRPr="00A4272B">
        <w:t>Ice and snow</w:t>
      </w:r>
    </w:p>
    <w:p w14:paraId="451DA03E" w14:textId="77777777" w:rsidR="00A40ACD" w:rsidRPr="00A4272B" w:rsidRDefault="00BD23E8" w:rsidP="00BD23E8">
      <w:pPr>
        <w:rPr>
          <w:lang w:val="en-US"/>
        </w:rPr>
      </w:pPr>
      <w:r w:rsidRPr="00A4272B">
        <w:rPr>
          <w:lang w:val="en-US"/>
        </w:rPr>
        <w:t>Monitoring POPs in ice and snow is essential for understanding their deposition, transport, and long-term storage in cold regions. Ice and snow act as environmental reservoirs for POPs, capturing these pollutants through atmospheric deposition and retaining them for extended periods. Seasonal melting can release POPs back into the environment, contributing to their re-mobilization and transport into surrounding ecosystems, including rivers, lakes, and oceans.</w:t>
      </w:r>
    </w:p>
    <w:p w14:paraId="3CC12DE6" w14:textId="77777777" w:rsidR="00A40ACD" w:rsidRPr="00A4272B" w:rsidRDefault="00BD23E8" w:rsidP="00BD23E8">
      <w:pPr>
        <w:rPr>
          <w:lang w:val="en-US"/>
        </w:rPr>
      </w:pPr>
      <w:r w:rsidRPr="00A4272B">
        <w:rPr>
          <w:lang w:val="en-US"/>
        </w:rPr>
        <w:t xml:space="preserve">Monitoring efforts focus on sampling snowpacks, glaciers, seasonal ice </w:t>
      </w:r>
      <w:r w:rsidR="00A40ACD" w:rsidRPr="00A4272B">
        <w:rPr>
          <w:lang w:val="en-US"/>
        </w:rPr>
        <w:t xml:space="preserve">and ice cores </w:t>
      </w:r>
      <w:r w:rsidRPr="00A4272B">
        <w:rPr>
          <w:lang w:val="en-US"/>
        </w:rPr>
        <w:t xml:space="preserve">to assess the concentration and distribution of POPs in these matrices. </w:t>
      </w:r>
      <w:r w:rsidR="00A40ACD" w:rsidRPr="00A4272B">
        <w:rPr>
          <w:lang w:val="en-US"/>
        </w:rPr>
        <w:t xml:space="preserve">Ice cores serve as valuable archives of historical POP deposition, offering insights into accumulation trends over time and enhancing the understanding of the deposition history of specific POPs, such as PFASs, and their associations with long-range atmospheric transport. </w:t>
      </w:r>
    </w:p>
    <w:p w14:paraId="7ECF77DD" w14:textId="48A78B89" w:rsidR="00BD23E8" w:rsidRPr="00A4272B" w:rsidRDefault="00BD23E8" w:rsidP="00BD23E8">
      <w:pPr>
        <w:rPr>
          <w:lang w:val="en-US"/>
        </w:rPr>
      </w:pPr>
      <w:r w:rsidRPr="00A4272B">
        <w:rPr>
          <w:lang w:val="en-US"/>
        </w:rPr>
        <w:t xml:space="preserve">These studies are particularly important in polar and alpine regions, where long-range atmospheric transport of POPs results in their accumulation far from their sources. Guidance on monitoring POPs in ice and snow is provided by programmes such as </w:t>
      </w:r>
      <w:hyperlink r:id="rId51" w:history="1">
        <w:r w:rsidRPr="00A4272B">
          <w:rPr>
            <w:rStyle w:val="Hyperlink0"/>
            <w:rFonts w:eastAsia="MS Mincho"/>
            <w:lang w:val="en-US"/>
          </w:rPr>
          <w:t>AMAP</w:t>
        </w:r>
      </w:hyperlink>
      <w:r w:rsidRPr="00A4272B">
        <w:rPr>
          <w:lang w:val="en-US"/>
        </w:rPr>
        <w:t xml:space="preserve">, which offer methodologies for sample collection, analysis, and data interpretation. This </w:t>
      </w:r>
      <w:r w:rsidRPr="00A4272B">
        <w:rPr>
          <w:lang w:val="en-US"/>
        </w:rPr>
        <w:lastRenderedPageBreak/>
        <w:t>data is crucial for tracking global trends, understanding the impacts of climate change on POP re-mobilization, and informing international efforts to reduce and eliminate POP emissions.</w:t>
      </w:r>
    </w:p>
    <w:p w14:paraId="3BEE825D" w14:textId="76A92DD3" w:rsidR="0068417E" w:rsidRPr="00A4272B" w:rsidRDefault="0068417E" w:rsidP="00817D9F">
      <w:pPr>
        <w:pStyle w:val="Heading3"/>
        <w:rPr>
          <w:rFonts w:hint="eastAsia"/>
          <w:lang w:eastAsia="ja-JP"/>
        </w:rPr>
      </w:pPr>
      <w:bookmarkStart w:id="325" w:name="_Toc187270502"/>
      <w:r w:rsidRPr="00A4272B">
        <w:t>4.4.</w:t>
      </w:r>
      <w:r w:rsidR="005416BE" w:rsidRPr="00A4272B">
        <w:t>2</w:t>
      </w:r>
      <w:r w:rsidRPr="00A4272B">
        <w:tab/>
      </w:r>
      <w:r w:rsidRPr="00A4272B">
        <w:rPr>
          <w:lang w:eastAsia="ja-JP"/>
        </w:rPr>
        <w:t>Terrestrial environments</w:t>
      </w:r>
      <w:bookmarkEnd w:id="325"/>
    </w:p>
    <w:p w14:paraId="2F9CA7FE" w14:textId="7D81FCE2" w:rsidR="00C02A15" w:rsidRPr="00A4272B" w:rsidRDefault="00C02A15" w:rsidP="00817D9F">
      <w:pPr>
        <w:pStyle w:val="Heading4"/>
        <w:rPr>
          <w:rFonts w:hint="eastAsia"/>
        </w:rPr>
      </w:pPr>
      <w:r w:rsidRPr="00A4272B">
        <w:t>Soil</w:t>
      </w:r>
    </w:p>
    <w:p w14:paraId="2A40919E" w14:textId="4CC294B8" w:rsidR="00C02A15" w:rsidRPr="00A4272B" w:rsidRDefault="003F0E4D" w:rsidP="00C02A15">
      <w:pPr>
        <w:rPr>
          <w:lang w:val="en-US"/>
        </w:rPr>
      </w:pPr>
      <w:r w:rsidRPr="00A4272B">
        <w:rPr>
          <w:lang w:val="en-US"/>
        </w:rPr>
        <w:t xml:space="preserve">Monitoring POPs in soil is essential for assessing their long-term environmental impacts and potential pathways into terrestrial and aquatic ecosystems. Soil serves as both a sink and a source of POPs, capturing pollutants from atmospheric deposition, agricultural runoff, industrial discharges, and improper waste disposal. Over time, POPs can persist in the soil due to their chemical stability, leading to bioaccumulation in terrestrial food chains and potential contamination of groundwater through leaching. </w:t>
      </w:r>
      <w:r w:rsidR="008F74AD" w:rsidRPr="00A4272B">
        <w:rPr>
          <w:lang w:val="en-US"/>
        </w:rPr>
        <w:t xml:space="preserve">With declining POP levels in the air, POPs in soils are expected to partially return to the air through re-volatilization, becoming a secondary source. </w:t>
      </w:r>
      <w:r w:rsidRPr="00A4272B">
        <w:rPr>
          <w:lang w:val="en-US"/>
        </w:rPr>
        <w:t>Monitoring efforts focus on collecting and analyzing soil samples from agricultural fields, industrial sites, and remote regions to understand the spatial distribution and concentration of POPs. This data is critical for evaluating the effectiveness of regulatory measures, identifying contaminated hotspots, and informing remediation strategies under the Stockholm Convention.</w:t>
      </w:r>
    </w:p>
    <w:p w14:paraId="5770A9EC" w14:textId="1E6C9572" w:rsidR="003F0E4D" w:rsidRPr="00A4272B" w:rsidRDefault="003F0E4D" w:rsidP="00817D9F">
      <w:pPr>
        <w:pStyle w:val="Heading4"/>
        <w:rPr>
          <w:rFonts w:hint="eastAsia"/>
        </w:rPr>
      </w:pPr>
      <w:r w:rsidRPr="00A4272B">
        <w:t>Sediment</w:t>
      </w:r>
    </w:p>
    <w:p w14:paraId="773035F0" w14:textId="30442B96" w:rsidR="003F0E4D" w:rsidRPr="00A4272B" w:rsidRDefault="003F0E4D" w:rsidP="003F0E4D">
      <w:pPr>
        <w:rPr>
          <w:lang w:val="en-US"/>
        </w:rPr>
      </w:pPr>
      <w:r w:rsidRPr="00A4272B">
        <w:rPr>
          <w:lang w:val="en-US"/>
        </w:rPr>
        <w:t xml:space="preserve">Monitoring POPs in sediment is vital for understanding their accumulation, persistence, and historical trends in aquatic environments. Sediments act as long-term reservoirs for POPs, storing these pollutants through deposition from water columns and serving as indicators of historical contamination patterns. </w:t>
      </w:r>
      <w:r w:rsidR="008F74AD" w:rsidRPr="00A4272B">
        <w:t>Sediments can also serve as a potential secondary source, as disturbances such as dredging or natural events like floods can resuspend POPs into the water</w:t>
      </w:r>
      <w:r w:rsidRPr="00A4272B">
        <w:rPr>
          <w:lang w:val="en-US"/>
        </w:rPr>
        <w:t>. A key aspect of sediment monitoring is the use of dated sediment cores to analyze trends over time</w:t>
      </w:r>
      <w:r w:rsidR="002B3272" w:rsidRPr="00A4272B">
        <w:rPr>
          <w:lang w:val="en-US"/>
        </w:rPr>
        <w:t xml:space="preserve"> (</w:t>
      </w:r>
      <w:r w:rsidR="002B3272" w:rsidRPr="00A4272B">
        <w:t>IAEA, 2024; Lorgeoux et al., 2016)</w:t>
      </w:r>
      <w:r w:rsidRPr="00A4272B">
        <w:rPr>
          <w:lang w:val="en-US"/>
        </w:rPr>
        <w:t xml:space="preserve">. By examining different sediment layers, which represent distinct time periods, researchers can reconstruct the historical deposition of POPs, identify contamination sources, and evaluate the effectiveness of regulatory measures. </w:t>
      </w:r>
      <w:r w:rsidR="008F74AD" w:rsidRPr="00A4272B">
        <w:t xml:space="preserve">Trend analysis of dated sediment cores can provide insights into the impacts of industrial activities, shifts in chemical usage, </w:t>
      </w:r>
      <w:r w:rsidR="00A40ACD" w:rsidRPr="00A4272B">
        <w:rPr>
          <w:lang w:val="en-US"/>
        </w:rPr>
        <w:t>and long-term environmental transport and deposition of POPs</w:t>
      </w:r>
      <w:r w:rsidRPr="00A4272B">
        <w:rPr>
          <w:lang w:val="en-US"/>
        </w:rPr>
        <w:t>.</w:t>
      </w:r>
    </w:p>
    <w:p w14:paraId="0F922104" w14:textId="35B6E98B" w:rsidR="003F0E4D" w:rsidRPr="00A4272B" w:rsidRDefault="003F0E4D" w:rsidP="003F0E4D">
      <w:pPr>
        <w:rPr>
          <w:lang w:val="en-US"/>
        </w:rPr>
      </w:pPr>
      <w:r w:rsidRPr="00A4272B">
        <w:rPr>
          <w:lang w:val="en-US"/>
        </w:rPr>
        <w:t xml:space="preserve">Monitoring efforts focus on sampling sediment layers in areas such as riverbeds, lakes, estuaries, and coastal regions. </w:t>
      </w:r>
      <w:r w:rsidR="008F74AD" w:rsidRPr="00A4272B">
        <w:t xml:space="preserve">Sediment coring and radiometric dating (e.g., using isotopes such as lead-210 or cesium-137) are used to determine the age of sediment layers and associate them with historical pollution events. </w:t>
      </w:r>
      <w:r w:rsidRPr="00A4272B">
        <w:rPr>
          <w:lang w:val="en-US"/>
        </w:rPr>
        <w:t>International frameworks such as HELCOM and OSPAR provide detailed guidance on sampling and analytical methods for sediment monitoring, including the use of dated cores. These efforts are critical for evaluating the success of global and regional measures, identifying legacy pollution hotspots, and informing policies to prevent further contamination of aquatic systems. Trend analysis of sediment cores is particularly valuable for long-term environmental assessments and understanding the effectiveness of global efforts to eliminate POPs.</w:t>
      </w:r>
    </w:p>
    <w:p w14:paraId="24D1749C" w14:textId="3BEA7511" w:rsidR="0068417E" w:rsidRPr="00A4272B" w:rsidRDefault="0068417E" w:rsidP="00817D9F">
      <w:pPr>
        <w:pStyle w:val="Heading3"/>
        <w:rPr>
          <w:rFonts w:hint="eastAsia"/>
          <w:lang w:eastAsia="ja-JP"/>
        </w:rPr>
      </w:pPr>
      <w:bookmarkStart w:id="326" w:name="_Toc187270503"/>
      <w:r w:rsidRPr="00A4272B">
        <w:t>4.4.</w:t>
      </w:r>
      <w:r w:rsidR="005416BE" w:rsidRPr="00A4272B">
        <w:t>3</w:t>
      </w:r>
      <w:r w:rsidRPr="00A4272B">
        <w:tab/>
      </w:r>
      <w:r w:rsidRPr="00A4272B">
        <w:rPr>
          <w:lang w:eastAsia="ja-JP"/>
        </w:rPr>
        <w:t>Indoor spaces</w:t>
      </w:r>
      <w:bookmarkEnd w:id="326"/>
    </w:p>
    <w:p w14:paraId="6985C0F1" w14:textId="3E6713F0" w:rsidR="00C02A15" w:rsidRPr="00A4272B" w:rsidRDefault="00C02A15" w:rsidP="00817D9F">
      <w:pPr>
        <w:pStyle w:val="Heading4"/>
        <w:rPr>
          <w:rFonts w:hint="eastAsia"/>
        </w:rPr>
      </w:pPr>
      <w:r w:rsidRPr="00A4272B">
        <w:t>Indoor dust</w:t>
      </w:r>
    </w:p>
    <w:p w14:paraId="0607976F" w14:textId="77F8F57F" w:rsidR="003F0E4D" w:rsidRPr="00A4272B" w:rsidRDefault="003F0E4D" w:rsidP="003F0E4D">
      <w:pPr>
        <w:rPr>
          <w:lang w:val="en-US"/>
        </w:rPr>
      </w:pPr>
      <w:r w:rsidRPr="00A4272B">
        <w:rPr>
          <w:lang w:val="en-US"/>
        </w:rPr>
        <w:t>Indoor dust serves as an effective matrix for assessing temporal and spatial trends of POPs, offering critical insights directly related to human exposure. Dust is particularly valuable for tracking POPs originating from consumer products and building materials, such as flame retardants and PFAS</w:t>
      </w:r>
      <w:r w:rsidR="00526070" w:rsidRPr="00A4272B">
        <w:rPr>
          <w:lang w:val="en-US"/>
        </w:rPr>
        <w:t>s</w:t>
      </w:r>
      <w:r w:rsidRPr="00A4272B">
        <w:rPr>
          <w:lang w:val="en-US"/>
        </w:rPr>
        <w:t>. As one of the initial pathways through which these pollutants enter the environment, indoor dust can provide early indicators of temporal trends and the impacts of regulatory measures (e.g., Zhu et al., 2023; Yu et al., 2023). Sampling typically involves collecting settled dust from indoor surfaces in residences, workplaces, and schools, enabling the assessment of human exposure across different microenvironments. Composite samples, derived from combining dust collected from various surfaces and locations within a region, are especially useful for identifying broader geographic and temporal trends, similar to pooling approaches in biomonitoring studies.</w:t>
      </w:r>
    </w:p>
    <w:p w14:paraId="6C493DFC" w14:textId="77777777" w:rsidR="003F0E4D" w:rsidRPr="00A4272B" w:rsidRDefault="003F0E4D" w:rsidP="003F0E4D">
      <w:pPr>
        <w:rPr>
          <w:lang w:val="en-US"/>
        </w:rPr>
      </w:pPr>
      <w:r w:rsidRPr="00A4272B">
        <w:rPr>
          <w:lang w:val="en-US"/>
        </w:rPr>
        <w:t>Although standardized methods for collecting indoor dust are currently lacking, researcher-collected samples have shown sufficient comparability for reliable data analysis, particularly when using composite dust samples (Salih Al-Omran et al., 2021; Jilkova et al., 2018). This approach allows for the examination of geographic and temporal trends, despite variations in indoor environments. However, monitoring POPs in indoor dust remains fragmented, as there are no established global or regional networks dedicated to this purpose. Most available data originate from individual research studies, emphasizing the need for more coordinated and systematic efforts to monitor POPs in indoor environments. Given its relevance to human exposure and its role as an early indicator of environmental contamination, indoor dust monitoring could play a crucial role in future regulatory and public health assessments.</w:t>
      </w:r>
    </w:p>
    <w:p w14:paraId="1C4B06A0" w14:textId="27B07115" w:rsidR="0068417E" w:rsidRPr="00A4272B" w:rsidRDefault="0068417E" w:rsidP="00817D9F">
      <w:pPr>
        <w:pStyle w:val="Heading3"/>
        <w:rPr>
          <w:rFonts w:hint="eastAsia"/>
          <w:lang w:eastAsia="ja-JP"/>
        </w:rPr>
      </w:pPr>
      <w:bookmarkStart w:id="327" w:name="_Toc187270504"/>
      <w:r w:rsidRPr="00A4272B">
        <w:lastRenderedPageBreak/>
        <w:t>4.4.</w:t>
      </w:r>
      <w:r w:rsidR="005416BE" w:rsidRPr="00A4272B">
        <w:rPr>
          <w:lang w:eastAsia="ja-JP"/>
        </w:rPr>
        <w:t>4</w:t>
      </w:r>
      <w:r w:rsidRPr="00A4272B">
        <w:tab/>
      </w:r>
      <w:r w:rsidRPr="00A4272B">
        <w:rPr>
          <w:lang w:eastAsia="ja-JP"/>
        </w:rPr>
        <w:t>Food and biota</w:t>
      </w:r>
      <w:bookmarkEnd w:id="327"/>
    </w:p>
    <w:p w14:paraId="12C022A4" w14:textId="77777777" w:rsidR="00C02A15" w:rsidRPr="00A4272B" w:rsidRDefault="00C02A15" w:rsidP="00817D9F">
      <w:pPr>
        <w:pStyle w:val="Heading4"/>
        <w:rPr>
          <w:rFonts w:hint="eastAsia"/>
        </w:rPr>
      </w:pPr>
      <w:r w:rsidRPr="00A4272B">
        <w:t>Biota</w:t>
      </w:r>
    </w:p>
    <w:p w14:paraId="35C9DC8D" w14:textId="2D3F15F3" w:rsidR="00BD23E8" w:rsidRPr="00A4272B" w:rsidRDefault="006506EF" w:rsidP="00BD23E8">
      <w:pPr>
        <w:rPr>
          <w:lang w:val="en-US"/>
        </w:rPr>
      </w:pPr>
      <w:r w:rsidRPr="00A4272B">
        <w:rPr>
          <w:lang w:val="en-US"/>
        </w:rPr>
        <w:t>Monitoring POPs in biota provides valuable insights into the bioaccumulation and biomagnification of these hazardous substances in ecosystems and their impacts on wildlife and human health</w:t>
      </w:r>
      <w:r w:rsidR="00BD23E8" w:rsidRPr="00A4272B">
        <w:rPr>
          <w:lang w:val="en-US"/>
        </w:rPr>
        <w:t xml:space="preserve">. Biota such as shellfish, fish, birds, and mammals are commonly used as indicators due to their capacity to accumulate POPs from their environment. Monitoring efforts should prioritize similar species across regions to allow for meaningful comparisons of POP levels globally. For instance, fish and shellfish are widely monitored for their relevance to both ecosystem health and human consumption, while birds and mammals, particularly apex predators, are monitored to understand the effects of POPs at higher trophic levels. </w:t>
      </w:r>
      <w:r w:rsidRPr="00A4272B">
        <w:rPr>
          <w:lang w:val="en-US"/>
        </w:rPr>
        <w:t xml:space="preserve">Although biota </w:t>
      </w:r>
      <w:r w:rsidR="009425D0" w:rsidRPr="00A4272B">
        <w:rPr>
          <w:lang w:val="en-US"/>
        </w:rPr>
        <w:t>is</w:t>
      </w:r>
      <w:r w:rsidRPr="00A4272B">
        <w:rPr>
          <w:lang w:val="en-US"/>
        </w:rPr>
        <w:t xml:space="preserve"> not currently included as core media for the GMP, such data can provide important supplementary information for assessing temporal trends, geographic variations, and the effectiveness of regulatory measures under the Stockholm Convention</w:t>
      </w:r>
      <w:r w:rsidR="00BD23E8" w:rsidRPr="00A4272B">
        <w:rPr>
          <w:lang w:val="en-US"/>
        </w:rPr>
        <w:t>.</w:t>
      </w:r>
    </w:p>
    <w:p w14:paraId="53E4E1FA" w14:textId="7A227112" w:rsidR="00BD23E8" w:rsidRPr="00A4272B" w:rsidRDefault="00BD23E8" w:rsidP="00BD23E8">
      <w:pPr>
        <w:rPr>
          <w:lang w:val="en-US"/>
        </w:rPr>
      </w:pPr>
      <w:r w:rsidRPr="00A4272B">
        <w:rPr>
          <w:lang w:val="en-US"/>
        </w:rPr>
        <w:t xml:space="preserve">The interpretation of POPs levels in biota requires the collection of ancillary data such as size, age, lipid content, and the time of sampling, as these factors significantly influence POP concentrations. Lipid-rich species, for example, tend to have higher concentrations of POPs due to the lipophilic nature of these substances. Sampling protocols should also consider the life cycle and migratory patterns of the species to ensure representative data. Standardized methodologies for sampling and analysis are critical to ensure consistency and comparability across regions. By leveraging data from biota, monitoring </w:t>
      </w:r>
      <w:r w:rsidR="008F74AD" w:rsidRPr="00A4272B">
        <w:rPr>
          <w:lang w:val="en-US"/>
        </w:rPr>
        <w:t>programmes</w:t>
      </w:r>
      <w:r w:rsidRPr="00A4272B">
        <w:rPr>
          <w:lang w:val="en-US"/>
        </w:rPr>
        <w:t xml:space="preserve"> can provide valuable insights into the environmental distribution of POPs, their transfer through food webs, and the risks they pose to biodiversity and human populations.</w:t>
      </w:r>
    </w:p>
    <w:p w14:paraId="006CBEAB" w14:textId="77777777" w:rsidR="00C02A15" w:rsidRPr="00A4272B" w:rsidRDefault="00C02A15" w:rsidP="00817D9F">
      <w:pPr>
        <w:pStyle w:val="Heading4"/>
        <w:rPr>
          <w:rFonts w:hint="eastAsia"/>
        </w:rPr>
      </w:pPr>
      <w:r w:rsidRPr="00A4272B">
        <w:t>Food</w:t>
      </w:r>
    </w:p>
    <w:p w14:paraId="7622F075" w14:textId="087E1425" w:rsidR="00BD23E8" w:rsidRPr="00A4272B" w:rsidRDefault="00BD23E8" w:rsidP="00BD23E8">
      <w:pPr>
        <w:rPr>
          <w:lang w:val="en-US"/>
        </w:rPr>
      </w:pPr>
      <w:r w:rsidRPr="00A4272B">
        <w:rPr>
          <w:lang w:val="en-US"/>
        </w:rPr>
        <w:t>Monitoring POPs in food is essential for understanding the exposure pathways to humans. Foods of animal origin, especially locally sourced fish and mammals, are often significant contributors to POP exposure due to bioaccumulation and biomagnification in the food chain. Fish, for instance, are widely monitored as they accumulate POPs from aquatic environments, making them critical indicators of pollution levels in local ecosystems and a key source of human exposure. Similarly, the consumption of marine mammals, often prevalent in Arctic and Indigenous communities, can lead to elevated exposure to POPs, highlighting the need for targeted monitoring efforts. This data is crucial for assessing compliance with safety standards, evaluating dietary risks, and supporting regulatory frameworks under the Stockholm Convention.</w:t>
      </w:r>
    </w:p>
    <w:p w14:paraId="065CC787" w14:textId="667B8549" w:rsidR="00C02A15" w:rsidRPr="00A4272B" w:rsidRDefault="00BD23E8" w:rsidP="00C02A15">
      <w:pPr>
        <w:rPr>
          <w:lang w:val="en-US"/>
        </w:rPr>
      </w:pPr>
      <w:r w:rsidRPr="00A4272B">
        <w:rPr>
          <w:lang w:val="en-US"/>
        </w:rPr>
        <w:t xml:space="preserve">Guidance on monitoring POPs in food is provided by organizations such as the Food and Agriculture Organization (FAO), the World Health Organization (WHO), AMAP, the Great Lakes programme, OSPAR, and Japan’s Ministry of the Environment. These guidelines include methodologies for sampling, analysis, and reporting, emphasizing the importance of monitoring locally sourced foods that are staple dietary items in specific regions. Analytical techniques such as gas chromatography-mass spectrometry (GC-MS) are used to detect and quantify POPs at trace levels in food samples. By combining insights from these organizations, monitoring </w:t>
      </w:r>
      <w:r w:rsidR="008F74AD" w:rsidRPr="00A4272B">
        <w:rPr>
          <w:lang w:val="en-US"/>
        </w:rPr>
        <w:t>programmes</w:t>
      </w:r>
      <w:r w:rsidRPr="00A4272B">
        <w:rPr>
          <w:lang w:val="en-US"/>
        </w:rPr>
        <w:t xml:space="preserve"> can ensure consistency and reliability in data collection, enabling effective risk assessments and informing policies to protect public health and reduce POP contamination in the food supply.</w:t>
      </w:r>
    </w:p>
    <w:p w14:paraId="3796658F" w14:textId="163DB4BD" w:rsidR="00EC6C83" w:rsidRPr="00A4272B" w:rsidRDefault="00EC6C83" w:rsidP="00817D9F">
      <w:pPr>
        <w:pStyle w:val="Heading3"/>
        <w:rPr>
          <w:rFonts w:hint="eastAsia"/>
        </w:rPr>
      </w:pPr>
      <w:bookmarkStart w:id="328" w:name="_Toc187270505"/>
      <w:r w:rsidRPr="00A4272B">
        <w:t>4.4.</w:t>
      </w:r>
      <w:r w:rsidR="005416BE" w:rsidRPr="00A4272B">
        <w:rPr>
          <w:lang w:eastAsia="ja-JP"/>
        </w:rPr>
        <w:t>5</w:t>
      </w:r>
      <w:r w:rsidRPr="00A4272B">
        <w:tab/>
        <w:t>Microorganisms</w:t>
      </w:r>
      <w:bookmarkEnd w:id="328"/>
    </w:p>
    <w:p w14:paraId="51DDA197" w14:textId="366DCCA4" w:rsidR="00C02A15" w:rsidRPr="00A4272B" w:rsidRDefault="00C02A15" w:rsidP="00817D9F">
      <w:pPr>
        <w:pStyle w:val="Heading4"/>
        <w:rPr>
          <w:rFonts w:hint="eastAsia"/>
        </w:rPr>
      </w:pPr>
      <w:r w:rsidRPr="00A4272B">
        <w:t>Microorganisms in water and air</w:t>
      </w:r>
    </w:p>
    <w:p w14:paraId="0ED4AE36" w14:textId="53B9776A" w:rsidR="00BD23E8" w:rsidRPr="00A4272B" w:rsidRDefault="00BD23E8" w:rsidP="00BD23E8">
      <w:pPr>
        <w:rPr>
          <w:lang w:val="en-US"/>
        </w:rPr>
      </w:pPr>
      <w:r w:rsidRPr="00A4272B">
        <w:rPr>
          <w:lang w:val="en-US"/>
        </w:rPr>
        <w:t>Monitoring POPs in microorganisms, both eukaryotic and prokaryotic, within water and air environments is gaining increasing attention as these organisms play a critical role in the biogeochemical cycling of contaminants. Microorganisms can accumulate POPs directly from their surrounding environments, making them effective early indicators of pollution in aquatic and atmospheric systems. For instance, bacteria and algae in water can interact with POPs through processes such as adsorption, uptake, and potential biotransformation, which influence the fate and transport of these pollutants. Similarly, microbial communities in the "aerobiome"</w:t>
      </w:r>
      <w:r w:rsidR="00DA1303" w:rsidRPr="00A4272B">
        <w:rPr>
          <w:lang w:val="en-US"/>
        </w:rPr>
        <w:t xml:space="preserve"> (</w:t>
      </w:r>
      <w:r w:rsidRPr="00A4272B">
        <w:rPr>
          <w:lang w:val="en-US"/>
        </w:rPr>
        <w:t>microorganisms suspended in the air</w:t>
      </w:r>
      <w:r w:rsidR="00DA1303" w:rsidRPr="00A4272B">
        <w:rPr>
          <w:lang w:val="en-US"/>
        </w:rPr>
        <w:t>)</w:t>
      </w:r>
      <w:r w:rsidRPr="00A4272B">
        <w:rPr>
          <w:lang w:val="en-US"/>
        </w:rPr>
        <w:t xml:space="preserve"> can serve as a reservoir for POPs, contributing to their long-range atmospheric transport</w:t>
      </w:r>
      <w:r w:rsidR="00FF2AF1" w:rsidRPr="00A4272B">
        <w:rPr>
          <w:lang w:val="en-US"/>
        </w:rPr>
        <w:t xml:space="preserve"> (</w:t>
      </w:r>
      <w:r w:rsidR="00FF2AF1" w:rsidRPr="00A4272B">
        <w:t>Robinson et al., 2024)</w:t>
      </w:r>
      <w:r w:rsidRPr="00A4272B">
        <w:rPr>
          <w:lang w:val="en-US"/>
        </w:rPr>
        <w:t>. Monitoring microbial life in water and air provides unique insights into the pathways and persistence of POPs, as well as their potential ecological and health impacts.</w:t>
      </w:r>
    </w:p>
    <w:p w14:paraId="029D4E1F" w14:textId="29B18A81" w:rsidR="00BD23E8" w:rsidRPr="00A4272B" w:rsidRDefault="00BD23E8" w:rsidP="00BD23E8">
      <w:pPr>
        <w:rPr>
          <w:lang w:val="en-US"/>
        </w:rPr>
      </w:pPr>
      <w:r w:rsidRPr="00A4272B">
        <w:rPr>
          <w:lang w:val="en-US"/>
        </w:rPr>
        <w:t>Guidance for monitoring POPs in microorganisms includes sampling protocols for water and air environments, emphasizing the collection of microbial biofilms, plankton, and airborne microbial particles. Advanced analytical techniques, such as GC-MS and HPLC, are essential for quantifying POP concentrations in microbial samples. Studies on microbial interactions with POPs also contribute to understanding potential biotransformation pathways, where some microorganisms may degrade or alter POPs, influencing their environmental behavior. These efforts are critical for identifying new exposure pathways, assessing ecological risks, and informing strategies for mitigating POP contamination in water and air ecosystems.</w:t>
      </w:r>
    </w:p>
    <w:p w14:paraId="22E088CD" w14:textId="6116A82B" w:rsidR="00365739" w:rsidRPr="00A4272B" w:rsidRDefault="00365739" w:rsidP="00817D9F">
      <w:pPr>
        <w:pStyle w:val="Heading3"/>
        <w:rPr>
          <w:rFonts w:hint="eastAsia"/>
          <w:lang w:eastAsia="ja-JP"/>
        </w:rPr>
      </w:pPr>
      <w:bookmarkStart w:id="329" w:name="_Toc187270506"/>
      <w:r w:rsidRPr="00A4272B">
        <w:lastRenderedPageBreak/>
        <w:t>4.4.</w:t>
      </w:r>
      <w:r w:rsidR="005416BE" w:rsidRPr="00A4272B">
        <w:rPr>
          <w:lang w:eastAsia="ja-JP"/>
        </w:rPr>
        <w:t>6</w:t>
      </w:r>
      <w:r w:rsidRPr="00A4272B">
        <w:tab/>
      </w:r>
      <w:r w:rsidR="00EC6C83" w:rsidRPr="00A4272B">
        <w:rPr>
          <w:lang w:eastAsia="ja-JP"/>
        </w:rPr>
        <w:t>E</w:t>
      </w:r>
      <w:r w:rsidR="0068417E" w:rsidRPr="00A4272B">
        <w:rPr>
          <w:lang w:eastAsia="ja-JP"/>
        </w:rPr>
        <w:t xml:space="preserve">mission inventories and PRTR </w:t>
      </w:r>
      <w:r w:rsidR="00EC6C83" w:rsidRPr="00A4272B">
        <w:rPr>
          <w:lang w:eastAsia="ja-JP"/>
        </w:rPr>
        <w:t>d</w:t>
      </w:r>
      <w:r w:rsidR="0068417E" w:rsidRPr="00A4272B">
        <w:rPr>
          <w:lang w:eastAsia="ja-JP"/>
        </w:rPr>
        <w:t>ata for POPs monitoring</w:t>
      </w:r>
      <w:bookmarkEnd w:id="329"/>
    </w:p>
    <w:p w14:paraId="3A736207" w14:textId="1253B1B0" w:rsidR="0068417E" w:rsidRPr="00A4272B" w:rsidRDefault="0068417E" w:rsidP="0068417E">
      <w:pPr>
        <w:rPr>
          <w:lang w:val="en-US" w:eastAsia="ja-JP"/>
        </w:rPr>
      </w:pPr>
      <w:r w:rsidRPr="00A4272B">
        <w:rPr>
          <w:lang w:val="en-US" w:eastAsia="ja-JP"/>
        </w:rPr>
        <w:t>Emission inventories, including Pollutant Release and Transfer Registers (PRTRs), are critical tools for tracking and assessing the sources, releases, and transfers of POPs. These inventories compile data on emissions from industrial facilities, agricultural activities, waste disposal sites, and other sources, offering valuable insights into the potential pathways of POPs into the environment. PRTR systems, in particular, provide publicly accessible and standardized data that can be used to identify emission trends over time, assess the effectiveness of regulatory measures, and prioritize areas for intervention. This information is essential for understanding the scale and scope of POP emissions and their impact on air, water, soil, and biota.</w:t>
      </w:r>
    </w:p>
    <w:p w14:paraId="33128C32" w14:textId="39E66AAB" w:rsidR="0068417E" w:rsidRPr="00A4272B" w:rsidRDefault="0068417E" w:rsidP="0068417E">
      <w:pPr>
        <w:rPr>
          <w:lang w:val="en-US" w:eastAsia="ja-JP"/>
        </w:rPr>
      </w:pPr>
      <w:r w:rsidRPr="00A4272B">
        <w:rPr>
          <w:lang w:val="en-US" w:eastAsia="ja-JP"/>
        </w:rPr>
        <w:t xml:space="preserve">Incorporating PRTR data into POPs monitoring </w:t>
      </w:r>
      <w:r w:rsidR="008F74AD" w:rsidRPr="00A4272B">
        <w:rPr>
          <w:lang w:val="en-US" w:eastAsia="ja-JP"/>
        </w:rPr>
        <w:t>programmes</w:t>
      </w:r>
      <w:r w:rsidRPr="00A4272B">
        <w:rPr>
          <w:lang w:val="en-US" w:eastAsia="ja-JP"/>
        </w:rPr>
        <w:t xml:space="preserve"> may enhance the ability to link observed environmental concentrations to specific emission sources. For example, data on releases of unintentionally produced POPs, such as dioxins and furans, can inform source attribution efforts and guide the development of targeted mitigation strategies </w:t>
      </w:r>
      <w:r w:rsidR="0033666A" w:rsidRPr="00A4272B">
        <w:rPr>
          <w:lang w:val="en-US" w:eastAsia="ja-JP"/>
        </w:rPr>
        <w:t xml:space="preserve">(UNEP, 2013). </w:t>
      </w:r>
      <w:r w:rsidRPr="00A4272B">
        <w:rPr>
          <w:lang w:val="en-US" w:eastAsia="ja-JP"/>
        </w:rPr>
        <w:t>PRTR data can also complement long-term environmental monitoring by providing contextual information about potential changes in local or regional emission patterns, particularly in response to new regulatory measures under the Stockholm Convention. By integrating emission inventories with multimedia monitoring data, researchers and policymakers can develop more accurate models of POP behavior, including their long-range transport and deposition in remote regions.</w:t>
      </w:r>
    </w:p>
    <w:p w14:paraId="199FCF4D" w14:textId="462558FF" w:rsidR="00365739" w:rsidRPr="00A4272B" w:rsidRDefault="0068417E" w:rsidP="00BD23E8">
      <w:pPr>
        <w:rPr>
          <w:lang w:val="en-US" w:eastAsia="ja-JP"/>
        </w:rPr>
      </w:pPr>
      <w:r w:rsidRPr="00A4272B">
        <w:rPr>
          <w:lang w:val="en-US" w:eastAsia="ja-JP"/>
        </w:rPr>
        <w:t xml:space="preserve">Despite their value, emission inventories and PRTR systems are not without limitations. Data quality and completeness can vary across countries, as not all facilities are required to report emissions, and reporting thresholds may exclude smaller sources that contribute cumulatively to POP pollution. </w:t>
      </w:r>
      <w:r w:rsidR="00B00F15" w:rsidRPr="00A4272B">
        <w:rPr>
          <w:lang w:eastAsia="ja-JP"/>
        </w:rPr>
        <w:t xml:space="preserve">Additionally, PRTRs have very limited coverage of POPs. For example, as of January 2025, the US EPA Toxics Release Inventory includes only 12 POPs (US EPA, 2025). </w:t>
      </w:r>
      <w:r w:rsidRPr="00A4272B">
        <w:rPr>
          <w:lang w:val="en-US" w:eastAsia="ja-JP"/>
        </w:rPr>
        <w:t>To maximize their utility for POPs monitoring, it is essential to harmonize data collection and reporting methodologies internationally, ensuring consistency</w:t>
      </w:r>
      <w:r w:rsidR="0033666A" w:rsidRPr="00A4272B">
        <w:rPr>
          <w:lang w:val="en-US" w:eastAsia="ja-JP"/>
        </w:rPr>
        <w:t>, completeness</w:t>
      </w:r>
      <w:r w:rsidRPr="00A4272B">
        <w:rPr>
          <w:lang w:val="en-US" w:eastAsia="ja-JP"/>
        </w:rPr>
        <w:t xml:space="preserve"> and comparability</w:t>
      </w:r>
      <w:r w:rsidR="0033666A" w:rsidRPr="00A4272B">
        <w:rPr>
          <w:lang w:val="en-US" w:eastAsia="ja-JP"/>
        </w:rPr>
        <w:t xml:space="preserve"> (Breivik et al. 2016; UNEP 2023)</w:t>
      </w:r>
      <w:r w:rsidRPr="00A4272B">
        <w:rPr>
          <w:lang w:val="en-US" w:eastAsia="ja-JP"/>
        </w:rPr>
        <w:t>. Collaborative initiatives between countries and regions, supported by guidance from organizations such as UNEP</w:t>
      </w:r>
      <w:r w:rsidR="0033666A" w:rsidRPr="00A4272B">
        <w:rPr>
          <w:lang w:val="en-US" w:eastAsia="ja-JP"/>
        </w:rPr>
        <w:t>,</w:t>
      </w:r>
      <w:r w:rsidRPr="00A4272B">
        <w:rPr>
          <w:lang w:val="en-US" w:eastAsia="ja-JP"/>
        </w:rPr>
        <w:t xml:space="preserve"> OECD</w:t>
      </w:r>
      <w:r w:rsidR="0033666A" w:rsidRPr="00A4272B">
        <w:rPr>
          <w:lang w:val="en-US" w:eastAsia="ja-JP"/>
        </w:rPr>
        <w:t xml:space="preserve"> and the EMEP Centre on Emission Inventories and Projections operating under CLRTAP</w:t>
      </w:r>
      <w:r w:rsidRPr="00A4272B">
        <w:rPr>
          <w:lang w:val="en-US" w:eastAsia="ja-JP"/>
        </w:rPr>
        <w:t>,</w:t>
      </w:r>
      <w:r w:rsidR="009F04ED" w:rsidRPr="00A4272B">
        <w:rPr>
          <w:rStyle w:val="FootnoteReference"/>
          <w:lang w:val="en-US" w:eastAsia="ja-JP"/>
        </w:rPr>
        <w:footnoteReference w:id="15"/>
      </w:r>
      <w:r w:rsidRPr="00A4272B">
        <w:rPr>
          <w:lang w:val="en-US" w:eastAsia="ja-JP"/>
        </w:rPr>
        <w:t xml:space="preserve"> can enhance the </w:t>
      </w:r>
      <w:r w:rsidR="0091321D" w:rsidRPr="00A4272B">
        <w:rPr>
          <w:lang w:val="en-US" w:eastAsia="ja-JP"/>
        </w:rPr>
        <w:t xml:space="preserve">transparency, </w:t>
      </w:r>
      <w:r w:rsidRPr="00A4272B">
        <w:rPr>
          <w:lang w:val="en-US" w:eastAsia="ja-JP"/>
        </w:rPr>
        <w:t>reliability</w:t>
      </w:r>
      <w:r w:rsidR="0091321D" w:rsidRPr="00A4272B">
        <w:rPr>
          <w:lang w:val="en-US" w:eastAsia="ja-JP"/>
        </w:rPr>
        <w:t>,</w:t>
      </w:r>
      <w:r w:rsidRPr="00A4272B">
        <w:rPr>
          <w:lang w:val="en-US" w:eastAsia="ja-JP"/>
        </w:rPr>
        <w:t xml:space="preserve"> and relevance of emission inventories for global assessments</w:t>
      </w:r>
      <w:r w:rsidR="0091321D" w:rsidRPr="00A4272B">
        <w:rPr>
          <w:lang w:val="en-US" w:eastAsia="ja-JP"/>
        </w:rPr>
        <w:t xml:space="preserve"> of unintentionally produced POPs</w:t>
      </w:r>
      <w:r w:rsidRPr="00A4272B">
        <w:rPr>
          <w:lang w:val="en-US" w:eastAsia="ja-JP"/>
        </w:rPr>
        <w:t xml:space="preserve">. By leveraging PRTR data alongside monitoring efforts, the international community can strengthen its capacity to evaluate and manage </w:t>
      </w:r>
      <w:r w:rsidR="0091321D" w:rsidRPr="00A4272B">
        <w:rPr>
          <w:lang w:val="en-US" w:eastAsia="ja-JP"/>
        </w:rPr>
        <w:t xml:space="preserve">unintentionally produced POPs on a global scale </w:t>
      </w:r>
      <w:r w:rsidRPr="00A4272B">
        <w:rPr>
          <w:lang w:val="en-US" w:eastAsia="ja-JP"/>
        </w:rPr>
        <w:t>effectively, advancing the goals of the Stockholm Convention and other environmental frameworks.</w:t>
      </w:r>
    </w:p>
    <w:p w14:paraId="41E9CCB2" w14:textId="10DD9451" w:rsidR="0091321D" w:rsidRPr="00A4272B" w:rsidRDefault="0091321D" w:rsidP="00BD23E8">
      <w:pPr>
        <w:rPr>
          <w:lang w:val="en-US"/>
        </w:rPr>
      </w:pPr>
      <w:r w:rsidRPr="00A4272B">
        <w:rPr>
          <w:lang w:val="en-US"/>
        </w:rPr>
        <w:t>The methodologies used to estimate emissions of intentionally produced POPs, notably pesticides and industrial chemicals, greatly differ from the methodologies that are applied for unintentionally produced POPs (Breivik et al. 2004). The point of departure for global emission inventories of intentionally produced POPs is available data or estimates of the global historical production and usage of such POPs (Li et al. 2023).</w:t>
      </w:r>
    </w:p>
    <w:p w14:paraId="5FFD9A5E" w14:textId="1DF7664E" w:rsidR="00F3536C" w:rsidRPr="00A4272B" w:rsidRDefault="001F665D" w:rsidP="00817D9F">
      <w:pPr>
        <w:pStyle w:val="Heading3"/>
        <w:rPr>
          <w:rFonts w:hint="eastAsia"/>
        </w:rPr>
      </w:pPr>
      <w:bookmarkStart w:id="330" w:name="_Toc535584368"/>
      <w:bookmarkStart w:id="331" w:name="_Toc531669"/>
      <w:bookmarkStart w:id="332" w:name="_Toc532189"/>
      <w:bookmarkStart w:id="333" w:name="_Toc532402"/>
      <w:bookmarkStart w:id="334" w:name="_Toc1467895"/>
      <w:bookmarkStart w:id="335" w:name="_Toc1468068"/>
      <w:bookmarkStart w:id="336" w:name="_Toc1483952"/>
      <w:bookmarkStart w:id="337" w:name="_Toc65306496"/>
      <w:bookmarkStart w:id="338" w:name="_Toc187270507"/>
      <w:r w:rsidRPr="00A4272B">
        <w:t>4</w:t>
      </w:r>
      <w:r w:rsidR="00F3536C" w:rsidRPr="00A4272B">
        <w:t>.4.</w:t>
      </w:r>
      <w:r w:rsidR="005416BE" w:rsidRPr="00A4272B">
        <w:t>7</w:t>
      </w:r>
      <w:r w:rsidR="003F2C0A" w:rsidRPr="00A4272B">
        <w:tab/>
      </w:r>
      <w:bookmarkEnd w:id="330"/>
      <w:bookmarkEnd w:id="331"/>
      <w:bookmarkEnd w:id="332"/>
      <w:bookmarkEnd w:id="333"/>
      <w:bookmarkEnd w:id="334"/>
      <w:bookmarkEnd w:id="335"/>
      <w:bookmarkEnd w:id="336"/>
      <w:bookmarkEnd w:id="337"/>
      <w:r w:rsidR="00DA1303" w:rsidRPr="00A4272B">
        <w:t xml:space="preserve">Collaborative frameworks for </w:t>
      </w:r>
      <w:r w:rsidR="00EC6C83" w:rsidRPr="00A4272B">
        <w:t xml:space="preserve">POPs </w:t>
      </w:r>
      <w:r w:rsidR="00DA1303" w:rsidRPr="00A4272B">
        <w:t>monitoring</w:t>
      </w:r>
      <w:bookmarkEnd w:id="338"/>
      <w:r w:rsidR="00DA1303" w:rsidRPr="00A4272B">
        <w:t xml:space="preserve"> </w:t>
      </w:r>
    </w:p>
    <w:p w14:paraId="5CC15D38" w14:textId="2D6FFCD3" w:rsidR="00365739" w:rsidRPr="00A4272B" w:rsidRDefault="00365739" w:rsidP="00365739">
      <w:pPr>
        <w:rPr>
          <w:lang w:val="en-US"/>
        </w:rPr>
      </w:pPr>
      <w:bookmarkStart w:id="339" w:name="_Toc535584369"/>
      <w:bookmarkStart w:id="340" w:name="_Toc531670"/>
      <w:bookmarkStart w:id="341" w:name="_Toc532190"/>
      <w:bookmarkStart w:id="342" w:name="_Toc532403"/>
      <w:bookmarkStart w:id="343" w:name="_Toc1467896"/>
      <w:bookmarkStart w:id="344" w:name="_Toc1468069"/>
      <w:bookmarkStart w:id="345" w:name="_Toc1483953"/>
      <w:bookmarkStart w:id="346" w:name="_Toc65306497"/>
      <w:r w:rsidRPr="00A4272B">
        <w:rPr>
          <w:lang w:val="en-US"/>
        </w:rPr>
        <w:t xml:space="preserve">In 2007, UNEP developed a comprehensive guidance document (UNEP, 2007) addressing sampling design, sample preparation, analysis, and QA/QC protocols for legacy POPs across various media. Although nearly 15 years old, this document remains relevant and serves as a foundational resource for monitoring </w:t>
      </w:r>
      <w:r w:rsidR="008F74AD" w:rsidRPr="00A4272B">
        <w:rPr>
          <w:lang w:val="en-US"/>
        </w:rPr>
        <w:t>programmes</w:t>
      </w:r>
      <w:r w:rsidRPr="00A4272B">
        <w:rPr>
          <w:lang w:val="en-US"/>
        </w:rPr>
        <w:t>. Chapter 5, in particular, provides detailed analytical methods applicable to a range of environmental media.</w:t>
      </w:r>
    </w:p>
    <w:p w14:paraId="145766C5" w14:textId="427A27FD" w:rsidR="00365739" w:rsidRPr="00A4272B" w:rsidRDefault="00365739" w:rsidP="00365739">
      <w:pPr>
        <w:rPr>
          <w:lang w:val="en-US"/>
        </w:rPr>
      </w:pPr>
      <w:r w:rsidRPr="00A4272B">
        <w:rPr>
          <w:lang w:val="en-US"/>
        </w:rPr>
        <w:t>The Arctic Monitoring and Assessment Programme (AMAP) has made significant contributions to POP monitoring by developing methods, documentation, and data with an integrated approach that links ecosystem impacts to public health. Recent AMAP reports (2015, 2016, 2017) provide valuable insights into POP measurements and their interpretation within this framework. The European Monitoring and Evaluation Programme (EMEP) maintains an updated Standard Operating Procedure (SOP) manual for sampling POPs in aerosols and wet/dry deposition (EMEP, 2001). Similarly, the Great Lakes of North America have been monitored for hazardous substances for over four decades under a binational agreement between Canada and the United States</w:t>
      </w:r>
      <w:r w:rsidR="00C66B87" w:rsidRPr="00A4272B">
        <w:rPr>
          <w:lang w:val="en-US"/>
        </w:rPr>
        <w:t>,</w:t>
      </w:r>
      <w:r w:rsidRPr="00A4272B">
        <w:rPr>
          <w:lang w:val="en-US"/>
        </w:rPr>
        <w:t xml:space="preserve"> </w:t>
      </w:r>
      <w:r w:rsidR="00C66B87" w:rsidRPr="00A4272B">
        <w:rPr>
          <w:lang w:val="en-US"/>
        </w:rPr>
        <w:t>supported by the National Atmospheric Deposition Program</w:t>
      </w:r>
      <w:r w:rsidRPr="00A4272B">
        <w:rPr>
          <w:lang w:val="en-US"/>
        </w:rPr>
        <w:t>.</w:t>
      </w:r>
      <w:r w:rsidR="00C66B87" w:rsidRPr="00A4272B">
        <w:rPr>
          <w:rStyle w:val="FootnoteReference"/>
          <w:lang w:val="en-US"/>
        </w:rPr>
        <w:footnoteReference w:id="16"/>
      </w:r>
    </w:p>
    <w:p w14:paraId="5A3506B9" w14:textId="77777777" w:rsidR="00365739" w:rsidRPr="00A4272B" w:rsidRDefault="00365739" w:rsidP="00365739">
      <w:pPr>
        <w:rPr>
          <w:lang w:val="en-US"/>
        </w:rPr>
      </w:pPr>
      <w:r w:rsidRPr="00A4272B">
        <w:rPr>
          <w:lang w:val="en-US"/>
        </w:rPr>
        <w:t xml:space="preserve">The OSPAR Commission (OSPAR, 2013) has developed comprehensive guidance for sampling, sample preparation, and analysis of POPs in marine environments, particularly in water, sediment, and biota. These guidelines are widely applicable to marine biota, and many principles extend to freshwater monitoring. OSPAR also provides specific recommendations for sediment sampling. HELCOM largely builds on OSPAR's SOPs but expands its focus to include terrestrial and freshwater environments. In East Asia, Japan’s Ministry of the Environment has monitored POPs in wildlife since 1978 and in sediments since 1985. Japan also publishes annual monitoring results on POPs, dioxins, furans, and dioxin-like PCBs (dl-PCBs), the latter being regulated separately due to their classification as unintentionally released POPs (JMOE, 2016 and 2017). NOWPAP POMRAC (2015) provides additional guidance for </w:t>
      </w:r>
      <w:r w:rsidRPr="00A4272B">
        <w:rPr>
          <w:lang w:val="en-US"/>
        </w:rPr>
        <w:lastRenderedPageBreak/>
        <w:t>POPs monitoring across air, surface water, sediments, and biota, as well as for dioxins/furans/dl-PCBs in soils, groundwater, and sediments.</w:t>
      </w:r>
    </w:p>
    <w:p w14:paraId="752E92AE" w14:textId="6E5E71FE" w:rsidR="00365739" w:rsidRPr="00A4272B" w:rsidRDefault="00365739" w:rsidP="00365739">
      <w:pPr>
        <w:rPr>
          <w:lang w:val="en-US"/>
        </w:rPr>
      </w:pPr>
      <w:r w:rsidRPr="00A4272B">
        <w:rPr>
          <w:lang w:val="en-US"/>
        </w:rPr>
        <w:t xml:space="preserve">The EU Water Framework Directive (2000/60/EC) includes specific guidance for sediment and biota monitoring under its Common Implementation Strategy (Carere et al., 2012). This provides a structured framework for ensuring consistency in POP monitoring across EU member states. However, national </w:t>
      </w:r>
      <w:r w:rsidR="008F74AD" w:rsidRPr="00A4272B">
        <w:rPr>
          <w:lang w:val="en-US"/>
        </w:rPr>
        <w:t>programmes</w:t>
      </w:r>
      <w:r w:rsidRPr="00A4272B">
        <w:rPr>
          <w:lang w:val="en-US"/>
        </w:rPr>
        <w:t xml:space="preserve"> typically dictate field sampling methods to align with local infrastructure and practices, which can impact the comparability of data. To address this, inter-calibration of methods and participation in QA/QC exercises are essential for ensuring harmonized data collection and analysis.</w:t>
      </w:r>
    </w:p>
    <w:p w14:paraId="1373202D" w14:textId="3D19A362" w:rsidR="00365739" w:rsidRPr="00A4272B" w:rsidRDefault="00365739" w:rsidP="00365739">
      <w:pPr>
        <w:rPr>
          <w:lang w:val="en-US"/>
        </w:rPr>
      </w:pPr>
      <w:r w:rsidRPr="00A4272B">
        <w:rPr>
          <w:lang w:val="en-US"/>
        </w:rPr>
        <w:t xml:space="preserve">An important aspect of POP monitoring is the inclusion of </w:t>
      </w:r>
      <w:r w:rsidR="001175A0" w:rsidRPr="00A4272B">
        <w:rPr>
          <w:lang w:val="en-US"/>
        </w:rPr>
        <w:t>i</w:t>
      </w:r>
      <w:r w:rsidRPr="00A4272B">
        <w:rPr>
          <w:lang w:val="en-US"/>
        </w:rPr>
        <w:t xml:space="preserve">ndigenous collaboration. Indigenous Knowledge (IK) and Indigenous Ecological Knowledge (IEK) play a critical role in environmental monitoring, particularly in regions where traditional knowledge can provide unique insights into local ecosystems. Guidance and resources for </w:t>
      </w:r>
      <w:r w:rsidR="001175A0" w:rsidRPr="00A4272B">
        <w:rPr>
          <w:lang w:val="en-US"/>
        </w:rPr>
        <w:t>i</w:t>
      </w:r>
      <w:r w:rsidRPr="00A4272B">
        <w:rPr>
          <w:lang w:val="en-US"/>
        </w:rPr>
        <w:t xml:space="preserve">ndigenous cooperation are available through </w:t>
      </w:r>
      <w:r w:rsidR="008F74AD" w:rsidRPr="00A4272B">
        <w:rPr>
          <w:lang w:val="en-US"/>
        </w:rPr>
        <w:t>programmes</w:t>
      </w:r>
      <w:r w:rsidRPr="00A4272B">
        <w:rPr>
          <w:lang w:val="en-US"/>
        </w:rPr>
        <w:t xml:space="preserve"> like the Northern Contaminants Programme,</w:t>
      </w:r>
      <w:r w:rsidRPr="00A4272B">
        <w:rPr>
          <w:rStyle w:val="FootnoteReference"/>
          <w:lang w:val="en-US"/>
        </w:rPr>
        <w:footnoteReference w:id="17"/>
      </w:r>
      <w:r w:rsidRPr="00A4272B">
        <w:rPr>
          <w:lang w:val="en-US"/>
        </w:rPr>
        <w:t xml:space="preserve"> which highlights collaborative approaches to sampling and assessment.</w:t>
      </w:r>
    </w:p>
    <w:p w14:paraId="5C34609A" w14:textId="790671D0" w:rsidR="00BD23E8" w:rsidRPr="00A4272B" w:rsidRDefault="00365739" w:rsidP="00365739">
      <w:pPr>
        <w:rPr>
          <w:lang w:val="en-US"/>
        </w:rPr>
      </w:pPr>
      <w:r w:rsidRPr="00A4272B">
        <w:rPr>
          <w:lang w:val="en-US"/>
        </w:rPr>
        <w:t>This compilation of methodologies, resources, and guidance documents reflects a wealth of international expertise and demonstrates the collaborative efforts necessary to achieve robust and effective POP monitoring worldwide.</w:t>
      </w:r>
    </w:p>
    <w:p w14:paraId="65D9CFFE" w14:textId="5B779104" w:rsidR="00F3536C" w:rsidRPr="00A4272B" w:rsidRDefault="001F665D" w:rsidP="00817D9F">
      <w:pPr>
        <w:pStyle w:val="Heading3"/>
        <w:rPr>
          <w:rFonts w:hint="eastAsia"/>
        </w:rPr>
      </w:pPr>
      <w:bookmarkStart w:id="347" w:name="_Toc535584370"/>
      <w:bookmarkStart w:id="348" w:name="_Toc531671"/>
      <w:bookmarkStart w:id="349" w:name="_Toc532191"/>
      <w:bookmarkStart w:id="350" w:name="_Toc532404"/>
      <w:bookmarkStart w:id="351" w:name="_Toc1467897"/>
      <w:bookmarkStart w:id="352" w:name="_Toc1468070"/>
      <w:bookmarkStart w:id="353" w:name="_Toc1483954"/>
      <w:bookmarkStart w:id="354" w:name="_Toc65306498"/>
      <w:bookmarkStart w:id="355" w:name="_Toc187270508"/>
      <w:bookmarkEnd w:id="339"/>
      <w:bookmarkEnd w:id="340"/>
      <w:bookmarkEnd w:id="341"/>
      <w:bookmarkEnd w:id="342"/>
      <w:bookmarkEnd w:id="343"/>
      <w:bookmarkEnd w:id="344"/>
      <w:bookmarkEnd w:id="345"/>
      <w:bookmarkEnd w:id="346"/>
      <w:r w:rsidRPr="00A4272B">
        <w:t>4</w:t>
      </w:r>
      <w:r w:rsidR="00F3536C" w:rsidRPr="00A4272B">
        <w:t>.4.</w:t>
      </w:r>
      <w:r w:rsidR="005416BE" w:rsidRPr="00A4272B">
        <w:t>8</w:t>
      </w:r>
      <w:r w:rsidR="003F2C0A" w:rsidRPr="00A4272B">
        <w:tab/>
      </w:r>
      <w:bookmarkEnd w:id="347"/>
      <w:bookmarkEnd w:id="348"/>
      <w:bookmarkEnd w:id="349"/>
      <w:bookmarkEnd w:id="350"/>
      <w:bookmarkEnd w:id="351"/>
      <w:bookmarkEnd w:id="352"/>
      <w:bookmarkEnd w:id="353"/>
      <w:bookmarkEnd w:id="354"/>
      <w:r w:rsidR="0068417E" w:rsidRPr="00A4272B">
        <w:t>The role of specimen banking in POPs monitoring</w:t>
      </w:r>
      <w:bookmarkEnd w:id="355"/>
    </w:p>
    <w:p w14:paraId="6097BF5F" w14:textId="2BCAB27C" w:rsidR="00365739" w:rsidRPr="00A4272B" w:rsidRDefault="00365739" w:rsidP="00365739">
      <w:pPr>
        <w:rPr>
          <w:lang w:val="en-US"/>
        </w:rPr>
      </w:pPr>
      <w:r w:rsidRPr="00A4272B">
        <w:rPr>
          <w:lang w:val="en-US"/>
        </w:rPr>
        <w:t xml:space="preserve">Specimen banking plays a vital role in environmental research across various media and has consistently demonstrated its value. The GMP 2016 Global Report highlights: “Natural archives (e.g., sediment and ice cores, tree rings, etc.) and sample banks have proven useful for retrospective analysis of POPs occurrence and temporal changes, especially for newly listed substances and to expand spatial coverage in regions with limited data.” The report further emphasizes the importance of encouraging information exchange and collaboration with existing monitoring </w:t>
      </w:r>
      <w:r w:rsidR="008F74AD" w:rsidRPr="00A4272B">
        <w:rPr>
          <w:lang w:val="en-US"/>
        </w:rPr>
        <w:t>programmes</w:t>
      </w:r>
      <w:r w:rsidRPr="00A4272B">
        <w:rPr>
          <w:lang w:val="en-US"/>
        </w:rPr>
        <w:t xml:space="preserve"> and specimen banks across media to support the data needs of the GMP.</w:t>
      </w:r>
      <w:r w:rsidR="0068417E" w:rsidRPr="00A4272B">
        <w:rPr>
          <w:lang w:val="en-US"/>
        </w:rPr>
        <w:t xml:space="preserve"> For more detailed guidance on the integration of specimen banking into POPs monitoring strategies and its applications in data interpretation, readers are encouraged to refer to Chapter 8.</w:t>
      </w:r>
    </w:p>
    <w:p w14:paraId="38959959" w14:textId="348B71D2" w:rsidR="00365739" w:rsidRPr="00A4272B" w:rsidRDefault="00365739" w:rsidP="00365739">
      <w:pPr>
        <w:rPr>
          <w:lang w:val="en-US"/>
        </w:rPr>
      </w:pPr>
      <w:r w:rsidRPr="00A4272B">
        <w:rPr>
          <w:lang w:val="en-US"/>
        </w:rPr>
        <w:t xml:space="preserve">Many </w:t>
      </w:r>
      <w:r w:rsidR="001175A0" w:rsidRPr="00A4272B">
        <w:rPr>
          <w:lang w:val="en-US"/>
        </w:rPr>
        <w:t>e</w:t>
      </w:r>
      <w:r w:rsidRPr="00A4272B">
        <w:rPr>
          <w:lang w:val="en-US"/>
        </w:rPr>
        <w:t xml:space="preserve">nvironmental </w:t>
      </w:r>
      <w:r w:rsidR="001175A0" w:rsidRPr="00A4272B">
        <w:rPr>
          <w:lang w:val="en-US"/>
        </w:rPr>
        <w:t>s</w:t>
      </w:r>
      <w:r w:rsidRPr="00A4272B">
        <w:rPr>
          <w:lang w:val="en-US"/>
        </w:rPr>
        <w:t xml:space="preserve">pecimen </w:t>
      </w:r>
      <w:r w:rsidR="001175A0" w:rsidRPr="00A4272B">
        <w:rPr>
          <w:lang w:val="en-US"/>
        </w:rPr>
        <w:t>b</w:t>
      </w:r>
      <w:r w:rsidRPr="00A4272B">
        <w:rPr>
          <w:lang w:val="en-US"/>
        </w:rPr>
        <w:t xml:space="preserve">ank (ESB) facilities have developed </w:t>
      </w:r>
      <w:r w:rsidR="001175A0" w:rsidRPr="00A4272B">
        <w:rPr>
          <w:lang w:val="en-US"/>
        </w:rPr>
        <w:t>s</w:t>
      </w:r>
      <w:r w:rsidRPr="00A4272B">
        <w:rPr>
          <w:lang w:val="en-US"/>
        </w:rPr>
        <w:t xml:space="preserve">tandard </w:t>
      </w:r>
      <w:r w:rsidR="001175A0" w:rsidRPr="00A4272B">
        <w:rPr>
          <w:lang w:val="en-US"/>
        </w:rPr>
        <w:t>o</w:t>
      </w:r>
      <w:r w:rsidRPr="00A4272B">
        <w:rPr>
          <w:lang w:val="en-US"/>
        </w:rPr>
        <w:t xml:space="preserve">perating </w:t>
      </w:r>
      <w:r w:rsidR="001175A0" w:rsidRPr="00A4272B">
        <w:rPr>
          <w:lang w:val="en-US"/>
        </w:rPr>
        <w:t>p</w:t>
      </w:r>
      <w:r w:rsidRPr="00A4272B">
        <w:rPr>
          <w:lang w:val="en-US"/>
        </w:rPr>
        <w:t>rocedures (SOPs) for sampling and storage, some of which are publicly accessible online. The International Society of Biological and Environmental Repositories (ISBER) serves as a global platform for addressing technical, legal, managerial, and ethical considerations related to biological and environmental specimen repositories. ISBER has published the 4th edition of its Best Practices: Recommendations for Repositories (Campbell et al., 2018), offering guidance for effective management and use of specimen banks. Comprehensive information on ESBs is also available on the International Environmental Specimen Bank Group website, supported by the Federal Environment Agency of Germany (</w:t>
      </w:r>
      <w:hyperlink r:id="rId52" w:tgtFrame="_new" w:history="1">
        <w:r w:rsidRPr="00A4272B">
          <w:rPr>
            <w:rStyle w:val="Hyperlink"/>
            <w:lang w:val="en-US"/>
          </w:rPr>
          <w:t>http://www.inter-esb.org/index.html</w:t>
        </w:r>
      </w:hyperlink>
      <w:r w:rsidRPr="00A4272B">
        <w:rPr>
          <w:lang w:val="en-US"/>
        </w:rPr>
        <w:t>). Fliedner et al. (2016) further illustrate how specimen collections can be effectively utilized to address data requirements under frameworks such as the EU Water Framework Directive (WFD), the Stockholm Convention’s GMP, and for broader assessments of environmental chemical trends.</w:t>
      </w:r>
    </w:p>
    <w:p w14:paraId="480E7D7B" w14:textId="34370C34" w:rsidR="00F3536C" w:rsidRPr="00A4272B" w:rsidRDefault="001F665D" w:rsidP="00817D9F">
      <w:pPr>
        <w:pStyle w:val="Heading3"/>
        <w:rPr>
          <w:rFonts w:hint="eastAsia"/>
        </w:rPr>
      </w:pPr>
      <w:bookmarkStart w:id="356" w:name="_Toc535584371"/>
      <w:bookmarkStart w:id="357" w:name="_Toc531672"/>
      <w:bookmarkStart w:id="358" w:name="_Toc532192"/>
      <w:bookmarkStart w:id="359" w:name="_Toc532405"/>
      <w:bookmarkStart w:id="360" w:name="_Toc1467898"/>
      <w:bookmarkStart w:id="361" w:name="_Toc1468071"/>
      <w:bookmarkStart w:id="362" w:name="_Toc1483955"/>
      <w:bookmarkStart w:id="363" w:name="_Toc65306499"/>
      <w:bookmarkStart w:id="364" w:name="_Toc187270509"/>
      <w:r w:rsidRPr="00A4272B">
        <w:t>4</w:t>
      </w:r>
      <w:r w:rsidR="00F3536C" w:rsidRPr="00A4272B">
        <w:t>.4.</w:t>
      </w:r>
      <w:r w:rsidR="005416BE" w:rsidRPr="00A4272B">
        <w:t>9</w:t>
      </w:r>
      <w:r w:rsidR="007D2ABE" w:rsidRPr="00A4272B">
        <w:tab/>
      </w:r>
      <w:r w:rsidR="00F3536C" w:rsidRPr="00A4272B">
        <w:t>Data flow, models and archive</w:t>
      </w:r>
      <w:bookmarkEnd w:id="356"/>
      <w:bookmarkEnd w:id="357"/>
      <w:bookmarkEnd w:id="358"/>
      <w:bookmarkEnd w:id="359"/>
      <w:bookmarkEnd w:id="360"/>
      <w:bookmarkEnd w:id="361"/>
      <w:bookmarkEnd w:id="362"/>
      <w:bookmarkEnd w:id="363"/>
      <w:r w:rsidR="00365739" w:rsidRPr="00A4272B">
        <w:t>s</w:t>
      </w:r>
      <w:bookmarkEnd w:id="364"/>
    </w:p>
    <w:p w14:paraId="67C1DA14" w14:textId="6AE4478D" w:rsidR="00365739" w:rsidRPr="00A4272B" w:rsidRDefault="00365739" w:rsidP="00365739">
      <w:pPr>
        <w:rPr>
          <w:lang w:val="en-US"/>
        </w:rPr>
      </w:pPr>
      <w:r w:rsidRPr="00A4272B">
        <w:rPr>
          <w:lang w:val="en-US"/>
        </w:rPr>
        <w:t xml:space="preserve">Multimedia ecosystem modeling of POPs is critical for interpreting long-term monitoring data and linking it to control measures and environmental actions. These models provide a comprehensive understanding of the pathways, behaviors, and persistence of POPs across various environmental compartments, including air, water, soil, and biota. They also facilitate the assessment of the relationships between pollutant emissions, environmental concentrations, and potential ecological or human health risks. This integrated approach is vital for answering many pressing questions, such as identifying pathways and time lags between releases and observed concentrations, evaluating the effectiveness of regulatory control measures, and understanding the impacts of climate change and biodiversity loss </w:t>
      </w:r>
      <w:r w:rsidR="009425D0" w:rsidRPr="00A4272B">
        <w:rPr>
          <w:lang w:val="en-US"/>
        </w:rPr>
        <w:t>in relation to</w:t>
      </w:r>
      <w:r w:rsidRPr="00A4272B">
        <w:rPr>
          <w:lang w:val="en-US"/>
        </w:rPr>
        <w:t xml:space="preserve"> POP distribution and behavior.</w:t>
      </w:r>
    </w:p>
    <w:p w14:paraId="12D8221C" w14:textId="7EC87FFF" w:rsidR="00365739" w:rsidRPr="00A4272B" w:rsidRDefault="00365739" w:rsidP="00365739">
      <w:pPr>
        <w:rPr>
          <w:lang w:val="en-US"/>
        </w:rPr>
      </w:pPr>
      <w:r w:rsidRPr="00A4272B">
        <w:rPr>
          <w:lang w:val="en-US"/>
        </w:rPr>
        <w:t>To maximize the utility of the extensive POP monitoring data collected over the past four decades, integrating it into ecosystem models and long-range transport (LRT) models is essential. These models can simulate how POPs move through and accumulate within ecosystems, helping policymakers design effective measures to mitigate pollution and prevent foreseeable challenges. They also allow for scenario testing, such as predicting the effects of new control measures or changes in environmental conditions. For example, AMAP 2016 report provides an excellent illustration of such integrated modeling efforts, demonstrating how monitoring data, ecosystem models, and LRT analyses can inform effective environmental decision-making.</w:t>
      </w:r>
    </w:p>
    <w:p w14:paraId="08A154C8" w14:textId="71811C0B" w:rsidR="00365739" w:rsidRPr="00A4272B" w:rsidRDefault="00365739" w:rsidP="00365739">
      <w:pPr>
        <w:rPr>
          <w:lang w:val="en-US"/>
        </w:rPr>
      </w:pPr>
      <w:r w:rsidRPr="00A4272B">
        <w:rPr>
          <w:lang w:val="en-US"/>
        </w:rPr>
        <w:t xml:space="preserve">Archiving this data within accessible and well-maintained repositories ensures its availability for current and future research. The ability to revisit historical datasets and integrate them with new data streams enhances scientific understanding of POP dynamics and supports adaptive management approaches. Data flow from monitoring </w:t>
      </w:r>
      <w:r w:rsidR="008F74AD" w:rsidRPr="00A4272B">
        <w:rPr>
          <w:lang w:val="en-US"/>
        </w:rPr>
        <w:lastRenderedPageBreak/>
        <w:t>programmes</w:t>
      </w:r>
      <w:r w:rsidRPr="00A4272B">
        <w:rPr>
          <w:lang w:val="en-US"/>
        </w:rPr>
        <w:t xml:space="preserve"> to centralized archives, combined with transparent data sharing and international collaboration, is key to advancing global efforts to manage POPs and their impacts on ecosystems and human health.</w:t>
      </w:r>
    </w:p>
    <w:p w14:paraId="217B6301" w14:textId="62BB7CE2" w:rsidR="00F3536C" w:rsidRPr="00A4272B" w:rsidRDefault="007D2ABE" w:rsidP="002A04E0">
      <w:pPr>
        <w:pStyle w:val="GMPHeading1"/>
        <w:rPr>
          <w:rFonts w:hint="eastAsia"/>
        </w:rPr>
      </w:pPr>
      <w:bookmarkStart w:id="365" w:name="_Toc187270510"/>
      <w:r w:rsidRPr="00A4272B">
        <w:rPr>
          <w:noProof/>
        </w:rPr>
        <w:t>5.</w:t>
      </w:r>
      <w:r w:rsidRPr="00A4272B">
        <w:rPr>
          <w:noProof/>
        </w:rPr>
        <w:tab/>
      </w:r>
      <w:r w:rsidR="00F3536C" w:rsidRPr="00A4272B">
        <w:t>Analytical methodology</w:t>
      </w:r>
      <w:bookmarkEnd w:id="365"/>
    </w:p>
    <w:p w14:paraId="1591D064" w14:textId="1359F352" w:rsidR="00F3536C" w:rsidRPr="00A4272B" w:rsidRDefault="007D2ABE" w:rsidP="009C51C6">
      <w:pPr>
        <w:pStyle w:val="GMPHeading2"/>
        <w:tabs>
          <w:tab w:val="clear" w:pos="360"/>
          <w:tab w:val="clear" w:pos="450"/>
          <w:tab w:val="clear" w:pos="540"/>
          <w:tab w:val="clear" w:pos="630"/>
        </w:tabs>
        <w:rPr>
          <w:rFonts w:hint="eastAsia"/>
        </w:rPr>
      </w:pPr>
      <w:bookmarkStart w:id="366" w:name="_Toc187270511"/>
      <w:r w:rsidRPr="00A4272B">
        <w:t>5.1</w:t>
      </w:r>
      <w:r w:rsidRPr="00A4272B">
        <w:tab/>
      </w:r>
      <w:r w:rsidR="00F3536C" w:rsidRPr="00A4272B">
        <w:t>Sampling</w:t>
      </w:r>
      <w:bookmarkEnd w:id="366"/>
    </w:p>
    <w:p w14:paraId="5BC8E4F9" w14:textId="77777777" w:rsidR="00F0172A" w:rsidRPr="00A4272B" w:rsidRDefault="00F0172A" w:rsidP="00F0172A">
      <w:pPr>
        <w:rPr>
          <w:color w:val="000000"/>
          <w:lang w:val="en-US"/>
        </w:rPr>
      </w:pPr>
      <w:r w:rsidRPr="00A4272B">
        <w:rPr>
          <w:color w:val="000000"/>
          <w:lang w:val="en-US"/>
        </w:rPr>
        <w:t>The goal of any sampling activity is to obtain a sample that accurately meets the study’s objectives. To achieve this, ensuring the representativeness and integrity of the sample throughout the sampling process is essential. Quality requirements related to equipment, transportation, standardization, and traceability are also critical. All sampling procedures should be agreed upon and documented before beginning a sampling campaign.</w:t>
      </w:r>
    </w:p>
    <w:p w14:paraId="6F8A8E04" w14:textId="45B58B79" w:rsidR="00F0172A" w:rsidRPr="00A4272B" w:rsidRDefault="00F0172A" w:rsidP="00F0172A">
      <w:pPr>
        <w:rPr>
          <w:color w:val="000000"/>
          <w:lang w:val="en-US"/>
        </w:rPr>
      </w:pPr>
      <w:r w:rsidRPr="00A4272B">
        <w:rPr>
          <w:color w:val="000000"/>
          <w:lang w:val="en-US"/>
        </w:rPr>
        <w:t xml:space="preserve">First, a sampling strategy should be developed, considering the sampling objective, scope, and available resources. Key factors—including the analyte, matrix, sampling site, timing or frequency, and conditions—should be determined based on the sampling objective. Detailed guidance on sampling for air, human milk/blood, water, and other relevant matrices, as well as instructions on sample pre-preparation, are provided in </w:t>
      </w:r>
      <w:r w:rsidR="00483628" w:rsidRPr="00A4272B">
        <w:rPr>
          <w:color w:val="000000"/>
          <w:lang w:val="en-US"/>
        </w:rPr>
        <w:t>chapters</w:t>
      </w:r>
      <w:r w:rsidRPr="00A4272B">
        <w:rPr>
          <w:color w:val="000000"/>
          <w:lang w:val="en-US"/>
        </w:rPr>
        <w:t xml:space="preserve"> 4.1.1, 4.2.3, 4.3.2, and 4.4.1, respectively. For human samples, it may also be necessary to use an appropriate interview form and obtain ethical clearance from relevant authorities before sampling.</w:t>
      </w:r>
    </w:p>
    <w:p w14:paraId="4E996695" w14:textId="1B21D1C4" w:rsidR="00F3536C" w:rsidRPr="00A4272B" w:rsidRDefault="00F0172A" w:rsidP="00F0172A">
      <w:pPr>
        <w:rPr>
          <w:color w:val="000000"/>
          <w:lang w:val="en-US"/>
        </w:rPr>
      </w:pPr>
      <w:r w:rsidRPr="00A4272B">
        <w:rPr>
          <w:color w:val="000000"/>
          <w:lang w:val="en-US"/>
        </w:rPr>
        <w:t>Quality Assurance and Quality Control (QA/QC) procedures should be established for sampling activities.</w:t>
      </w:r>
    </w:p>
    <w:p w14:paraId="6E014302" w14:textId="522E9DDB" w:rsidR="00F3536C" w:rsidRPr="00A4272B" w:rsidRDefault="007D2ABE" w:rsidP="009C51C6">
      <w:pPr>
        <w:pStyle w:val="GMPHeading2"/>
        <w:tabs>
          <w:tab w:val="clear" w:pos="360"/>
          <w:tab w:val="clear" w:pos="450"/>
          <w:tab w:val="clear" w:pos="540"/>
          <w:tab w:val="clear" w:pos="630"/>
        </w:tabs>
        <w:rPr>
          <w:rFonts w:hint="eastAsia"/>
        </w:rPr>
      </w:pPr>
      <w:bookmarkStart w:id="367" w:name="_Toc159831861"/>
      <w:bookmarkStart w:id="368" w:name="_Toc187270512"/>
      <w:r w:rsidRPr="00A4272B">
        <w:t>5.2</w:t>
      </w:r>
      <w:r w:rsidRPr="00A4272B">
        <w:tab/>
      </w:r>
      <w:r w:rsidR="00F3536C" w:rsidRPr="00A4272B">
        <w:t>Extraction and clean-up</w:t>
      </w:r>
      <w:bookmarkEnd w:id="367"/>
      <w:bookmarkEnd w:id="368"/>
    </w:p>
    <w:p w14:paraId="744355D5" w14:textId="77777777" w:rsidR="00F0172A" w:rsidRPr="00A4272B" w:rsidRDefault="00F0172A" w:rsidP="00F0172A">
      <w:pPr>
        <w:rPr>
          <w:color w:val="000000"/>
          <w:lang w:val="en-US"/>
        </w:rPr>
      </w:pPr>
      <w:r w:rsidRPr="00A4272B">
        <w:rPr>
          <w:color w:val="000000"/>
          <w:lang w:val="en-US"/>
        </w:rPr>
        <w:t>An appropriately prepared sample can be extracted using various techniques. Key factors to consider include selecting a suitable solvent or solvent mixture (depending on the matrix and any pre-treatment, such as drying) and allowing adequate exposure time for the solvent to interact with the sample matrix. Extraction techniques may include Soxhlet extraction, Twisselmann hot extraction, or semi-automated methods such as pressurized fluid extraction (PFE) or pressurized liquid extraction (PLE), as specified in EPA method 3545A for soils and sediments. Ultrasonication can also be used to accelerate extraction.</w:t>
      </w:r>
    </w:p>
    <w:p w14:paraId="10345399" w14:textId="17F91A26" w:rsidR="00F0172A" w:rsidRPr="00A4272B" w:rsidRDefault="00F0172A" w:rsidP="00F0172A">
      <w:pPr>
        <w:rPr>
          <w:color w:val="000000"/>
          <w:lang w:val="en-US"/>
        </w:rPr>
      </w:pPr>
      <w:r w:rsidRPr="00A4272B">
        <w:rPr>
          <w:color w:val="000000"/>
          <w:lang w:val="en-US"/>
        </w:rPr>
        <w:t>Internal standards should be added early in the process—preferably before extraction—to monitor the efficiency of extraction and cleanup procedures. To prevent cross-contamination from residues of POPs in previous samples, all equipment must be thoroughly cleaned and checked between batches. Only high-</w:t>
      </w:r>
      <w:r w:rsidR="00002B29" w:rsidRPr="00A4272B">
        <w:rPr>
          <w:color w:val="000000"/>
          <w:lang w:val="en-US"/>
        </w:rPr>
        <w:t>purity</w:t>
      </w:r>
      <w:r w:rsidRPr="00A4272B">
        <w:rPr>
          <w:color w:val="000000"/>
          <w:lang w:val="en-US"/>
        </w:rPr>
        <w:t xml:space="preserve"> glass-distilled solvents should be used to maintain extraction quality.</w:t>
      </w:r>
    </w:p>
    <w:p w14:paraId="0AB83CCD" w14:textId="4EDEBC0F" w:rsidR="00F0172A" w:rsidRPr="00A4272B" w:rsidRDefault="00F0172A" w:rsidP="00F0172A">
      <w:pPr>
        <w:rPr>
          <w:color w:val="000000"/>
          <w:lang w:val="en-US"/>
        </w:rPr>
      </w:pPr>
      <w:r w:rsidRPr="00A4272B">
        <w:rPr>
          <w:color w:val="000000"/>
          <w:lang w:val="en-US"/>
        </w:rPr>
        <w:t xml:space="preserve">When results are reported on a lipid weight basis, it is critical to determine the sample's lipid content, as solvent selection impacts lipid extraction (Jensen et al., 2003). If not </w:t>
      </w:r>
      <w:r w:rsidR="00002B29" w:rsidRPr="00A4272B">
        <w:rPr>
          <w:color w:val="000000"/>
          <w:lang w:val="en-US"/>
        </w:rPr>
        <w:t>all</w:t>
      </w:r>
      <w:r w:rsidRPr="00A4272B">
        <w:rPr>
          <w:color w:val="000000"/>
          <w:lang w:val="en-US"/>
        </w:rPr>
        <w:t xml:space="preserve"> the </w:t>
      </w:r>
      <w:r w:rsidR="00002B29" w:rsidRPr="00A4272B">
        <w:rPr>
          <w:color w:val="000000"/>
          <w:lang w:val="en-US"/>
        </w:rPr>
        <w:t>samples are</w:t>
      </w:r>
      <w:r w:rsidRPr="00A4272B">
        <w:rPr>
          <w:color w:val="000000"/>
          <w:lang w:val="en-US"/>
        </w:rPr>
        <w:t xml:space="preserve"> used for extraction, the remainder can be frozen for future analyses. Extracts not immediately analyzed should be stored, preferably in glass ampoules, at -20°C.</w:t>
      </w:r>
    </w:p>
    <w:p w14:paraId="2175784D" w14:textId="744D39EE" w:rsidR="00F0172A" w:rsidRPr="00A4272B" w:rsidRDefault="00F0172A" w:rsidP="00817D9F">
      <w:pPr>
        <w:pStyle w:val="Heading4"/>
        <w:rPr>
          <w:rFonts w:hint="eastAsia"/>
        </w:rPr>
      </w:pPr>
      <w:r w:rsidRPr="00A4272B">
        <w:t>Cleanup procedures</w:t>
      </w:r>
    </w:p>
    <w:p w14:paraId="15D86B68" w14:textId="77777777" w:rsidR="00F0172A" w:rsidRPr="00A4272B" w:rsidRDefault="00F0172A" w:rsidP="00F0172A">
      <w:pPr>
        <w:rPr>
          <w:color w:val="000000"/>
          <w:lang w:val="en-US"/>
        </w:rPr>
      </w:pPr>
      <w:r w:rsidRPr="00A4272B">
        <w:rPr>
          <w:color w:val="000000"/>
          <w:lang w:val="en-US"/>
        </w:rPr>
        <w:t>For samples with low lipid content (e.g., air samples), cleanup is typically straightforward. Small silica gel or Florisil columns (lab-prepared or pre-purchased) effectively remove co-extractive interferences. This step also separates non-polar compounds, such as PCBs, HCB, and 4,4'-DDE, from more polar POPs like HCH, chlordanes, and dieldrin/endrin. Fractionation is achieved by applying the extract in a non-polar solvent and eluting with hexane or iso-octane, followed by additional elutions of increasing polarity.</w:t>
      </w:r>
    </w:p>
    <w:p w14:paraId="696925CB" w14:textId="77777777" w:rsidR="00F0172A" w:rsidRPr="00A4272B" w:rsidRDefault="00F0172A" w:rsidP="00F0172A">
      <w:pPr>
        <w:rPr>
          <w:color w:val="000000"/>
          <w:lang w:val="en-US"/>
        </w:rPr>
      </w:pPr>
      <w:r w:rsidRPr="00A4272B">
        <w:rPr>
          <w:color w:val="000000"/>
          <w:lang w:val="en-US"/>
        </w:rPr>
        <w:t>For human samples, lipid removal is necessary, often accomplished with size exclusion or gel permeation chromatography (GPC), which is non-destructive but requires larger solvent volumes. Other lipid removal options include sulfuric acid washing or sulfuric acid–silica columns, though these methods may result in some analyte loss (e.g., dieldrin). Alumina columns eluted with pentane provide a high-capacity, simple alternative for fat removal. Following fractionation, concentrated sulfuric acid treatment helps purify the extract, though sensitive compounds like dieldrin and endrin should be analyzed before this step.</w:t>
      </w:r>
    </w:p>
    <w:p w14:paraId="6950D81D" w14:textId="4D8A89FB" w:rsidR="00F0172A" w:rsidRPr="00A4272B" w:rsidRDefault="00F0172A" w:rsidP="00F0172A">
      <w:pPr>
        <w:rPr>
          <w:color w:val="000000"/>
          <w:lang w:val="en-US"/>
        </w:rPr>
      </w:pPr>
      <w:r w:rsidRPr="00A4272B">
        <w:rPr>
          <w:color w:val="000000"/>
          <w:lang w:val="en-US"/>
        </w:rPr>
        <w:t xml:space="preserve">After fractionation on silica or Florisil, final extracts are transferred to small gas chromatography (GC) vials for analysis. Adding a recovery standard at this stage helps verify solvent volume accuracy. Careful evaporation, using only </w:t>
      </w:r>
      <w:r w:rsidR="00002B29" w:rsidRPr="00A4272B">
        <w:rPr>
          <w:color w:val="000000"/>
          <w:lang w:val="en-US"/>
        </w:rPr>
        <w:t>high purity</w:t>
      </w:r>
      <w:r w:rsidRPr="00A4272B">
        <w:rPr>
          <w:color w:val="000000"/>
          <w:lang w:val="en-US"/>
        </w:rPr>
        <w:t xml:space="preserve"> compressed gas (e.g., nitrogen), is recommended.</w:t>
      </w:r>
    </w:p>
    <w:p w14:paraId="081C5202" w14:textId="1D47DE6B" w:rsidR="00F0172A" w:rsidRPr="00A4272B" w:rsidRDefault="00F0172A" w:rsidP="00817D9F">
      <w:pPr>
        <w:pStyle w:val="Heading4"/>
        <w:rPr>
          <w:rFonts w:hint="eastAsia"/>
        </w:rPr>
      </w:pPr>
      <w:r w:rsidRPr="00A4272B">
        <w:t>Analytical methods for PCDDs/Fs and dioxin-like PCBs</w:t>
      </w:r>
    </w:p>
    <w:p w14:paraId="50D64719" w14:textId="535B7069" w:rsidR="00F0172A" w:rsidRPr="00A4272B" w:rsidRDefault="00F0172A" w:rsidP="00F0172A">
      <w:pPr>
        <w:rPr>
          <w:color w:val="000000"/>
          <w:lang w:val="en-US"/>
        </w:rPr>
      </w:pPr>
      <w:r w:rsidRPr="00A4272B">
        <w:rPr>
          <w:color w:val="000000"/>
          <w:lang w:val="en-US"/>
        </w:rPr>
        <w:t xml:space="preserve">Analyzing </w:t>
      </w:r>
      <w:r w:rsidR="0051584B" w:rsidRPr="00A4272B">
        <w:rPr>
          <w:color w:val="000000"/>
          <w:lang w:val="en-US"/>
        </w:rPr>
        <w:t>PCDDs/Fs</w:t>
      </w:r>
      <w:r w:rsidRPr="00A4272B">
        <w:rPr>
          <w:color w:val="000000"/>
          <w:lang w:val="en-US"/>
        </w:rPr>
        <w:t xml:space="preserve"> and dioxin-like PCBs requires much lower detection limits (typically 10-100 times lower than routine PCBs and OCPs) due to their low environmental concentrations and stringent regulatory limits. For instance, the Provisional Tolerable Monthly Intake is 70 pg/kg body weight (JEFCA, 2001). Isotope dilution mass spectrometry (MS) using </w:t>
      </w:r>
      <w:r w:rsidRPr="00A4272B">
        <w:rPr>
          <w:color w:val="000000"/>
          <w:vertAlign w:val="superscript"/>
          <w:lang w:val="en-US"/>
        </w:rPr>
        <w:t>13</w:t>
      </w:r>
      <w:r w:rsidRPr="00A4272B">
        <w:rPr>
          <w:color w:val="000000"/>
          <w:lang w:val="en-US"/>
        </w:rPr>
        <w:t xml:space="preserve">C-labeled surrogates for all </w:t>
      </w:r>
      <w:r w:rsidR="0051584B" w:rsidRPr="00A4272B">
        <w:rPr>
          <w:color w:val="000000"/>
          <w:lang w:val="en-US"/>
        </w:rPr>
        <w:t>PCDDs/Fs</w:t>
      </w:r>
      <w:r w:rsidRPr="00A4272B">
        <w:rPr>
          <w:color w:val="000000"/>
          <w:lang w:val="en-US"/>
        </w:rPr>
        <w:t xml:space="preserve"> homologue groups is recommended, alongside carbon-based enrichment to isolate planar compounds, with GC-HRMS quantification in final volumes as small as 10–50 µL. </w:t>
      </w:r>
      <w:r w:rsidRPr="00A4272B">
        <w:rPr>
          <w:color w:val="000000"/>
          <w:lang w:val="en-US"/>
        </w:rPr>
        <w:lastRenderedPageBreak/>
        <w:t xml:space="preserve">Established methods such as US EPA method 1613 and European Standard EN 16215 have been validated through inter-laboratory studies. Differences in calibration between these methods, especially regarding upper calibration points, are important for toxicological assessments (Malisch et al., 2017). These methods are recommended for global monitoring </w:t>
      </w:r>
      <w:r w:rsidR="002A6D39" w:rsidRPr="00A4272B">
        <w:rPr>
          <w:color w:val="000000"/>
          <w:lang w:val="en-US"/>
        </w:rPr>
        <w:t xml:space="preserve">programmes </w:t>
      </w:r>
      <w:r w:rsidRPr="00A4272B">
        <w:rPr>
          <w:color w:val="000000"/>
          <w:lang w:val="en-US"/>
        </w:rPr>
        <w:t>for consistency and comparability with previous data.</w:t>
      </w:r>
    </w:p>
    <w:p w14:paraId="08EA1753" w14:textId="45C97073" w:rsidR="00F0172A" w:rsidRPr="00A4272B" w:rsidRDefault="00F0172A" w:rsidP="00817D9F">
      <w:pPr>
        <w:pStyle w:val="Heading4"/>
        <w:rPr>
          <w:rFonts w:hint="eastAsia"/>
        </w:rPr>
      </w:pPr>
      <w:r w:rsidRPr="00A4272B">
        <w:t>PFOS, PFOA, and PFHxS extraction and analysis</w:t>
      </w:r>
    </w:p>
    <w:p w14:paraId="2A063AC0" w14:textId="77777777" w:rsidR="00F0172A" w:rsidRPr="00A4272B" w:rsidRDefault="00F0172A" w:rsidP="00F0172A">
      <w:pPr>
        <w:rPr>
          <w:color w:val="000000"/>
          <w:lang w:val="en-US"/>
        </w:rPr>
      </w:pPr>
      <w:r w:rsidRPr="00A4272B">
        <w:rPr>
          <w:color w:val="000000"/>
          <w:lang w:val="en-US"/>
        </w:rPr>
        <w:t>The unique properties of perfluorinated chemicals (PFCs) require specialized methodologies for PFOS, PFOA, and PFHxS analysis in human milk, blood, air, and water. Ahrens et al. (2010) provide detailed guidance for PFOS and related anionic compounds, including precursors, in water. Van Leeuwen and de Boer (2007) review extraction and isolation techniques for PFOS and PFOSA from water and blood and address volatile precursor analysis in air.</w:t>
      </w:r>
    </w:p>
    <w:p w14:paraId="7F9B38B0" w14:textId="77777777" w:rsidR="00F0172A" w:rsidRPr="00A4272B" w:rsidRDefault="00F0172A" w:rsidP="00F0172A">
      <w:pPr>
        <w:rPr>
          <w:color w:val="000000"/>
          <w:lang w:val="en-US"/>
        </w:rPr>
      </w:pPr>
      <w:r w:rsidRPr="00A4272B">
        <w:rPr>
          <w:color w:val="000000"/>
          <w:lang w:val="en-US"/>
        </w:rPr>
        <w:t>In blood, PFOS and PFOSA are typically extracted using weak anion exchange (WAX) solid-phase cartridges, with red blood cells precipitated using acetonitrile or formic acid to avoid clogging. Various approaches have been used, and no standard method is universally accepted. Studies have shown that WAX extraction, using methanol and 0.1% ammonia for elution, improves analyte recovery over ion-pairing extraction (Taniyasu et al., 2005; Kuklenyik et al., 2004). A recent comparison by Kaiser et al. (2021) tested multiple extraction methods, including ion-pair liquid-liquid extraction and solid-phase extraction (SPE), for human biomonitoring of PFCs.</w:t>
      </w:r>
    </w:p>
    <w:p w14:paraId="5EC93200" w14:textId="77777777" w:rsidR="00F0172A" w:rsidRPr="00A4272B" w:rsidRDefault="00F0172A" w:rsidP="00F0172A">
      <w:pPr>
        <w:rPr>
          <w:color w:val="000000"/>
          <w:lang w:val="en-US"/>
        </w:rPr>
      </w:pPr>
      <w:r w:rsidRPr="00A4272B">
        <w:rPr>
          <w:color w:val="000000"/>
          <w:lang w:val="en-US"/>
        </w:rPr>
        <w:t>Interlaboratory studies on PFOS and related compounds indicate good comparability among methods, with 61–73% of participants achieving satisfactory z-scores (Van Leeuwen et al., 2006; Fiedler et al., 2020). Across four rounds of global interlaboratory assessments, around 70% of results for PFOS, PFOA, and PFHxS in various matrices achieved satisfactory z-scores (UNEP, 2023).</w:t>
      </w:r>
    </w:p>
    <w:p w14:paraId="1D2C3282" w14:textId="11CA0151" w:rsidR="00F0172A" w:rsidRPr="00A4272B" w:rsidRDefault="00F0172A" w:rsidP="00602A5B">
      <w:pPr>
        <w:pStyle w:val="CommentText"/>
      </w:pPr>
      <w:r w:rsidRPr="00A4272B">
        <w:rPr>
          <w:color w:val="000000"/>
        </w:rPr>
        <w:t xml:space="preserve">Guidance on PFOS extraction from water, including WAX cartridges, is provided in Section 4.3.2 and </w:t>
      </w:r>
      <w:r w:rsidR="00602A5B" w:rsidRPr="00A4272B">
        <w:rPr>
          <w:color w:val="000000"/>
        </w:rPr>
        <w:t xml:space="preserve">in </w:t>
      </w:r>
      <w:r w:rsidRPr="00A4272B">
        <w:rPr>
          <w:color w:val="000000"/>
        </w:rPr>
        <w:t xml:space="preserve">Ahrens et al. (2010). The ISO method (ISO, 2008) </w:t>
      </w:r>
      <w:r w:rsidR="00602A5B" w:rsidRPr="00A4272B">
        <w:rPr>
          <w:color w:val="000000"/>
          <w:lang w:val="en-GB"/>
        </w:rPr>
        <w:t>for water features a quantification limit of 10 ng/L, although environmental samples often contain concentrations in the pg/L range</w:t>
      </w:r>
      <w:r w:rsidRPr="00A4272B">
        <w:rPr>
          <w:color w:val="000000"/>
        </w:rPr>
        <w:t xml:space="preserve">. </w:t>
      </w:r>
      <w:r w:rsidR="00602A5B" w:rsidRPr="00A4272B">
        <w:rPr>
          <w:lang w:val="en-GB"/>
        </w:rPr>
        <w:t>The US EPA Method 1633 (US EPA, 2024) is also widely applied for analyzing water and biological samples</w:t>
      </w:r>
      <w:r w:rsidR="00602A5B" w:rsidRPr="00A4272B">
        <w:rPr>
          <w:lang w:val="en-CA"/>
        </w:rPr>
        <w:t>. F</w:t>
      </w:r>
      <w:r w:rsidRPr="00A4272B">
        <w:rPr>
          <w:color w:val="000000"/>
        </w:rPr>
        <w:t>or blood serum, a two-fraction elution approach separates neutral and anionic PFCs, with minimal further cleanup needed for LC-tandem MS analysis.</w:t>
      </w:r>
    </w:p>
    <w:p w14:paraId="1599E86D" w14:textId="36367157" w:rsidR="00F0172A" w:rsidRPr="00A4272B" w:rsidRDefault="00F0172A" w:rsidP="00F0172A">
      <w:pPr>
        <w:rPr>
          <w:color w:val="000000"/>
          <w:lang w:val="en-US"/>
        </w:rPr>
      </w:pPr>
      <w:r w:rsidRPr="00A4272B">
        <w:rPr>
          <w:color w:val="000000"/>
          <w:lang w:val="en-US"/>
        </w:rPr>
        <w:t xml:space="preserve">A critical component of all PFC methods using LC-MS/MS is the use of </w:t>
      </w:r>
      <w:r w:rsidRPr="00A4272B">
        <w:rPr>
          <w:color w:val="000000"/>
          <w:vertAlign w:val="superscript"/>
          <w:lang w:val="en-US"/>
        </w:rPr>
        <w:t>13</w:t>
      </w:r>
      <w:r w:rsidRPr="00A4272B">
        <w:rPr>
          <w:color w:val="000000"/>
          <w:lang w:val="en-US"/>
        </w:rPr>
        <w:t xml:space="preserve">C- and/or </w:t>
      </w:r>
      <w:r w:rsidRPr="00A4272B">
        <w:rPr>
          <w:color w:val="000000"/>
          <w:vertAlign w:val="superscript"/>
          <w:lang w:val="en-US"/>
        </w:rPr>
        <w:t>18</w:t>
      </w:r>
      <w:r w:rsidRPr="00A4272B">
        <w:rPr>
          <w:color w:val="000000"/>
          <w:lang w:val="en-US"/>
        </w:rPr>
        <w:t>O-labeled standards from the extraction stage, as isotope dilution corrects for matrix effects on recovery and ionization, ensuring accuracy.</w:t>
      </w:r>
    </w:p>
    <w:p w14:paraId="714220E2" w14:textId="4435CAC6" w:rsidR="00F0172A" w:rsidRPr="00A4272B" w:rsidRDefault="00F0172A" w:rsidP="00817D9F">
      <w:pPr>
        <w:pStyle w:val="Heading4"/>
        <w:rPr>
          <w:rFonts w:hint="eastAsia"/>
        </w:rPr>
      </w:pPr>
      <w:r w:rsidRPr="00A4272B">
        <w:t>Air sampling for PFOS and related analytes</w:t>
      </w:r>
    </w:p>
    <w:p w14:paraId="0D061A73" w14:textId="77777777" w:rsidR="00F0172A" w:rsidRPr="00A4272B" w:rsidRDefault="00F0172A" w:rsidP="00F0172A">
      <w:pPr>
        <w:rPr>
          <w:color w:val="000000"/>
          <w:lang w:val="en-US"/>
        </w:rPr>
      </w:pPr>
      <w:r w:rsidRPr="00A4272B">
        <w:rPr>
          <w:color w:val="000000"/>
          <w:lang w:val="en-US"/>
        </w:rPr>
        <w:t>In air, PFOS-related analytes include perfluorosulfamido alcohols, acrylates, and PFOSA, which are semi-volatile and similar to conventional POPs. Some studies use XAD resin cartridges with polyurethane (PUF) plugs, which can be analyzed for both PFOS on air particles and neutral PFCs. Neutral PFCs are eluted using a mixture of medium polar solvents, while filters can be analyzed for PFOS by methanol extraction (Shoeib et al., 2005). To avoid saturation at warmer temperatures, SIP-PAS samplers with sorbent-impregnated PUF disks are recommended (Rauert et al., 2018).</w:t>
      </w:r>
    </w:p>
    <w:p w14:paraId="09DC903A" w14:textId="6E96CA31" w:rsidR="00F0172A" w:rsidRPr="00A4272B" w:rsidRDefault="00F0172A" w:rsidP="00817D9F">
      <w:pPr>
        <w:pStyle w:val="Heading4"/>
        <w:rPr>
          <w:rFonts w:hint="eastAsia"/>
        </w:rPr>
      </w:pPr>
      <w:r w:rsidRPr="00A4272B">
        <w:t>Methods for other persistent, lipophilic bompounds</w:t>
      </w:r>
    </w:p>
    <w:p w14:paraId="2161E5DF" w14:textId="77777777" w:rsidR="00F0172A" w:rsidRPr="00A4272B" w:rsidRDefault="00F0172A" w:rsidP="00F0172A">
      <w:pPr>
        <w:rPr>
          <w:color w:val="000000"/>
          <w:lang w:val="en-US"/>
        </w:rPr>
      </w:pPr>
      <w:r w:rsidRPr="00A4272B">
        <w:rPr>
          <w:color w:val="000000"/>
          <w:lang w:val="en-US"/>
        </w:rPr>
        <w:t>Persistent, lipophilic semi-volatile organic compounds, such as chlorinated paraffins (CPs), PBDEs, PCBs, and Dechlorane Plus, follow similar extraction methods. Soxhlet, PLE, and other solvent-based extractions are common. CPs, particularly in fatty samples, require sulfuric acid treatment and liquid-liquid partitioning, followed by cleanup through chromatography, with GC/ECNI-MS for analysis (Oellig &amp; Hammel, 2019).</w:t>
      </w:r>
    </w:p>
    <w:p w14:paraId="2E5E50C0" w14:textId="0C7774BE" w:rsidR="00F0172A" w:rsidRPr="00A4272B" w:rsidRDefault="00F0172A" w:rsidP="00817D9F">
      <w:pPr>
        <w:pStyle w:val="Heading4"/>
        <w:rPr>
          <w:rFonts w:hint="eastAsia"/>
        </w:rPr>
      </w:pPr>
      <w:r w:rsidRPr="00A4272B">
        <w:t>Extraction of UV-328 and similar compounds</w:t>
      </w:r>
    </w:p>
    <w:p w14:paraId="02251FA4" w14:textId="06FD141B" w:rsidR="00F3536C" w:rsidRPr="00A4272B" w:rsidRDefault="00F0172A" w:rsidP="00F0172A">
      <w:pPr>
        <w:rPr>
          <w:lang w:val="en-US"/>
        </w:rPr>
      </w:pPr>
      <w:r w:rsidRPr="00A4272B">
        <w:rPr>
          <w:color w:val="000000"/>
          <w:lang w:val="en-US"/>
        </w:rPr>
        <w:t>UV-328, a benzotriazole UV stabilizer, is challenging to detect in low concentrations within complex matrices, requiring pre-concentration. Montesteoca-Esponda et al. (2013) reviewed extraction methods for environmental samples, and Liu et al. (2014) used on-line SPE coupled with HPLC</w:t>
      </w:r>
      <w:r w:rsidR="00483628" w:rsidRPr="00A4272B">
        <w:rPr>
          <w:color w:val="000000"/>
          <w:lang w:val="en-US"/>
        </w:rPr>
        <w:t>-</w:t>
      </w:r>
      <w:r w:rsidRPr="00A4272B">
        <w:rPr>
          <w:color w:val="000000"/>
          <w:lang w:val="en-US"/>
        </w:rPr>
        <w:t>MS/MS. Denghel and Goen (2020) tested a method for UV-328 in human urine using dispersive liquid-liquid microextraction and GC-MS/MS for human biomonitoring.</w:t>
      </w:r>
      <w:r w:rsidR="00F3536C" w:rsidRPr="00A4272B">
        <w:rPr>
          <w:lang w:val="en-US"/>
        </w:rPr>
        <w:t xml:space="preserve"> </w:t>
      </w:r>
    </w:p>
    <w:p w14:paraId="653B810F" w14:textId="5026A319" w:rsidR="00F3536C" w:rsidRPr="00A4272B" w:rsidRDefault="007D2ABE" w:rsidP="00D76072">
      <w:pPr>
        <w:pStyle w:val="GMPHeading2"/>
        <w:tabs>
          <w:tab w:val="clear" w:pos="360"/>
          <w:tab w:val="clear" w:pos="450"/>
          <w:tab w:val="clear" w:pos="540"/>
          <w:tab w:val="clear" w:pos="630"/>
        </w:tabs>
        <w:rPr>
          <w:rFonts w:hint="eastAsia"/>
        </w:rPr>
      </w:pPr>
      <w:bookmarkStart w:id="369" w:name="_Toc159831862"/>
      <w:bookmarkStart w:id="370" w:name="_Toc187270513"/>
      <w:r w:rsidRPr="00A4272B">
        <w:t>5.3</w:t>
      </w:r>
      <w:r w:rsidRPr="00A4272B">
        <w:tab/>
      </w:r>
      <w:r w:rsidR="00F3536C" w:rsidRPr="00A4272B">
        <w:t>POPs analysis</w:t>
      </w:r>
      <w:bookmarkEnd w:id="369"/>
      <w:bookmarkEnd w:id="370"/>
    </w:p>
    <w:p w14:paraId="5023EC15" w14:textId="77777777" w:rsidR="00483628" w:rsidRPr="00A4272B" w:rsidRDefault="00483628" w:rsidP="00483628">
      <w:pPr>
        <w:autoSpaceDE w:val="0"/>
        <w:autoSpaceDN w:val="0"/>
        <w:adjustRightInd w:val="0"/>
        <w:spacing w:before="120"/>
        <w:rPr>
          <w:color w:val="000000"/>
          <w:lang w:val="en-US"/>
        </w:rPr>
      </w:pPr>
      <w:r w:rsidRPr="00A4272B">
        <w:rPr>
          <w:color w:val="000000"/>
          <w:lang w:val="en-US"/>
        </w:rPr>
        <w:t>Since the 1960s, lipophilic POPs—initially chlorinated compounds and more recently polybrominated substances—have been analyzed using gas chromatography (GC) with electron capture detection (ECD), originally with packed columns. Today, separation has improved with capillary columns, and selectivity has been enhanced through mass spectrometric (MS) detectors. These techniques can also be applied to volatile perfluorosulfamido compounds, which are included among PFAS-related compounds in Annex B of the Stockholm Convention.</w:t>
      </w:r>
    </w:p>
    <w:p w14:paraId="0D24B182" w14:textId="77777777" w:rsidR="00483628" w:rsidRPr="00A4272B" w:rsidRDefault="00483628" w:rsidP="00483628">
      <w:pPr>
        <w:autoSpaceDE w:val="0"/>
        <w:autoSpaceDN w:val="0"/>
        <w:adjustRightInd w:val="0"/>
        <w:spacing w:before="120"/>
        <w:rPr>
          <w:color w:val="000000"/>
          <w:lang w:val="en-US"/>
        </w:rPr>
      </w:pPr>
      <w:r w:rsidRPr="00A4272B">
        <w:rPr>
          <w:color w:val="000000"/>
          <w:lang w:val="en-US"/>
        </w:rPr>
        <w:t>However, analyzing PFAS-related compounds typically requires liquid chromatography (LC) combined with mass spectrometry (MS) for effective separation, identification, and quantification. Therefore, it is important to distinguish between GC and LC methods for different POPs, although both methods must meet the same QA/QC criteria.</w:t>
      </w:r>
    </w:p>
    <w:p w14:paraId="1ECA23C5" w14:textId="3EAF21EA" w:rsidR="003916DE" w:rsidRPr="00A4272B" w:rsidRDefault="003916DE" w:rsidP="00483628">
      <w:pPr>
        <w:autoSpaceDE w:val="0"/>
        <w:autoSpaceDN w:val="0"/>
        <w:adjustRightInd w:val="0"/>
        <w:spacing w:before="120"/>
        <w:rPr>
          <w:color w:val="000000"/>
          <w:lang w:val="en-US"/>
        </w:rPr>
      </w:pPr>
      <w:r w:rsidRPr="00A4272B">
        <w:rPr>
          <w:color w:val="000000"/>
          <w:lang w:val="en-US"/>
        </w:rPr>
        <w:lastRenderedPageBreak/>
        <w:t>Note that GC-ECD is not recommended for analysis, except potentially for selected OCPs. According to conclusions from the UNEP global interlaboratory study, OCP results produced by GC/ECD are of lower quality than those based on GC/MS</w:t>
      </w:r>
      <w:r w:rsidR="00002B29" w:rsidRPr="00A4272B">
        <w:rPr>
          <w:color w:val="000000"/>
          <w:lang w:val="en-US"/>
        </w:rPr>
        <w:t xml:space="preserve"> (UNEP, 20</w:t>
      </w:r>
      <w:r w:rsidR="00274A8B" w:rsidRPr="00A4272B">
        <w:rPr>
          <w:color w:val="000000"/>
          <w:lang w:val="en-US"/>
        </w:rPr>
        <w:t>21</w:t>
      </w:r>
      <w:r w:rsidR="00002B29" w:rsidRPr="00A4272B">
        <w:rPr>
          <w:color w:val="000000"/>
          <w:lang w:val="en-US"/>
        </w:rPr>
        <w:t>)</w:t>
      </w:r>
      <w:r w:rsidRPr="00A4272B">
        <w:rPr>
          <w:color w:val="000000"/>
          <w:lang w:val="en-US"/>
        </w:rPr>
        <w:t>.</w:t>
      </w:r>
    </w:p>
    <w:p w14:paraId="53BA6D77" w14:textId="77777777" w:rsidR="00483628" w:rsidRPr="00A4272B" w:rsidRDefault="00483628" w:rsidP="00483628">
      <w:pPr>
        <w:autoSpaceDE w:val="0"/>
        <w:autoSpaceDN w:val="0"/>
        <w:adjustRightInd w:val="0"/>
        <w:spacing w:before="120"/>
        <w:rPr>
          <w:color w:val="000000"/>
          <w:lang w:val="en-US"/>
        </w:rPr>
      </w:pPr>
      <w:r w:rsidRPr="00A4272B">
        <w:rPr>
          <w:color w:val="000000"/>
          <w:lang w:val="en-US"/>
        </w:rPr>
        <w:t>Based on commonly available instruments for POP determination, laboratories can be categorized into three types for lipophilic, semi-volatile POPs (1, 2a, 2b, and 3) and one type for PFAS analysis (4), as described in Table 5.1 below.</w:t>
      </w:r>
    </w:p>
    <w:p w14:paraId="3D68BDD7" w14:textId="22F92665" w:rsidR="00F3536C" w:rsidRPr="00A4272B" w:rsidRDefault="00483628" w:rsidP="003916DE">
      <w:pPr>
        <w:keepNext/>
        <w:autoSpaceDE w:val="0"/>
        <w:autoSpaceDN w:val="0"/>
        <w:adjustRightInd w:val="0"/>
        <w:spacing w:before="120"/>
        <w:rPr>
          <w:color w:val="000000"/>
          <w:lang w:val="en-US"/>
        </w:rPr>
      </w:pPr>
      <w:r w:rsidRPr="00A4272B">
        <w:rPr>
          <w:b/>
          <w:bCs/>
          <w:color w:val="000000"/>
          <w:lang w:val="en-US"/>
        </w:rPr>
        <w:t>Table 5.1: Requirements for the Instrumental Analysis of POPs, including PFOS-related Compounds.</w:t>
      </w:r>
    </w:p>
    <w:tbl>
      <w:tblPr>
        <w:tblW w:w="9266" w:type="dxa"/>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CellMar>
          <w:top w:w="86" w:type="dxa"/>
          <w:left w:w="86" w:type="dxa"/>
          <w:bottom w:w="86" w:type="dxa"/>
          <w:right w:w="86" w:type="dxa"/>
        </w:tblCellMar>
        <w:tblLook w:val="01E0" w:firstRow="1" w:lastRow="1" w:firstColumn="1" w:lastColumn="1" w:noHBand="0" w:noVBand="0"/>
      </w:tblPr>
      <w:tblGrid>
        <w:gridCol w:w="1284"/>
        <w:gridCol w:w="2660"/>
        <w:gridCol w:w="2846"/>
        <w:gridCol w:w="2476"/>
      </w:tblGrid>
      <w:tr w:rsidR="0009469A" w:rsidRPr="00A4272B" w14:paraId="39185049" w14:textId="77777777" w:rsidTr="0039634C">
        <w:trPr>
          <w:trHeight w:val="20"/>
        </w:trPr>
        <w:tc>
          <w:tcPr>
            <w:tcW w:w="1284" w:type="dxa"/>
            <w:shd w:val="pct10" w:color="auto" w:fill="auto"/>
          </w:tcPr>
          <w:p w14:paraId="3C24B0F7" w14:textId="77777777" w:rsidR="0009469A" w:rsidRPr="00A4272B" w:rsidRDefault="0009469A" w:rsidP="0039634C">
            <w:pPr>
              <w:autoSpaceDE w:val="0"/>
              <w:autoSpaceDN w:val="0"/>
              <w:adjustRightInd w:val="0"/>
              <w:spacing w:after="0"/>
              <w:rPr>
                <w:b/>
                <w:bCs/>
                <w:color w:val="000000"/>
                <w:sz w:val="18"/>
                <w:szCs w:val="18"/>
                <w:lang w:val="en-US"/>
              </w:rPr>
            </w:pPr>
            <w:r w:rsidRPr="00A4272B">
              <w:rPr>
                <w:b/>
                <w:bCs/>
                <w:color w:val="000000"/>
                <w:sz w:val="18"/>
                <w:szCs w:val="18"/>
                <w:lang w:val="en-US"/>
              </w:rPr>
              <w:t>Laboratory instru-mentation level</w:t>
            </w:r>
          </w:p>
        </w:tc>
        <w:tc>
          <w:tcPr>
            <w:tcW w:w="2660" w:type="dxa"/>
            <w:shd w:val="pct10" w:color="auto" w:fill="auto"/>
          </w:tcPr>
          <w:p w14:paraId="66A5D3C9" w14:textId="77777777" w:rsidR="0009469A" w:rsidRPr="00A4272B" w:rsidRDefault="0009469A" w:rsidP="0039634C">
            <w:pPr>
              <w:autoSpaceDE w:val="0"/>
              <w:autoSpaceDN w:val="0"/>
              <w:adjustRightInd w:val="0"/>
              <w:spacing w:after="0"/>
              <w:rPr>
                <w:b/>
                <w:bCs/>
                <w:color w:val="000000"/>
                <w:sz w:val="18"/>
                <w:szCs w:val="18"/>
                <w:lang w:val="en-US"/>
              </w:rPr>
            </w:pPr>
            <w:r w:rsidRPr="00A4272B">
              <w:rPr>
                <w:b/>
                <w:bCs/>
                <w:color w:val="000000"/>
                <w:sz w:val="18"/>
                <w:szCs w:val="18"/>
                <w:lang w:val="en-US"/>
              </w:rPr>
              <w:t xml:space="preserve">Equipment </w:t>
            </w:r>
          </w:p>
        </w:tc>
        <w:tc>
          <w:tcPr>
            <w:tcW w:w="2846" w:type="dxa"/>
            <w:shd w:val="pct10" w:color="auto" w:fill="auto"/>
          </w:tcPr>
          <w:p w14:paraId="02BAC0FB" w14:textId="77777777" w:rsidR="0009469A" w:rsidRPr="00A4272B" w:rsidRDefault="0009469A" w:rsidP="0039634C">
            <w:pPr>
              <w:autoSpaceDE w:val="0"/>
              <w:autoSpaceDN w:val="0"/>
              <w:adjustRightInd w:val="0"/>
              <w:spacing w:after="0"/>
              <w:rPr>
                <w:b/>
                <w:bCs/>
                <w:color w:val="000000"/>
                <w:sz w:val="18"/>
                <w:szCs w:val="18"/>
                <w:lang w:val="en-US"/>
              </w:rPr>
            </w:pPr>
            <w:r w:rsidRPr="00A4272B">
              <w:rPr>
                <w:b/>
                <w:bCs/>
                <w:color w:val="000000"/>
                <w:sz w:val="18"/>
                <w:szCs w:val="18"/>
                <w:lang w:val="en-US"/>
              </w:rPr>
              <w:t xml:space="preserve">Infrastructure needs </w:t>
            </w:r>
          </w:p>
        </w:tc>
        <w:tc>
          <w:tcPr>
            <w:tcW w:w="2476" w:type="dxa"/>
            <w:shd w:val="pct10" w:color="auto" w:fill="auto"/>
          </w:tcPr>
          <w:p w14:paraId="518A136E" w14:textId="77777777" w:rsidR="0009469A" w:rsidRPr="00A4272B" w:rsidRDefault="0009469A" w:rsidP="0039634C">
            <w:pPr>
              <w:autoSpaceDE w:val="0"/>
              <w:autoSpaceDN w:val="0"/>
              <w:adjustRightInd w:val="0"/>
              <w:spacing w:after="0"/>
              <w:rPr>
                <w:b/>
                <w:bCs/>
                <w:color w:val="000000"/>
                <w:sz w:val="18"/>
                <w:szCs w:val="18"/>
                <w:lang w:val="en-US"/>
              </w:rPr>
            </w:pPr>
            <w:r w:rsidRPr="00A4272B">
              <w:rPr>
                <w:b/>
                <w:bCs/>
                <w:color w:val="000000"/>
                <w:sz w:val="18"/>
                <w:szCs w:val="18"/>
                <w:lang w:val="en-US"/>
              </w:rPr>
              <w:t>Chemicals</w:t>
            </w:r>
          </w:p>
        </w:tc>
      </w:tr>
      <w:tr w:rsidR="0009469A" w:rsidRPr="00A4272B" w14:paraId="25145698" w14:textId="77777777" w:rsidTr="0039634C">
        <w:trPr>
          <w:trHeight w:val="20"/>
        </w:trPr>
        <w:tc>
          <w:tcPr>
            <w:tcW w:w="1284" w:type="dxa"/>
          </w:tcPr>
          <w:p w14:paraId="74CCCB85" w14:textId="4B5B05A2" w:rsidR="0009469A" w:rsidRPr="00A4272B" w:rsidRDefault="0009469A" w:rsidP="0039634C">
            <w:pPr>
              <w:autoSpaceDE w:val="0"/>
              <w:autoSpaceDN w:val="0"/>
              <w:adjustRightInd w:val="0"/>
              <w:spacing w:after="0"/>
              <w:jc w:val="center"/>
              <w:rPr>
                <w:color w:val="000000"/>
                <w:sz w:val="18"/>
                <w:szCs w:val="18"/>
                <w:lang w:val="en-US"/>
              </w:rPr>
            </w:pPr>
            <w:r w:rsidRPr="00A4272B">
              <w:rPr>
                <w:color w:val="000000"/>
                <w:sz w:val="18"/>
                <w:szCs w:val="18"/>
                <w:lang w:val="en-US"/>
              </w:rPr>
              <w:t>4</w:t>
            </w:r>
          </w:p>
        </w:tc>
        <w:tc>
          <w:tcPr>
            <w:tcW w:w="2660" w:type="dxa"/>
          </w:tcPr>
          <w:p w14:paraId="6FA8A6B3"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Sample extraction and clean-up systems (manually or automated), LC-MS/MS)</w:t>
            </w:r>
          </w:p>
        </w:tc>
        <w:tc>
          <w:tcPr>
            <w:tcW w:w="2846" w:type="dxa"/>
          </w:tcPr>
          <w:p w14:paraId="341004C2" w14:textId="7670DC66"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 xml:space="preserve">Nitrogen/argon/air </w:t>
            </w:r>
            <w:r w:rsidR="003916DE" w:rsidRPr="00A4272B">
              <w:rPr>
                <w:color w:val="000000"/>
                <w:sz w:val="18"/>
                <w:szCs w:val="18"/>
                <w:lang w:val="en-US"/>
              </w:rPr>
              <w:t>conditioning</w:t>
            </w:r>
            <w:r w:rsidRPr="00A4272B">
              <w:rPr>
                <w:color w:val="000000"/>
                <w:sz w:val="18"/>
                <w:szCs w:val="18"/>
                <w:lang w:val="en-US"/>
              </w:rPr>
              <w:t>/consistent power/high operational costs/personnel specifically trained to operate and troubleshoot complicated instru</w:t>
            </w:r>
            <w:r w:rsidRPr="00A4272B">
              <w:rPr>
                <w:color w:val="000000"/>
                <w:sz w:val="18"/>
                <w:szCs w:val="18"/>
                <w:lang w:val="en-US"/>
              </w:rPr>
              <w:softHyphen/>
              <w:t>mentation</w:t>
            </w:r>
          </w:p>
        </w:tc>
        <w:tc>
          <w:tcPr>
            <w:tcW w:w="2476" w:type="dxa"/>
          </w:tcPr>
          <w:p w14:paraId="65935752" w14:textId="24EEF6AF"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PFOS, PFOA, PFHxS and other anionic PFAS</w:t>
            </w:r>
            <w:r w:rsidR="00526070" w:rsidRPr="00A4272B">
              <w:rPr>
                <w:color w:val="000000"/>
                <w:sz w:val="18"/>
                <w:szCs w:val="18"/>
                <w:lang w:val="en-US"/>
              </w:rPr>
              <w:t>s</w:t>
            </w:r>
          </w:p>
          <w:p w14:paraId="6089E49D"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HBCD (sum and isomers), UV-328</w:t>
            </w:r>
          </w:p>
        </w:tc>
      </w:tr>
      <w:tr w:rsidR="0009469A" w:rsidRPr="00A4272B" w14:paraId="089BF7A1" w14:textId="77777777" w:rsidTr="0039634C">
        <w:trPr>
          <w:trHeight w:val="20"/>
        </w:trPr>
        <w:tc>
          <w:tcPr>
            <w:tcW w:w="1284" w:type="dxa"/>
          </w:tcPr>
          <w:p w14:paraId="184ACCDA" w14:textId="1CCA4371" w:rsidR="0009469A" w:rsidRPr="00A4272B" w:rsidRDefault="0009469A" w:rsidP="0039634C">
            <w:pPr>
              <w:autoSpaceDE w:val="0"/>
              <w:autoSpaceDN w:val="0"/>
              <w:adjustRightInd w:val="0"/>
              <w:spacing w:after="0"/>
              <w:jc w:val="center"/>
              <w:rPr>
                <w:color w:val="000000"/>
                <w:sz w:val="18"/>
                <w:szCs w:val="18"/>
                <w:lang w:val="en-US"/>
              </w:rPr>
            </w:pPr>
            <w:r w:rsidRPr="00A4272B">
              <w:rPr>
                <w:color w:val="000000"/>
                <w:sz w:val="18"/>
                <w:szCs w:val="18"/>
                <w:lang w:val="en-US"/>
              </w:rPr>
              <w:t>3</w:t>
            </w:r>
          </w:p>
        </w:tc>
        <w:tc>
          <w:tcPr>
            <w:tcW w:w="2660" w:type="dxa"/>
          </w:tcPr>
          <w:p w14:paraId="39A63F39" w14:textId="32F09826"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 xml:space="preserve">Basic </w:t>
            </w:r>
            <w:r w:rsidR="003916DE" w:rsidRPr="00A4272B">
              <w:rPr>
                <w:color w:val="000000"/>
                <w:sz w:val="18"/>
                <w:szCs w:val="18"/>
                <w:lang w:val="en-US"/>
              </w:rPr>
              <w:t>sample extraction</w:t>
            </w:r>
            <w:r w:rsidRPr="00A4272B">
              <w:rPr>
                <w:color w:val="000000"/>
                <w:sz w:val="18"/>
                <w:szCs w:val="18"/>
                <w:lang w:val="en-US"/>
              </w:rPr>
              <w:t xml:space="preserve"> and clean-up equipment, capil</w:t>
            </w:r>
            <w:r w:rsidRPr="00A4272B">
              <w:rPr>
                <w:color w:val="000000"/>
                <w:sz w:val="18"/>
                <w:szCs w:val="18"/>
                <w:lang w:val="en-US"/>
              </w:rPr>
              <w:softHyphen/>
              <w:t>lary GC-</w:t>
            </w:r>
            <w:r w:rsidR="003916DE" w:rsidRPr="00A4272B">
              <w:rPr>
                <w:color w:val="000000"/>
                <w:sz w:val="18"/>
                <w:szCs w:val="18"/>
                <w:lang w:val="en-US"/>
              </w:rPr>
              <w:t>HRMS</w:t>
            </w:r>
          </w:p>
        </w:tc>
        <w:tc>
          <w:tcPr>
            <w:tcW w:w="2846" w:type="dxa"/>
          </w:tcPr>
          <w:p w14:paraId="39D42D9F" w14:textId="1AF16586"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 xml:space="preserve">Nitrogen/helium/air </w:t>
            </w:r>
            <w:r w:rsidR="003916DE" w:rsidRPr="00A4272B">
              <w:rPr>
                <w:color w:val="000000"/>
                <w:sz w:val="18"/>
                <w:szCs w:val="18"/>
                <w:lang w:val="en-US"/>
              </w:rPr>
              <w:t>conditioning</w:t>
            </w:r>
            <w:r w:rsidRPr="00A4272B">
              <w:rPr>
                <w:color w:val="000000"/>
                <w:sz w:val="18"/>
                <w:szCs w:val="18"/>
                <w:lang w:val="en-US"/>
              </w:rPr>
              <w:t>/power/ personnel specifically trained to operate and troubleshoot equip</w:t>
            </w:r>
            <w:r w:rsidRPr="00A4272B">
              <w:rPr>
                <w:color w:val="000000"/>
                <w:sz w:val="18"/>
                <w:szCs w:val="18"/>
                <w:lang w:val="en-US"/>
              </w:rPr>
              <w:softHyphen/>
              <w:t>ment problems</w:t>
            </w:r>
          </w:p>
        </w:tc>
        <w:tc>
          <w:tcPr>
            <w:tcW w:w="2476" w:type="dxa"/>
          </w:tcPr>
          <w:p w14:paraId="1BE70448" w14:textId="32D7C902"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PBB, most PCB</w:t>
            </w:r>
            <w:r w:rsidR="0051584B" w:rsidRPr="00A4272B">
              <w:rPr>
                <w:color w:val="000000"/>
                <w:sz w:val="18"/>
                <w:szCs w:val="18"/>
                <w:lang w:val="en-US"/>
              </w:rPr>
              <w:t>s</w:t>
            </w:r>
            <w:r w:rsidRPr="00A4272B">
              <w:rPr>
                <w:color w:val="000000"/>
                <w:sz w:val="18"/>
                <w:szCs w:val="18"/>
                <w:lang w:val="en-US"/>
              </w:rPr>
              <w:t xml:space="preserve"> and all OCPs except toxaphene </w:t>
            </w:r>
          </w:p>
        </w:tc>
      </w:tr>
      <w:tr w:rsidR="0009469A" w:rsidRPr="00A4272B" w14:paraId="4F074D6C" w14:textId="77777777" w:rsidTr="0039634C">
        <w:trPr>
          <w:trHeight w:val="20"/>
        </w:trPr>
        <w:tc>
          <w:tcPr>
            <w:tcW w:w="1284" w:type="dxa"/>
          </w:tcPr>
          <w:p w14:paraId="62779B2D" w14:textId="1689FCFA" w:rsidR="0009469A" w:rsidRPr="00A4272B" w:rsidRDefault="0009469A" w:rsidP="0039634C">
            <w:pPr>
              <w:autoSpaceDE w:val="0"/>
              <w:autoSpaceDN w:val="0"/>
              <w:adjustRightInd w:val="0"/>
              <w:spacing w:after="0"/>
              <w:jc w:val="center"/>
              <w:rPr>
                <w:color w:val="000000"/>
                <w:sz w:val="18"/>
                <w:szCs w:val="18"/>
                <w:lang w:val="en-US"/>
              </w:rPr>
            </w:pPr>
            <w:r w:rsidRPr="00A4272B">
              <w:rPr>
                <w:color w:val="000000"/>
                <w:sz w:val="18"/>
                <w:szCs w:val="18"/>
                <w:lang w:val="en-US"/>
              </w:rPr>
              <w:t>2a</w:t>
            </w:r>
          </w:p>
        </w:tc>
        <w:tc>
          <w:tcPr>
            <w:tcW w:w="2660" w:type="dxa"/>
          </w:tcPr>
          <w:p w14:paraId="2188F653"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Sample extraction and clean-up equip</w:t>
            </w:r>
            <w:r w:rsidRPr="00A4272B">
              <w:rPr>
                <w:color w:val="000000"/>
                <w:sz w:val="18"/>
                <w:szCs w:val="18"/>
                <w:lang w:val="en-US"/>
              </w:rPr>
              <w:softHyphen/>
              <w:t>ment, capil</w:t>
            </w:r>
            <w:r w:rsidRPr="00A4272B">
              <w:rPr>
                <w:color w:val="000000"/>
                <w:sz w:val="18"/>
                <w:szCs w:val="18"/>
                <w:lang w:val="en-US"/>
              </w:rPr>
              <w:softHyphen/>
              <w:t>lary GC-LRMS – electron ionization mode</w:t>
            </w:r>
          </w:p>
        </w:tc>
        <w:tc>
          <w:tcPr>
            <w:tcW w:w="2846" w:type="dxa"/>
          </w:tcPr>
          <w:p w14:paraId="1E5E93FD"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Helium/air conditioning/ consistent power/ personnel specifically trained to operate and trouble-shoot equipment problems</w:t>
            </w:r>
          </w:p>
        </w:tc>
        <w:tc>
          <w:tcPr>
            <w:tcW w:w="2476" w:type="dxa"/>
          </w:tcPr>
          <w:p w14:paraId="2D600F7A" w14:textId="353989EE"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PBB, most PCB</w:t>
            </w:r>
            <w:r w:rsidR="0051584B" w:rsidRPr="00A4272B">
              <w:rPr>
                <w:color w:val="000000"/>
                <w:sz w:val="18"/>
                <w:szCs w:val="18"/>
                <w:lang w:val="en-US"/>
              </w:rPr>
              <w:t>s</w:t>
            </w:r>
            <w:r w:rsidRPr="00A4272B">
              <w:rPr>
                <w:color w:val="000000"/>
                <w:sz w:val="18"/>
                <w:szCs w:val="18"/>
                <w:lang w:val="en-US"/>
              </w:rPr>
              <w:t xml:space="preserve"> and all </w:t>
            </w:r>
            <w:r w:rsidR="003916DE" w:rsidRPr="00A4272B">
              <w:rPr>
                <w:color w:val="000000"/>
                <w:sz w:val="18"/>
                <w:szCs w:val="18"/>
                <w:lang w:val="en-US"/>
              </w:rPr>
              <w:t>OCPs.</w:t>
            </w:r>
            <w:r w:rsidRPr="00A4272B">
              <w:rPr>
                <w:color w:val="000000"/>
                <w:sz w:val="18"/>
                <w:szCs w:val="18"/>
                <w:lang w:val="en-US"/>
              </w:rPr>
              <w:t xml:space="preserve"> </w:t>
            </w:r>
          </w:p>
          <w:p w14:paraId="593E887F" w14:textId="2ED20468" w:rsidR="0009469A" w:rsidRPr="00A4272B" w:rsidRDefault="003916DE" w:rsidP="0039634C">
            <w:pPr>
              <w:autoSpaceDE w:val="0"/>
              <w:autoSpaceDN w:val="0"/>
              <w:adjustRightInd w:val="0"/>
              <w:spacing w:after="0"/>
              <w:rPr>
                <w:color w:val="000000"/>
                <w:sz w:val="18"/>
                <w:szCs w:val="18"/>
                <w:lang w:val="en-US"/>
              </w:rPr>
            </w:pPr>
            <w:r w:rsidRPr="00A4272B">
              <w:rPr>
                <w:color w:val="000000"/>
                <w:sz w:val="18"/>
                <w:szCs w:val="18"/>
                <w:lang w:val="en-US"/>
              </w:rPr>
              <w:t>Also,</w:t>
            </w:r>
            <w:r w:rsidR="0009469A" w:rsidRPr="00A4272B">
              <w:rPr>
                <w:color w:val="000000"/>
                <w:sz w:val="18"/>
                <w:szCs w:val="18"/>
                <w:lang w:val="en-US"/>
              </w:rPr>
              <w:t xml:space="preserve"> perfluoro-sul</w:t>
            </w:r>
            <w:r w:rsidR="0009469A" w:rsidRPr="00A4272B">
              <w:rPr>
                <w:color w:val="000000"/>
                <w:sz w:val="18"/>
                <w:szCs w:val="18"/>
                <w:lang w:val="en-US"/>
              </w:rPr>
              <w:softHyphen/>
              <w:t>famido alcohols in positive chemical ionization mode</w:t>
            </w:r>
          </w:p>
        </w:tc>
      </w:tr>
      <w:tr w:rsidR="0009469A" w:rsidRPr="00A4272B" w14:paraId="1440E8C5" w14:textId="77777777" w:rsidTr="0039634C">
        <w:trPr>
          <w:trHeight w:val="20"/>
        </w:trPr>
        <w:tc>
          <w:tcPr>
            <w:tcW w:w="1284" w:type="dxa"/>
          </w:tcPr>
          <w:p w14:paraId="6632078B" w14:textId="77777777" w:rsidR="0009469A" w:rsidRPr="00A4272B" w:rsidRDefault="0009469A" w:rsidP="0039634C">
            <w:pPr>
              <w:autoSpaceDE w:val="0"/>
              <w:autoSpaceDN w:val="0"/>
              <w:adjustRightInd w:val="0"/>
              <w:spacing w:after="0"/>
              <w:jc w:val="center"/>
              <w:rPr>
                <w:color w:val="000000"/>
                <w:sz w:val="18"/>
                <w:szCs w:val="18"/>
                <w:lang w:val="en-US"/>
              </w:rPr>
            </w:pPr>
            <w:r w:rsidRPr="00A4272B">
              <w:rPr>
                <w:color w:val="000000"/>
                <w:sz w:val="18"/>
                <w:szCs w:val="18"/>
                <w:lang w:val="en-US"/>
              </w:rPr>
              <w:t>2b</w:t>
            </w:r>
          </w:p>
        </w:tc>
        <w:tc>
          <w:tcPr>
            <w:tcW w:w="2660" w:type="dxa"/>
          </w:tcPr>
          <w:p w14:paraId="28583B23"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Sample extraction and clean-up equipment, capil</w:t>
            </w:r>
            <w:r w:rsidRPr="00A4272B">
              <w:rPr>
                <w:color w:val="000000"/>
                <w:sz w:val="18"/>
                <w:szCs w:val="18"/>
                <w:lang w:val="en-US"/>
              </w:rPr>
              <w:softHyphen/>
              <w:t>lary GC-LRMS – negative chemical ionization mode</w:t>
            </w:r>
          </w:p>
        </w:tc>
        <w:tc>
          <w:tcPr>
            <w:tcW w:w="2846" w:type="dxa"/>
          </w:tcPr>
          <w:p w14:paraId="5BE166CF" w14:textId="2896B82F"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 xml:space="preserve">Methane or other </w:t>
            </w:r>
            <w:r w:rsidR="003916DE" w:rsidRPr="00A4272B">
              <w:rPr>
                <w:color w:val="000000"/>
                <w:sz w:val="18"/>
                <w:szCs w:val="18"/>
                <w:lang w:val="en-US"/>
              </w:rPr>
              <w:t>moderate</w:t>
            </w:r>
            <w:r w:rsidRPr="00A4272B">
              <w:rPr>
                <w:color w:val="000000"/>
                <w:sz w:val="18"/>
                <w:szCs w:val="18"/>
                <w:lang w:val="en-US"/>
              </w:rPr>
              <w:t xml:space="preserve"> gas/air conditioning/ consis</w:t>
            </w:r>
            <w:r w:rsidRPr="00A4272B">
              <w:rPr>
                <w:color w:val="000000"/>
                <w:sz w:val="18"/>
                <w:szCs w:val="18"/>
                <w:lang w:val="en-US"/>
              </w:rPr>
              <w:softHyphen/>
              <w:t>tent power/ personnel specifi</w:t>
            </w:r>
            <w:r w:rsidRPr="00A4272B">
              <w:rPr>
                <w:color w:val="000000"/>
                <w:sz w:val="18"/>
                <w:szCs w:val="18"/>
                <w:lang w:val="en-US"/>
              </w:rPr>
              <w:softHyphen/>
              <w:t>cally trained to operate and trouble-shoot equipment problems</w:t>
            </w:r>
          </w:p>
        </w:tc>
        <w:tc>
          <w:tcPr>
            <w:tcW w:w="2476" w:type="dxa"/>
          </w:tcPr>
          <w:p w14:paraId="7131FCC5"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 xml:space="preserve">PBDE and PBB, as well as toxaphene and other highly chlorinated (≥4 Cl) OCPs </w:t>
            </w:r>
          </w:p>
          <w:p w14:paraId="25BB0F26"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 xml:space="preserve">HBCD as a sum, Dechlorane Plus  </w:t>
            </w:r>
          </w:p>
        </w:tc>
      </w:tr>
      <w:tr w:rsidR="0009469A" w:rsidRPr="00A4272B" w14:paraId="591FC942" w14:textId="77777777" w:rsidTr="0039634C">
        <w:trPr>
          <w:trHeight w:val="20"/>
        </w:trPr>
        <w:tc>
          <w:tcPr>
            <w:tcW w:w="1284" w:type="dxa"/>
          </w:tcPr>
          <w:p w14:paraId="192E7761" w14:textId="46BABBC4" w:rsidR="0009469A" w:rsidRPr="00A4272B" w:rsidRDefault="0009469A" w:rsidP="0039634C">
            <w:pPr>
              <w:autoSpaceDE w:val="0"/>
              <w:autoSpaceDN w:val="0"/>
              <w:adjustRightInd w:val="0"/>
              <w:spacing w:after="0"/>
              <w:jc w:val="center"/>
              <w:rPr>
                <w:color w:val="000000"/>
                <w:sz w:val="18"/>
                <w:szCs w:val="18"/>
                <w:lang w:val="en-US"/>
              </w:rPr>
            </w:pPr>
            <w:r w:rsidRPr="00A4272B">
              <w:rPr>
                <w:color w:val="000000"/>
                <w:sz w:val="18"/>
                <w:szCs w:val="18"/>
                <w:lang w:val="en-US"/>
              </w:rPr>
              <w:t>1</w:t>
            </w:r>
          </w:p>
        </w:tc>
        <w:tc>
          <w:tcPr>
            <w:tcW w:w="2660" w:type="dxa"/>
          </w:tcPr>
          <w:p w14:paraId="26A6855A" w14:textId="113E73FA"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Sample extraction and clean-up equipment, capil</w:t>
            </w:r>
            <w:r w:rsidRPr="00A4272B">
              <w:rPr>
                <w:color w:val="000000"/>
                <w:sz w:val="18"/>
                <w:szCs w:val="18"/>
                <w:lang w:val="en-US"/>
              </w:rPr>
              <w:softHyphen/>
              <w:t>lary GC-MS/MS</w:t>
            </w:r>
          </w:p>
        </w:tc>
        <w:tc>
          <w:tcPr>
            <w:tcW w:w="2846" w:type="dxa"/>
          </w:tcPr>
          <w:p w14:paraId="5D56A19D"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Helium/air conditioning/ consistent power/high opera</w:t>
            </w:r>
            <w:r w:rsidRPr="00A4272B">
              <w:rPr>
                <w:color w:val="000000"/>
                <w:sz w:val="18"/>
                <w:szCs w:val="18"/>
                <w:lang w:val="en-US"/>
              </w:rPr>
              <w:softHyphen/>
              <w:t>tional costs /personnel spe</w:t>
            </w:r>
            <w:r w:rsidRPr="00A4272B">
              <w:rPr>
                <w:color w:val="000000"/>
                <w:sz w:val="18"/>
                <w:szCs w:val="18"/>
                <w:lang w:val="en-US"/>
              </w:rPr>
              <w:softHyphen/>
              <w:t>cifically trained to operate and troubleshoot complicated instrumentation</w:t>
            </w:r>
          </w:p>
        </w:tc>
        <w:tc>
          <w:tcPr>
            <w:tcW w:w="2476" w:type="dxa"/>
          </w:tcPr>
          <w:p w14:paraId="5F82EEA8" w14:textId="79AE9667" w:rsidR="0009469A" w:rsidRPr="00A4272B" w:rsidRDefault="0051584B" w:rsidP="0039634C">
            <w:pPr>
              <w:autoSpaceDE w:val="0"/>
              <w:autoSpaceDN w:val="0"/>
              <w:adjustRightInd w:val="0"/>
              <w:spacing w:after="0"/>
              <w:rPr>
                <w:color w:val="000000"/>
                <w:sz w:val="18"/>
                <w:szCs w:val="18"/>
                <w:lang w:val="en-US"/>
              </w:rPr>
            </w:pPr>
            <w:r w:rsidRPr="00A4272B">
              <w:rPr>
                <w:color w:val="000000"/>
                <w:sz w:val="18"/>
                <w:szCs w:val="18"/>
                <w:lang w:val="en-US"/>
              </w:rPr>
              <w:t>PCDDs/Fs</w:t>
            </w:r>
            <w:r w:rsidR="0009469A" w:rsidRPr="00A4272B">
              <w:rPr>
                <w:color w:val="000000"/>
                <w:sz w:val="18"/>
                <w:szCs w:val="18"/>
                <w:lang w:val="en-US"/>
              </w:rPr>
              <w:t>, all PCB, all OCPs, PBB, all PBDE, PCNs, SCCPs and other chlorinated paraffins,</w:t>
            </w:r>
          </w:p>
          <w:p w14:paraId="3D0A8F14" w14:textId="77777777" w:rsidR="0009469A" w:rsidRPr="00A4272B" w:rsidRDefault="0009469A" w:rsidP="0039634C">
            <w:pPr>
              <w:autoSpaceDE w:val="0"/>
              <w:autoSpaceDN w:val="0"/>
              <w:adjustRightInd w:val="0"/>
              <w:spacing w:after="0"/>
              <w:rPr>
                <w:color w:val="000000"/>
                <w:sz w:val="18"/>
                <w:szCs w:val="18"/>
                <w:lang w:val="en-US"/>
              </w:rPr>
            </w:pPr>
            <w:r w:rsidRPr="00A4272B">
              <w:rPr>
                <w:color w:val="000000"/>
                <w:sz w:val="18"/>
                <w:szCs w:val="18"/>
                <w:lang w:val="en-US"/>
              </w:rPr>
              <w:t>HBCD as a sum, UV-328, Dechlorane Plus</w:t>
            </w:r>
          </w:p>
        </w:tc>
      </w:tr>
    </w:tbl>
    <w:p w14:paraId="78CFE3FC" w14:textId="467B835B" w:rsidR="004418DB" w:rsidRPr="00A4272B" w:rsidRDefault="00F3536C" w:rsidP="0009469A">
      <w:pPr>
        <w:autoSpaceDE w:val="0"/>
        <w:autoSpaceDN w:val="0"/>
        <w:adjustRightInd w:val="0"/>
        <w:spacing w:before="40" w:after="40"/>
        <w:rPr>
          <w:color w:val="000000"/>
          <w:sz w:val="18"/>
          <w:szCs w:val="18"/>
          <w:lang w:val="en-US"/>
        </w:rPr>
      </w:pPr>
      <w:r w:rsidRPr="00A4272B">
        <w:rPr>
          <w:color w:val="000000"/>
          <w:sz w:val="18"/>
          <w:szCs w:val="18"/>
          <w:lang w:val="en-US"/>
        </w:rPr>
        <w:t>GC-LRMS</w:t>
      </w:r>
      <w:r w:rsidR="0039634C" w:rsidRPr="00A4272B">
        <w:rPr>
          <w:color w:val="000000"/>
          <w:sz w:val="18"/>
          <w:szCs w:val="18"/>
          <w:lang w:val="en-US"/>
        </w:rPr>
        <w:t>:</w:t>
      </w:r>
      <w:r w:rsidRPr="00A4272B">
        <w:rPr>
          <w:color w:val="000000"/>
          <w:sz w:val="18"/>
          <w:szCs w:val="18"/>
          <w:lang w:val="en-US"/>
        </w:rPr>
        <w:t xml:space="preserve"> </w:t>
      </w:r>
      <w:r w:rsidR="0039634C" w:rsidRPr="00A4272B">
        <w:rPr>
          <w:color w:val="000000"/>
          <w:sz w:val="18"/>
          <w:szCs w:val="18"/>
          <w:lang w:val="en-US"/>
        </w:rPr>
        <w:t>G</w:t>
      </w:r>
      <w:r w:rsidRPr="00A4272B">
        <w:rPr>
          <w:color w:val="000000"/>
          <w:sz w:val="18"/>
          <w:szCs w:val="18"/>
          <w:lang w:val="en-US"/>
        </w:rPr>
        <w:t>as chromatography/low resolution mass spectrometry</w:t>
      </w:r>
    </w:p>
    <w:p w14:paraId="56309DB9" w14:textId="19857DF3" w:rsidR="004418DB" w:rsidRPr="00A4272B" w:rsidRDefault="00F3536C" w:rsidP="0009469A">
      <w:pPr>
        <w:autoSpaceDE w:val="0"/>
        <w:autoSpaceDN w:val="0"/>
        <w:adjustRightInd w:val="0"/>
        <w:spacing w:before="40" w:after="40"/>
        <w:rPr>
          <w:color w:val="000000"/>
          <w:sz w:val="18"/>
          <w:szCs w:val="18"/>
          <w:lang w:val="en-US"/>
        </w:rPr>
      </w:pPr>
      <w:r w:rsidRPr="00A4272B">
        <w:rPr>
          <w:color w:val="000000"/>
          <w:sz w:val="18"/>
          <w:szCs w:val="18"/>
          <w:lang w:val="en-US"/>
        </w:rPr>
        <w:t>GC-HRMS</w:t>
      </w:r>
      <w:r w:rsidR="0039634C" w:rsidRPr="00A4272B">
        <w:rPr>
          <w:color w:val="000000"/>
          <w:sz w:val="18"/>
          <w:szCs w:val="18"/>
          <w:lang w:val="en-US"/>
        </w:rPr>
        <w:t>:</w:t>
      </w:r>
      <w:r w:rsidRPr="00A4272B">
        <w:rPr>
          <w:color w:val="000000"/>
          <w:sz w:val="18"/>
          <w:szCs w:val="18"/>
          <w:lang w:val="en-US"/>
        </w:rPr>
        <w:t xml:space="preserve"> </w:t>
      </w:r>
      <w:r w:rsidR="0039634C" w:rsidRPr="00A4272B">
        <w:rPr>
          <w:color w:val="000000"/>
          <w:sz w:val="18"/>
          <w:szCs w:val="18"/>
          <w:lang w:val="en-US"/>
        </w:rPr>
        <w:t>G</w:t>
      </w:r>
      <w:r w:rsidRPr="00A4272B">
        <w:rPr>
          <w:color w:val="000000"/>
          <w:sz w:val="18"/>
          <w:szCs w:val="18"/>
          <w:lang w:val="en-US"/>
        </w:rPr>
        <w:t xml:space="preserve">as chromatography/high resolution mass spectrometry </w:t>
      </w:r>
    </w:p>
    <w:p w14:paraId="22D2645B" w14:textId="7F9E4BC7" w:rsidR="004418DB" w:rsidRPr="00A4272B" w:rsidRDefault="00F3536C" w:rsidP="0009469A">
      <w:pPr>
        <w:autoSpaceDE w:val="0"/>
        <w:autoSpaceDN w:val="0"/>
        <w:adjustRightInd w:val="0"/>
        <w:spacing w:before="40" w:after="240"/>
        <w:rPr>
          <w:color w:val="000000"/>
          <w:sz w:val="18"/>
          <w:szCs w:val="18"/>
          <w:lang w:val="en-US"/>
        </w:rPr>
      </w:pPr>
      <w:r w:rsidRPr="00A4272B">
        <w:rPr>
          <w:color w:val="000000"/>
          <w:sz w:val="18"/>
          <w:szCs w:val="18"/>
          <w:lang w:val="en-US"/>
        </w:rPr>
        <w:t>LC-MS/MS</w:t>
      </w:r>
      <w:r w:rsidR="0039634C" w:rsidRPr="00A4272B">
        <w:rPr>
          <w:color w:val="000000"/>
          <w:sz w:val="18"/>
          <w:szCs w:val="18"/>
          <w:lang w:val="en-US"/>
        </w:rPr>
        <w:t>:</w:t>
      </w:r>
      <w:r w:rsidRPr="00A4272B">
        <w:rPr>
          <w:color w:val="000000"/>
          <w:sz w:val="18"/>
          <w:szCs w:val="18"/>
          <w:lang w:val="en-US"/>
        </w:rPr>
        <w:t xml:space="preserve"> </w:t>
      </w:r>
      <w:r w:rsidR="0039634C" w:rsidRPr="00A4272B">
        <w:rPr>
          <w:color w:val="000000"/>
          <w:sz w:val="18"/>
          <w:szCs w:val="18"/>
          <w:lang w:val="en-US"/>
        </w:rPr>
        <w:t>H</w:t>
      </w:r>
      <w:r w:rsidRPr="00A4272B">
        <w:rPr>
          <w:color w:val="000000"/>
          <w:sz w:val="18"/>
          <w:szCs w:val="18"/>
          <w:lang w:val="en-US"/>
        </w:rPr>
        <w:t>igh performance liquid chromatography/tandem mass spectrometry</w:t>
      </w:r>
    </w:p>
    <w:p w14:paraId="5A22ADC4" w14:textId="5428C1F9" w:rsidR="00F3536C" w:rsidRPr="00A4272B" w:rsidRDefault="0009469A" w:rsidP="00366AEE">
      <w:pPr>
        <w:rPr>
          <w:lang w:val="en-US" w:eastAsia="ja-JP"/>
        </w:rPr>
      </w:pPr>
      <w:r w:rsidRPr="00A4272B">
        <w:rPr>
          <w:lang w:val="en-US" w:eastAsia="ja-JP"/>
        </w:rPr>
        <w:t>While estimating operational costs based on instrumentation level is challenging, the table below provides an approximate guide to investment and consumable costs. These estimates are based on expert knowledge and assume the operation of an average routine laboratory.</w:t>
      </w:r>
    </w:p>
    <w:p w14:paraId="28233A44" w14:textId="453B4EBE" w:rsidR="0009469A" w:rsidRPr="00A4272B" w:rsidRDefault="0009469A" w:rsidP="0009469A">
      <w:pPr>
        <w:rPr>
          <w:b/>
          <w:bCs/>
          <w:lang w:val="en-US" w:eastAsia="ja-JP"/>
        </w:rPr>
      </w:pPr>
      <w:r w:rsidRPr="00A4272B">
        <w:rPr>
          <w:b/>
          <w:bCs/>
          <w:lang w:val="en-US" w:eastAsia="ja-JP"/>
        </w:rPr>
        <w:t xml:space="preserve">Table 5.2: </w:t>
      </w:r>
      <w:r w:rsidR="00FD59B8" w:rsidRPr="00A4272B">
        <w:rPr>
          <w:b/>
          <w:bCs/>
          <w:lang w:val="en-US" w:eastAsia="ja-JP"/>
        </w:rPr>
        <w:t xml:space="preserve">Estimated </w:t>
      </w:r>
      <w:r w:rsidR="002E6DB8" w:rsidRPr="00A4272B">
        <w:rPr>
          <w:b/>
          <w:bCs/>
          <w:lang w:val="en-US" w:eastAsia="ja-JP"/>
        </w:rPr>
        <w:t>o</w:t>
      </w:r>
      <w:r w:rsidR="00FD59B8" w:rsidRPr="00A4272B">
        <w:rPr>
          <w:b/>
          <w:bCs/>
          <w:lang w:val="en-US" w:eastAsia="ja-JP"/>
        </w:rPr>
        <w:t xml:space="preserve">perational </w:t>
      </w:r>
      <w:r w:rsidR="002E6DB8" w:rsidRPr="00A4272B">
        <w:rPr>
          <w:b/>
          <w:bCs/>
          <w:lang w:val="en-US" w:eastAsia="ja-JP"/>
        </w:rPr>
        <w:t>c</w:t>
      </w:r>
      <w:r w:rsidR="00FD59B8" w:rsidRPr="00A4272B">
        <w:rPr>
          <w:b/>
          <w:bCs/>
          <w:lang w:val="en-US" w:eastAsia="ja-JP"/>
        </w:rPr>
        <w:t xml:space="preserve">osts for POPs </w:t>
      </w:r>
      <w:r w:rsidR="002E6DB8" w:rsidRPr="00A4272B">
        <w:rPr>
          <w:b/>
          <w:bCs/>
          <w:lang w:val="en-US" w:eastAsia="ja-JP"/>
        </w:rPr>
        <w:t>a</w:t>
      </w:r>
      <w:r w:rsidR="00FD59B8" w:rsidRPr="00A4272B">
        <w:rPr>
          <w:b/>
          <w:bCs/>
          <w:lang w:val="en-US" w:eastAsia="ja-JP"/>
        </w:rPr>
        <w:t>nalysis</w:t>
      </w:r>
      <w:r w:rsidR="00C85C14" w:rsidRPr="00A4272B">
        <w:rPr>
          <w:b/>
          <w:bCs/>
          <w:lang w:val="en-US" w:eastAsia="ja-JP"/>
        </w:rPr>
        <w:t>.</w:t>
      </w:r>
    </w:p>
    <w:tbl>
      <w:tblPr>
        <w:tblW w:w="9005" w:type="dxa"/>
        <w:tblInd w:w="103" w:type="dxa"/>
        <w:tblLook w:val="0000" w:firstRow="0" w:lastRow="0" w:firstColumn="0" w:lastColumn="0" w:noHBand="0" w:noVBand="0"/>
      </w:tblPr>
      <w:tblGrid>
        <w:gridCol w:w="5585"/>
        <w:gridCol w:w="1800"/>
        <w:gridCol w:w="1620"/>
      </w:tblGrid>
      <w:tr w:rsidR="0009469A" w:rsidRPr="00A4272B" w14:paraId="386101E4" w14:textId="77777777" w:rsidTr="00C85C14">
        <w:trPr>
          <w:trHeight w:val="255"/>
          <w:tblHeader/>
        </w:trPr>
        <w:tc>
          <w:tcPr>
            <w:tcW w:w="5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7F1678" w14:textId="77777777" w:rsidR="0009469A" w:rsidRPr="00A4272B" w:rsidRDefault="0009469A" w:rsidP="00200BA4">
            <w:pPr>
              <w:spacing w:before="40" w:after="40"/>
              <w:rPr>
                <w:rFonts w:eastAsia="SimSun"/>
                <w:b/>
                <w:bCs/>
                <w:sz w:val="18"/>
                <w:szCs w:val="18"/>
                <w:lang w:val="en-US" w:eastAsia="zh-CN"/>
              </w:rPr>
            </w:pPr>
            <w:r w:rsidRPr="00A4272B">
              <w:rPr>
                <w:rFonts w:eastAsia="SimSun"/>
                <w:b/>
                <w:bCs/>
                <w:sz w:val="18"/>
                <w:szCs w:val="18"/>
                <w:lang w:val="en-US" w:eastAsia="zh-CN"/>
              </w:rPr>
              <w:t> </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tcPr>
          <w:p w14:paraId="288DFCA5" w14:textId="77777777" w:rsidR="0009469A" w:rsidRPr="00A4272B" w:rsidRDefault="0009469A" w:rsidP="00200BA4">
            <w:pPr>
              <w:spacing w:before="40" w:after="40"/>
              <w:rPr>
                <w:rFonts w:eastAsia="SimSun"/>
                <w:b/>
                <w:bCs/>
                <w:sz w:val="18"/>
                <w:szCs w:val="18"/>
                <w:lang w:val="en-US" w:eastAsia="zh-CN"/>
              </w:rPr>
            </w:pPr>
            <w:r w:rsidRPr="00A4272B">
              <w:rPr>
                <w:rFonts w:eastAsia="SimSun"/>
                <w:b/>
                <w:bCs/>
                <w:sz w:val="18"/>
                <w:szCs w:val="18"/>
                <w:lang w:val="en-US" w:eastAsia="zh-CN"/>
              </w:rPr>
              <w:t> </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6A2213DD" w14:textId="77777777" w:rsidR="0009469A" w:rsidRPr="00A4272B" w:rsidRDefault="0009469A" w:rsidP="00200BA4">
            <w:pPr>
              <w:spacing w:before="40" w:after="40"/>
              <w:jc w:val="center"/>
              <w:rPr>
                <w:rFonts w:eastAsia="SimSun"/>
                <w:b/>
                <w:bCs/>
                <w:sz w:val="18"/>
                <w:szCs w:val="18"/>
                <w:lang w:val="en-US" w:eastAsia="zh-CN"/>
              </w:rPr>
            </w:pPr>
            <w:r w:rsidRPr="00A4272B">
              <w:rPr>
                <w:rFonts w:eastAsia="SimSun"/>
                <w:b/>
                <w:bCs/>
                <w:sz w:val="18"/>
                <w:szCs w:val="18"/>
                <w:lang w:val="en-US" w:eastAsia="zh-CN"/>
              </w:rPr>
              <w:t>USD</w:t>
            </w:r>
          </w:p>
        </w:tc>
      </w:tr>
      <w:tr w:rsidR="0009469A" w:rsidRPr="00A4272B" w14:paraId="18B992E9" w14:textId="77777777" w:rsidTr="00C85C14">
        <w:trPr>
          <w:trHeight w:val="255"/>
        </w:trPr>
        <w:tc>
          <w:tcPr>
            <w:tcW w:w="5585" w:type="dxa"/>
            <w:tcBorders>
              <w:top w:val="single" w:sz="4" w:space="0" w:color="auto"/>
              <w:left w:val="single" w:sz="4" w:space="0" w:color="auto"/>
              <w:bottom w:val="dotted" w:sz="4" w:space="0" w:color="auto"/>
              <w:right w:val="single" w:sz="4" w:space="0" w:color="auto"/>
            </w:tcBorders>
            <w:shd w:val="clear" w:color="auto" w:fill="F2F2F2" w:themeFill="background1" w:themeFillShade="F2"/>
          </w:tcPr>
          <w:p w14:paraId="7C926449" w14:textId="77777777" w:rsidR="0009469A" w:rsidRPr="00A4272B" w:rsidRDefault="0009469A" w:rsidP="00200BA4">
            <w:pPr>
              <w:spacing w:before="40" w:after="40"/>
              <w:rPr>
                <w:rFonts w:eastAsia="SimSun"/>
                <w:b/>
                <w:bCs/>
                <w:sz w:val="18"/>
                <w:szCs w:val="18"/>
                <w:lang w:val="en-US" w:eastAsia="zh-CN"/>
              </w:rPr>
            </w:pPr>
            <w:r w:rsidRPr="00A4272B">
              <w:rPr>
                <w:rFonts w:eastAsia="SimSun"/>
                <w:b/>
                <w:bCs/>
                <w:sz w:val="18"/>
                <w:szCs w:val="18"/>
                <w:lang w:val="en-US" w:eastAsia="zh-CN"/>
              </w:rPr>
              <w:t>Instrumentation - Analytical laboratory</w:t>
            </w:r>
          </w:p>
        </w:tc>
        <w:tc>
          <w:tcPr>
            <w:tcW w:w="1800" w:type="dxa"/>
            <w:tcBorders>
              <w:top w:val="single" w:sz="4" w:space="0" w:color="auto"/>
              <w:left w:val="nil"/>
              <w:bottom w:val="dotted" w:sz="4" w:space="0" w:color="auto"/>
              <w:right w:val="single" w:sz="4" w:space="0" w:color="auto"/>
            </w:tcBorders>
            <w:shd w:val="clear" w:color="auto" w:fill="F2F2F2" w:themeFill="background1" w:themeFillShade="F2"/>
          </w:tcPr>
          <w:p w14:paraId="171E4A45"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 </w:t>
            </w:r>
          </w:p>
        </w:tc>
        <w:tc>
          <w:tcPr>
            <w:tcW w:w="1620" w:type="dxa"/>
            <w:tcBorders>
              <w:top w:val="single" w:sz="4" w:space="0" w:color="auto"/>
              <w:left w:val="nil"/>
              <w:bottom w:val="dotted" w:sz="4" w:space="0" w:color="auto"/>
              <w:right w:val="single" w:sz="4" w:space="0" w:color="auto"/>
            </w:tcBorders>
            <w:shd w:val="clear" w:color="auto" w:fill="F2F2F2" w:themeFill="background1" w:themeFillShade="F2"/>
          </w:tcPr>
          <w:p w14:paraId="0013F563" w14:textId="38099C63"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 </w:t>
            </w:r>
          </w:p>
        </w:tc>
      </w:tr>
      <w:tr w:rsidR="0009469A" w:rsidRPr="00A4272B" w14:paraId="60B3B282"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7A796DAE"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GC-LRMS with autosampler</w:t>
            </w:r>
          </w:p>
        </w:tc>
        <w:tc>
          <w:tcPr>
            <w:tcW w:w="1800" w:type="dxa"/>
            <w:tcBorders>
              <w:top w:val="dotted" w:sz="4" w:space="0" w:color="auto"/>
              <w:left w:val="nil"/>
              <w:bottom w:val="dotted" w:sz="4" w:space="0" w:color="auto"/>
              <w:right w:val="single" w:sz="4" w:space="0" w:color="auto"/>
            </w:tcBorders>
            <w:shd w:val="clear" w:color="auto" w:fill="auto"/>
          </w:tcPr>
          <w:p w14:paraId="1F71A7D8"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Investment</w:t>
            </w:r>
          </w:p>
        </w:tc>
        <w:tc>
          <w:tcPr>
            <w:tcW w:w="1620" w:type="dxa"/>
            <w:tcBorders>
              <w:top w:val="dotted" w:sz="4" w:space="0" w:color="auto"/>
              <w:left w:val="nil"/>
              <w:bottom w:val="dotted" w:sz="4" w:space="0" w:color="auto"/>
              <w:right w:val="single" w:sz="4" w:space="0" w:color="auto"/>
            </w:tcBorders>
            <w:shd w:val="clear" w:color="auto" w:fill="auto"/>
          </w:tcPr>
          <w:p w14:paraId="6640D837"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140,000</w:t>
            </w:r>
          </w:p>
        </w:tc>
      </w:tr>
      <w:tr w:rsidR="0009469A" w:rsidRPr="00A4272B" w14:paraId="61EFBAFD"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68D42115"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GC-HRMS with autosampler</w:t>
            </w:r>
          </w:p>
        </w:tc>
        <w:tc>
          <w:tcPr>
            <w:tcW w:w="1800" w:type="dxa"/>
            <w:tcBorders>
              <w:top w:val="dotted" w:sz="4" w:space="0" w:color="auto"/>
              <w:left w:val="nil"/>
              <w:bottom w:val="dotted" w:sz="4" w:space="0" w:color="auto"/>
              <w:right w:val="single" w:sz="4" w:space="0" w:color="auto"/>
            </w:tcBorders>
            <w:shd w:val="clear" w:color="auto" w:fill="auto"/>
          </w:tcPr>
          <w:p w14:paraId="2D060623"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Investment</w:t>
            </w:r>
          </w:p>
        </w:tc>
        <w:tc>
          <w:tcPr>
            <w:tcW w:w="1620" w:type="dxa"/>
            <w:tcBorders>
              <w:top w:val="dotted" w:sz="4" w:space="0" w:color="auto"/>
              <w:left w:val="nil"/>
              <w:bottom w:val="dotted" w:sz="4" w:space="0" w:color="auto"/>
              <w:right w:val="single" w:sz="4" w:space="0" w:color="auto"/>
            </w:tcBorders>
            <w:shd w:val="clear" w:color="auto" w:fill="auto"/>
          </w:tcPr>
          <w:p w14:paraId="5B262895"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700,000</w:t>
            </w:r>
          </w:p>
        </w:tc>
      </w:tr>
      <w:tr w:rsidR="0009469A" w:rsidRPr="00A4272B" w14:paraId="3E5703E4" w14:textId="77777777" w:rsidTr="00200BA4">
        <w:trPr>
          <w:trHeight w:val="255"/>
        </w:trPr>
        <w:tc>
          <w:tcPr>
            <w:tcW w:w="5585" w:type="dxa"/>
            <w:tcBorders>
              <w:top w:val="dotted" w:sz="4" w:space="0" w:color="auto"/>
              <w:left w:val="single" w:sz="4" w:space="0" w:color="auto"/>
              <w:bottom w:val="single" w:sz="4" w:space="0" w:color="auto"/>
              <w:right w:val="single" w:sz="4" w:space="0" w:color="auto"/>
            </w:tcBorders>
            <w:shd w:val="clear" w:color="auto" w:fill="auto"/>
          </w:tcPr>
          <w:p w14:paraId="44E5541A"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LC-MS/MS with autosampler</w:t>
            </w:r>
          </w:p>
        </w:tc>
        <w:tc>
          <w:tcPr>
            <w:tcW w:w="1800" w:type="dxa"/>
            <w:tcBorders>
              <w:top w:val="dotted" w:sz="4" w:space="0" w:color="auto"/>
              <w:left w:val="nil"/>
              <w:bottom w:val="single" w:sz="4" w:space="0" w:color="auto"/>
              <w:right w:val="single" w:sz="4" w:space="0" w:color="auto"/>
            </w:tcBorders>
            <w:shd w:val="clear" w:color="auto" w:fill="auto"/>
          </w:tcPr>
          <w:p w14:paraId="2CD83B45"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Investment</w:t>
            </w:r>
          </w:p>
        </w:tc>
        <w:tc>
          <w:tcPr>
            <w:tcW w:w="1620" w:type="dxa"/>
            <w:tcBorders>
              <w:top w:val="dotted" w:sz="4" w:space="0" w:color="auto"/>
              <w:left w:val="nil"/>
              <w:bottom w:val="single" w:sz="4" w:space="0" w:color="auto"/>
              <w:right w:val="single" w:sz="4" w:space="0" w:color="auto"/>
            </w:tcBorders>
            <w:shd w:val="clear" w:color="auto" w:fill="auto"/>
          </w:tcPr>
          <w:p w14:paraId="7E668707"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200,000</w:t>
            </w:r>
          </w:p>
        </w:tc>
      </w:tr>
      <w:tr w:rsidR="0009469A" w:rsidRPr="00A4272B" w14:paraId="79763A40" w14:textId="77777777" w:rsidTr="00C85C14">
        <w:trPr>
          <w:trHeight w:val="255"/>
        </w:trPr>
        <w:tc>
          <w:tcPr>
            <w:tcW w:w="5585" w:type="dxa"/>
            <w:tcBorders>
              <w:top w:val="single" w:sz="4" w:space="0" w:color="auto"/>
              <w:left w:val="single" w:sz="4" w:space="0" w:color="auto"/>
              <w:bottom w:val="dotted" w:sz="4" w:space="0" w:color="auto"/>
              <w:right w:val="single" w:sz="4" w:space="0" w:color="auto"/>
            </w:tcBorders>
            <w:shd w:val="clear" w:color="auto" w:fill="F2F2F2" w:themeFill="background1" w:themeFillShade="F2"/>
          </w:tcPr>
          <w:p w14:paraId="2B3D0E7B" w14:textId="77777777" w:rsidR="0009469A" w:rsidRPr="00A4272B" w:rsidRDefault="0009469A" w:rsidP="00200BA4">
            <w:pPr>
              <w:spacing w:before="40" w:after="40"/>
              <w:rPr>
                <w:rFonts w:eastAsia="SimSun"/>
                <w:b/>
                <w:bCs/>
                <w:sz w:val="18"/>
                <w:szCs w:val="18"/>
                <w:lang w:val="en-US" w:eastAsia="zh-CN"/>
              </w:rPr>
            </w:pPr>
            <w:r w:rsidRPr="00A4272B">
              <w:rPr>
                <w:rFonts w:eastAsia="SimSun"/>
                <w:b/>
                <w:bCs/>
                <w:sz w:val="18"/>
                <w:szCs w:val="18"/>
                <w:lang w:val="en-US" w:eastAsia="zh-CN"/>
              </w:rPr>
              <w:t>Air samplers</w:t>
            </w:r>
          </w:p>
        </w:tc>
        <w:tc>
          <w:tcPr>
            <w:tcW w:w="1800" w:type="dxa"/>
            <w:tcBorders>
              <w:top w:val="single" w:sz="4" w:space="0" w:color="auto"/>
              <w:left w:val="nil"/>
              <w:bottom w:val="dotted" w:sz="4" w:space="0" w:color="auto"/>
              <w:right w:val="single" w:sz="4" w:space="0" w:color="auto"/>
            </w:tcBorders>
            <w:shd w:val="clear" w:color="auto" w:fill="F2F2F2" w:themeFill="background1" w:themeFillShade="F2"/>
          </w:tcPr>
          <w:p w14:paraId="6061578D"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 </w:t>
            </w:r>
          </w:p>
        </w:tc>
        <w:tc>
          <w:tcPr>
            <w:tcW w:w="1620" w:type="dxa"/>
            <w:tcBorders>
              <w:top w:val="single" w:sz="4" w:space="0" w:color="auto"/>
              <w:left w:val="nil"/>
              <w:bottom w:val="dotted" w:sz="4" w:space="0" w:color="auto"/>
              <w:right w:val="single" w:sz="4" w:space="0" w:color="auto"/>
            </w:tcBorders>
            <w:shd w:val="clear" w:color="auto" w:fill="F2F2F2" w:themeFill="background1" w:themeFillShade="F2"/>
          </w:tcPr>
          <w:p w14:paraId="1168B862" w14:textId="3B3630AC" w:rsidR="0009469A" w:rsidRPr="00A4272B" w:rsidRDefault="0009469A" w:rsidP="00200BA4">
            <w:pPr>
              <w:spacing w:before="40" w:after="40"/>
              <w:jc w:val="center"/>
              <w:rPr>
                <w:rFonts w:eastAsia="SimSun"/>
                <w:b/>
                <w:bCs/>
                <w:sz w:val="18"/>
                <w:szCs w:val="18"/>
                <w:lang w:val="en-US" w:eastAsia="zh-CN"/>
              </w:rPr>
            </w:pPr>
          </w:p>
        </w:tc>
      </w:tr>
      <w:tr w:rsidR="0009469A" w:rsidRPr="00A4272B" w14:paraId="45B2C6C1" w14:textId="77777777" w:rsidTr="00200BA4">
        <w:trPr>
          <w:trHeight w:val="255"/>
        </w:trPr>
        <w:tc>
          <w:tcPr>
            <w:tcW w:w="5585" w:type="dxa"/>
            <w:tcBorders>
              <w:top w:val="dotted" w:sz="4" w:space="0" w:color="auto"/>
              <w:left w:val="single" w:sz="4" w:space="0" w:color="auto"/>
              <w:bottom w:val="single" w:sz="4" w:space="0" w:color="auto"/>
              <w:right w:val="single" w:sz="4" w:space="0" w:color="auto"/>
            </w:tcBorders>
            <w:shd w:val="clear" w:color="auto" w:fill="auto"/>
          </w:tcPr>
          <w:p w14:paraId="47A5A15C"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Low-volume sampler</w:t>
            </w:r>
          </w:p>
        </w:tc>
        <w:tc>
          <w:tcPr>
            <w:tcW w:w="1800" w:type="dxa"/>
            <w:tcBorders>
              <w:top w:val="dotted" w:sz="4" w:space="0" w:color="auto"/>
              <w:left w:val="nil"/>
              <w:bottom w:val="single" w:sz="4" w:space="0" w:color="auto"/>
              <w:right w:val="single" w:sz="4" w:space="0" w:color="auto"/>
            </w:tcBorders>
            <w:shd w:val="clear" w:color="auto" w:fill="auto"/>
          </w:tcPr>
          <w:p w14:paraId="382C26DB"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piece</w:t>
            </w:r>
          </w:p>
        </w:tc>
        <w:tc>
          <w:tcPr>
            <w:tcW w:w="1620" w:type="dxa"/>
            <w:tcBorders>
              <w:top w:val="dotted" w:sz="4" w:space="0" w:color="auto"/>
              <w:left w:val="nil"/>
              <w:bottom w:val="single" w:sz="4" w:space="0" w:color="auto"/>
              <w:right w:val="single" w:sz="4" w:space="0" w:color="auto"/>
            </w:tcBorders>
            <w:shd w:val="clear" w:color="auto" w:fill="auto"/>
          </w:tcPr>
          <w:p w14:paraId="10DB70A2"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10,000</w:t>
            </w:r>
          </w:p>
        </w:tc>
      </w:tr>
      <w:tr w:rsidR="0009469A" w:rsidRPr="00A4272B" w14:paraId="3D6CB0E0" w14:textId="77777777" w:rsidTr="00200BA4">
        <w:trPr>
          <w:trHeight w:val="255"/>
        </w:trPr>
        <w:tc>
          <w:tcPr>
            <w:tcW w:w="5585" w:type="dxa"/>
            <w:tcBorders>
              <w:top w:val="nil"/>
              <w:left w:val="single" w:sz="4" w:space="0" w:color="auto"/>
              <w:bottom w:val="single" w:sz="4" w:space="0" w:color="auto"/>
              <w:right w:val="single" w:sz="4" w:space="0" w:color="auto"/>
            </w:tcBorders>
            <w:shd w:val="clear" w:color="auto" w:fill="auto"/>
          </w:tcPr>
          <w:p w14:paraId="767FA2DE"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Passive air sampler</w:t>
            </w:r>
          </w:p>
        </w:tc>
        <w:tc>
          <w:tcPr>
            <w:tcW w:w="1800" w:type="dxa"/>
            <w:tcBorders>
              <w:top w:val="nil"/>
              <w:left w:val="nil"/>
              <w:bottom w:val="single" w:sz="4" w:space="0" w:color="auto"/>
              <w:right w:val="single" w:sz="4" w:space="0" w:color="auto"/>
            </w:tcBorders>
            <w:shd w:val="clear" w:color="auto" w:fill="auto"/>
          </w:tcPr>
          <w:p w14:paraId="199806CD"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piece</w:t>
            </w:r>
          </w:p>
        </w:tc>
        <w:tc>
          <w:tcPr>
            <w:tcW w:w="1620" w:type="dxa"/>
            <w:tcBorders>
              <w:top w:val="nil"/>
              <w:left w:val="nil"/>
              <w:bottom w:val="single" w:sz="4" w:space="0" w:color="auto"/>
              <w:right w:val="single" w:sz="4" w:space="0" w:color="auto"/>
            </w:tcBorders>
            <w:shd w:val="clear" w:color="auto" w:fill="auto"/>
          </w:tcPr>
          <w:p w14:paraId="7849AC87"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150</w:t>
            </w:r>
          </w:p>
        </w:tc>
      </w:tr>
      <w:tr w:rsidR="0009469A" w:rsidRPr="00A4272B" w14:paraId="4661602C" w14:textId="77777777" w:rsidTr="00200BA4">
        <w:trPr>
          <w:trHeight w:val="255"/>
        </w:trPr>
        <w:tc>
          <w:tcPr>
            <w:tcW w:w="5585" w:type="dxa"/>
            <w:tcBorders>
              <w:top w:val="nil"/>
              <w:left w:val="single" w:sz="4" w:space="0" w:color="auto"/>
              <w:bottom w:val="single" w:sz="4" w:space="0" w:color="auto"/>
              <w:right w:val="single" w:sz="4" w:space="0" w:color="auto"/>
            </w:tcBorders>
            <w:shd w:val="clear" w:color="auto" w:fill="auto"/>
          </w:tcPr>
          <w:p w14:paraId="0DCA68B4"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Grab water sampling bottle with cap (500 mL)</w:t>
            </w:r>
          </w:p>
        </w:tc>
        <w:tc>
          <w:tcPr>
            <w:tcW w:w="1800" w:type="dxa"/>
            <w:tcBorders>
              <w:top w:val="nil"/>
              <w:left w:val="nil"/>
              <w:bottom w:val="single" w:sz="4" w:space="0" w:color="auto"/>
              <w:right w:val="single" w:sz="4" w:space="0" w:color="auto"/>
            </w:tcBorders>
            <w:shd w:val="clear" w:color="auto" w:fill="auto"/>
          </w:tcPr>
          <w:p w14:paraId="291F8760"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piece</w:t>
            </w:r>
          </w:p>
        </w:tc>
        <w:tc>
          <w:tcPr>
            <w:tcW w:w="1620" w:type="dxa"/>
            <w:tcBorders>
              <w:top w:val="nil"/>
              <w:left w:val="nil"/>
              <w:bottom w:val="single" w:sz="4" w:space="0" w:color="auto"/>
              <w:right w:val="single" w:sz="4" w:space="0" w:color="auto"/>
            </w:tcBorders>
            <w:shd w:val="clear" w:color="auto" w:fill="auto"/>
          </w:tcPr>
          <w:p w14:paraId="39993A61"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5</w:t>
            </w:r>
          </w:p>
        </w:tc>
      </w:tr>
      <w:tr w:rsidR="0009469A" w:rsidRPr="00A4272B" w14:paraId="1F353814" w14:textId="77777777" w:rsidTr="00C85C14">
        <w:trPr>
          <w:trHeight w:val="255"/>
        </w:trPr>
        <w:tc>
          <w:tcPr>
            <w:tcW w:w="5585" w:type="dxa"/>
            <w:tcBorders>
              <w:top w:val="nil"/>
              <w:left w:val="single" w:sz="4" w:space="0" w:color="auto"/>
              <w:bottom w:val="single" w:sz="4" w:space="0" w:color="auto"/>
              <w:right w:val="single" w:sz="4" w:space="0" w:color="auto"/>
            </w:tcBorders>
            <w:shd w:val="clear" w:color="auto" w:fill="F2F2F2" w:themeFill="background1" w:themeFillShade="F2"/>
          </w:tcPr>
          <w:p w14:paraId="20B35606" w14:textId="77777777" w:rsidR="0009469A" w:rsidRPr="00A4272B" w:rsidRDefault="0009469A" w:rsidP="00200BA4">
            <w:pPr>
              <w:spacing w:before="40" w:after="40"/>
              <w:rPr>
                <w:rFonts w:eastAsia="SimSun"/>
                <w:b/>
                <w:bCs/>
                <w:sz w:val="18"/>
                <w:szCs w:val="18"/>
                <w:lang w:val="en-US" w:eastAsia="zh-CN"/>
              </w:rPr>
            </w:pPr>
            <w:r w:rsidRPr="00A4272B">
              <w:rPr>
                <w:rFonts w:eastAsia="SimSun"/>
                <w:b/>
                <w:bCs/>
                <w:sz w:val="18"/>
                <w:szCs w:val="18"/>
                <w:lang w:val="en-US" w:eastAsia="zh-CN"/>
              </w:rPr>
              <w:t>Consumables</w:t>
            </w:r>
          </w:p>
        </w:tc>
        <w:tc>
          <w:tcPr>
            <w:tcW w:w="1800" w:type="dxa"/>
            <w:tcBorders>
              <w:top w:val="nil"/>
              <w:left w:val="nil"/>
              <w:bottom w:val="single" w:sz="4" w:space="0" w:color="auto"/>
              <w:right w:val="single" w:sz="4" w:space="0" w:color="auto"/>
            </w:tcBorders>
            <w:shd w:val="clear" w:color="auto" w:fill="F2F2F2" w:themeFill="background1" w:themeFillShade="F2"/>
          </w:tcPr>
          <w:p w14:paraId="1AF7D616"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 </w:t>
            </w:r>
          </w:p>
        </w:tc>
        <w:tc>
          <w:tcPr>
            <w:tcW w:w="1620" w:type="dxa"/>
            <w:tcBorders>
              <w:top w:val="nil"/>
              <w:left w:val="nil"/>
              <w:bottom w:val="single" w:sz="4" w:space="0" w:color="auto"/>
              <w:right w:val="single" w:sz="4" w:space="0" w:color="auto"/>
            </w:tcBorders>
            <w:shd w:val="clear" w:color="auto" w:fill="F2F2F2" w:themeFill="background1" w:themeFillShade="F2"/>
          </w:tcPr>
          <w:p w14:paraId="30DCBC6C"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 </w:t>
            </w:r>
          </w:p>
        </w:tc>
      </w:tr>
      <w:tr w:rsidR="0009469A" w:rsidRPr="00A4272B" w14:paraId="7ED3D468" w14:textId="77777777" w:rsidTr="00200BA4">
        <w:trPr>
          <w:trHeight w:val="255"/>
        </w:trPr>
        <w:tc>
          <w:tcPr>
            <w:tcW w:w="5585" w:type="dxa"/>
            <w:tcBorders>
              <w:top w:val="single" w:sz="4" w:space="0" w:color="auto"/>
              <w:left w:val="single" w:sz="4" w:space="0" w:color="auto"/>
              <w:bottom w:val="dotted" w:sz="4" w:space="0" w:color="auto"/>
              <w:right w:val="single" w:sz="4" w:space="0" w:color="auto"/>
            </w:tcBorders>
            <w:shd w:val="clear" w:color="auto" w:fill="auto"/>
          </w:tcPr>
          <w:p w14:paraId="57B51D9F"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Quartz filter plus PUF plugs</w:t>
            </w:r>
          </w:p>
        </w:tc>
        <w:tc>
          <w:tcPr>
            <w:tcW w:w="1800" w:type="dxa"/>
            <w:tcBorders>
              <w:top w:val="single" w:sz="4" w:space="0" w:color="auto"/>
              <w:left w:val="nil"/>
              <w:bottom w:val="dotted" w:sz="4" w:space="0" w:color="auto"/>
              <w:right w:val="single" w:sz="4" w:space="0" w:color="auto"/>
            </w:tcBorders>
            <w:shd w:val="clear" w:color="auto" w:fill="auto"/>
          </w:tcPr>
          <w:p w14:paraId="5A3E4C1B"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set</w:t>
            </w:r>
          </w:p>
        </w:tc>
        <w:tc>
          <w:tcPr>
            <w:tcW w:w="1620" w:type="dxa"/>
            <w:tcBorders>
              <w:top w:val="single" w:sz="4" w:space="0" w:color="auto"/>
              <w:left w:val="nil"/>
              <w:bottom w:val="dotted" w:sz="4" w:space="0" w:color="auto"/>
              <w:right w:val="single" w:sz="4" w:space="0" w:color="auto"/>
            </w:tcBorders>
            <w:shd w:val="clear" w:color="auto" w:fill="auto"/>
          </w:tcPr>
          <w:p w14:paraId="22FA7E81" w14:textId="41434AF0" w:rsidR="0009469A" w:rsidRPr="00A4272B" w:rsidRDefault="0009469A" w:rsidP="00182A00">
            <w:pPr>
              <w:spacing w:before="40" w:after="40"/>
              <w:jc w:val="right"/>
              <w:rPr>
                <w:rFonts w:eastAsia="SimSun"/>
                <w:sz w:val="18"/>
                <w:szCs w:val="18"/>
                <w:lang w:val="en-US" w:eastAsia="zh-CN"/>
              </w:rPr>
            </w:pPr>
            <w:r w:rsidRPr="00A4272B">
              <w:rPr>
                <w:rFonts w:eastAsia="SimSun"/>
                <w:sz w:val="18"/>
                <w:szCs w:val="18"/>
                <w:lang w:val="en-US" w:eastAsia="zh-CN"/>
              </w:rPr>
              <w:t> </w:t>
            </w:r>
            <w:r w:rsidR="002F518F" w:rsidRPr="00A4272B">
              <w:rPr>
                <w:rFonts w:eastAsia="SimSun"/>
                <w:sz w:val="18"/>
                <w:szCs w:val="18"/>
                <w:lang w:val="en-US" w:eastAsia="zh-CN"/>
              </w:rPr>
              <w:t>40</w:t>
            </w:r>
          </w:p>
        </w:tc>
      </w:tr>
      <w:tr w:rsidR="0009469A" w:rsidRPr="00A4272B" w14:paraId="08CF5382" w14:textId="77777777" w:rsidTr="00200BA4">
        <w:trPr>
          <w:trHeight w:val="255"/>
        </w:trPr>
        <w:tc>
          <w:tcPr>
            <w:tcW w:w="5585" w:type="dxa"/>
            <w:tcBorders>
              <w:top w:val="dotted" w:sz="4" w:space="0" w:color="auto"/>
              <w:left w:val="single" w:sz="4" w:space="0" w:color="auto"/>
              <w:bottom w:val="single" w:sz="4" w:space="0" w:color="auto"/>
              <w:right w:val="single" w:sz="4" w:space="0" w:color="auto"/>
            </w:tcBorders>
            <w:shd w:val="clear" w:color="auto" w:fill="auto"/>
          </w:tcPr>
          <w:p w14:paraId="1F8886CE"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Pre-cleaned PUF plugs/disks</w:t>
            </w:r>
          </w:p>
        </w:tc>
        <w:tc>
          <w:tcPr>
            <w:tcW w:w="1800" w:type="dxa"/>
            <w:tcBorders>
              <w:top w:val="dotted" w:sz="4" w:space="0" w:color="auto"/>
              <w:left w:val="nil"/>
              <w:bottom w:val="single" w:sz="4" w:space="0" w:color="auto"/>
              <w:right w:val="single" w:sz="4" w:space="0" w:color="auto"/>
            </w:tcBorders>
            <w:shd w:val="clear" w:color="auto" w:fill="auto"/>
          </w:tcPr>
          <w:p w14:paraId="53A84B66"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disk</w:t>
            </w:r>
          </w:p>
        </w:tc>
        <w:tc>
          <w:tcPr>
            <w:tcW w:w="1620" w:type="dxa"/>
            <w:tcBorders>
              <w:top w:val="dotted" w:sz="4" w:space="0" w:color="auto"/>
              <w:left w:val="nil"/>
              <w:bottom w:val="single" w:sz="4" w:space="0" w:color="auto"/>
              <w:right w:val="single" w:sz="4" w:space="0" w:color="auto"/>
            </w:tcBorders>
            <w:shd w:val="clear" w:color="auto" w:fill="auto"/>
          </w:tcPr>
          <w:p w14:paraId="7A617B97"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20</w:t>
            </w:r>
          </w:p>
        </w:tc>
      </w:tr>
      <w:tr w:rsidR="0009469A" w:rsidRPr="00A4272B" w14:paraId="605DB71E" w14:textId="77777777" w:rsidTr="00C85C14">
        <w:trPr>
          <w:trHeight w:val="255"/>
        </w:trPr>
        <w:tc>
          <w:tcPr>
            <w:tcW w:w="5585" w:type="dxa"/>
            <w:tcBorders>
              <w:top w:val="single" w:sz="4" w:space="0" w:color="auto"/>
              <w:left w:val="single" w:sz="4" w:space="0" w:color="auto"/>
              <w:bottom w:val="dotted" w:sz="4" w:space="0" w:color="auto"/>
              <w:right w:val="single" w:sz="4" w:space="0" w:color="auto"/>
            </w:tcBorders>
            <w:shd w:val="clear" w:color="auto" w:fill="F2F2F2" w:themeFill="background1" w:themeFillShade="F2"/>
          </w:tcPr>
          <w:p w14:paraId="14C35B40" w14:textId="77777777" w:rsidR="0009469A" w:rsidRPr="00A4272B" w:rsidRDefault="0009469A" w:rsidP="00200BA4">
            <w:pPr>
              <w:spacing w:before="40" w:after="40"/>
              <w:rPr>
                <w:rFonts w:eastAsia="SimSun"/>
                <w:b/>
                <w:bCs/>
                <w:sz w:val="18"/>
                <w:szCs w:val="18"/>
                <w:lang w:val="en-US" w:eastAsia="zh-CN"/>
              </w:rPr>
            </w:pPr>
            <w:r w:rsidRPr="00A4272B">
              <w:rPr>
                <w:rFonts w:eastAsia="SimSun"/>
                <w:b/>
                <w:bCs/>
                <w:sz w:val="18"/>
                <w:szCs w:val="18"/>
                <w:lang w:val="en-US" w:eastAsia="zh-CN"/>
              </w:rPr>
              <w:lastRenderedPageBreak/>
              <w:t>Analysis to third parties (cost per sample)</w:t>
            </w:r>
          </w:p>
        </w:tc>
        <w:tc>
          <w:tcPr>
            <w:tcW w:w="1800" w:type="dxa"/>
            <w:tcBorders>
              <w:top w:val="single" w:sz="4" w:space="0" w:color="auto"/>
              <w:left w:val="nil"/>
              <w:bottom w:val="dotted" w:sz="4" w:space="0" w:color="auto"/>
              <w:right w:val="single" w:sz="4" w:space="0" w:color="auto"/>
            </w:tcBorders>
            <w:shd w:val="clear" w:color="auto" w:fill="F2F2F2" w:themeFill="background1" w:themeFillShade="F2"/>
          </w:tcPr>
          <w:p w14:paraId="2590627F"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Preferred method</w:t>
            </w:r>
          </w:p>
        </w:tc>
        <w:tc>
          <w:tcPr>
            <w:tcW w:w="1620" w:type="dxa"/>
            <w:tcBorders>
              <w:top w:val="single" w:sz="4" w:space="0" w:color="auto"/>
              <w:left w:val="nil"/>
              <w:bottom w:val="dotted" w:sz="4" w:space="0" w:color="auto"/>
              <w:right w:val="single" w:sz="4" w:space="0" w:color="auto"/>
            </w:tcBorders>
            <w:shd w:val="clear" w:color="auto" w:fill="F2F2F2" w:themeFill="background1" w:themeFillShade="F2"/>
          </w:tcPr>
          <w:p w14:paraId="2F1F571D" w14:textId="28F616FE" w:rsidR="0009469A" w:rsidRPr="00A4272B" w:rsidRDefault="0009469A" w:rsidP="00200BA4">
            <w:pPr>
              <w:spacing w:before="40" w:after="40"/>
              <w:jc w:val="center"/>
              <w:rPr>
                <w:rFonts w:eastAsia="SimSun"/>
                <w:b/>
                <w:bCs/>
                <w:sz w:val="18"/>
                <w:szCs w:val="18"/>
                <w:lang w:val="en-US" w:eastAsia="zh-CN"/>
              </w:rPr>
            </w:pPr>
          </w:p>
        </w:tc>
      </w:tr>
      <w:tr w:rsidR="0009469A" w:rsidRPr="00A4272B" w14:paraId="35F0BD8F"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0646F3F6" w14:textId="040172E4" w:rsidR="0009469A" w:rsidRPr="00A4272B" w:rsidRDefault="0051584B" w:rsidP="00200BA4">
            <w:pPr>
              <w:spacing w:before="40" w:after="40"/>
              <w:rPr>
                <w:rFonts w:eastAsia="SimSun"/>
                <w:sz w:val="18"/>
                <w:szCs w:val="18"/>
                <w:lang w:val="en-US" w:eastAsia="zh-CN"/>
              </w:rPr>
            </w:pPr>
            <w:r w:rsidRPr="00A4272B">
              <w:rPr>
                <w:rFonts w:eastAsia="SimSun"/>
                <w:sz w:val="18"/>
                <w:szCs w:val="18"/>
                <w:lang w:val="en-US" w:eastAsia="zh-CN"/>
              </w:rPr>
              <w:t>PCDDs/Fs</w:t>
            </w:r>
          </w:p>
        </w:tc>
        <w:tc>
          <w:tcPr>
            <w:tcW w:w="1800" w:type="dxa"/>
            <w:tcBorders>
              <w:top w:val="dotted" w:sz="4" w:space="0" w:color="auto"/>
              <w:left w:val="nil"/>
              <w:bottom w:val="dotted" w:sz="4" w:space="0" w:color="auto"/>
              <w:right w:val="single" w:sz="4" w:space="0" w:color="auto"/>
            </w:tcBorders>
            <w:shd w:val="clear" w:color="auto" w:fill="auto"/>
          </w:tcPr>
          <w:p w14:paraId="6B09D3B8"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HRGC-HRMS</w:t>
            </w:r>
          </w:p>
        </w:tc>
        <w:tc>
          <w:tcPr>
            <w:tcW w:w="1620" w:type="dxa"/>
            <w:tcBorders>
              <w:top w:val="dotted" w:sz="4" w:space="0" w:color="auto"/>
              <w:left w:val="nil"/>
              <w:bottom w:val="dotted" w:sz="4" w:space="0" w:color="auto"/>
              <w:right w:val="single" w:sz="4" w:space="0" w:color="auto"/>
            </w:tcBorders>
            <w:shd w:val="clear" w:color="auto" w:fill="auto"/>
          </w:tcPr>
          <w:p w14:paraId="730C3240"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900</w:t>
            </w:r>
          </w:p>
        </w:tc>
      </w:tr>
      <w:tr w:rsidR="0009469A" w:rsidRPr="00A4272B" w14:paraId="7ADE3B27"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6FA4D79C"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dl-PCB (when in addition to PCDD/Fs)</w:t>
            </w:r>
          </w:p>
        </w:tc>
        <w:tc>
          <w:tcPr>
            <w:tcW w:w="1800" w:type="dxa"/>
            <w:tcBorders>
              <w:top w:val="dotted" w:sz="4" w:space="0" w:color="auto"/>
              <w:left w:val="nil"/>
              <w:bottom w:val="dotted" w:sz="4" w:space="0" w:color="auto"/>
              <w:right w:val="single" w:sz="4" w:space="0" w:color="auto"/>
            </w:tcBorders>
            <w:shd w:val="clear" w:color="auto" w:fill="auto"/>
          </w:tcPr>
          <w:p w14:paraId="21F07283"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HRGC-HRMS</w:t>
            </w:r>
          </w:p>
        </w:tc>
        <w:tc>
          <w:tcPr>
            <w:tcW w:w="1620" w:type="dxa"/>
            <w:tcBorders>
              <w:top w:val="dotted" w:sz="4" w:space="0" w:color="auto"/>
              <w:left w:val="nil"/>
              <w:bottom w:val="dotted" w:sz="4" w:space="0" w:color="auto"/>
              <w:right w:val="single" w:sz="4" w:space="0" w:color="auto"/>
            </w:tcBorders>
            <w:shd w:val="clear" w:color="auto" w:fill="auto"/>
          </w:tcPr>
          <w:p w14:paraId="2065C25D"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350</w:t>
            </w:r>
          </w:p>
        </w:tc>
      </w:tr>
      <w:tr w:rsidR="0009469A" w:rsidRPr="00A4272B" w14:paraId="22463D85"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3A905169"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PCNs</w:t>
            </w:r>
          </w:p>
        </w:tc>
        <w:tc>
          <w:tcPr>
            <w:tcW w:w="1800" w:type="dxa"/>
            <w:tcBorders>
              <w:top w:val="dotted" w:sz="4" w:space="0" w:color="auto"/>
              <w:left w:val="nil"/>
              <w:bottom w:val="dotted" w:sz="4" w:space="0" w:color="auto"/>
              <w:right w:val="single" w:sz="4" w:space="0" w:color="auto"/>
            </w:tcBorders>
            <w:shd w:val="clear" w:color="auto" w:fill="auto"/>
          </w:tcPr>
          <w:p w14:paraId="4D9007EE"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HRGC-HRMS</w:t>
            </w:r>
          </w:p>
        </w:tc>
        <w:tc>
          <w:tcPr>
            <w:tcW w:w="1620" w:type="dxa"/>
            <w:tcBorders>
              <w:top w:val="dotted" w:sz="4" w:space="0" w:color="auto"/>
              <w:left w:val="nil"/>
              <w:bottom w:val="dotted" w:sz="4" w:space="0" w:color="auto"/>
              <w:right w:val="single" w:sz="4" w:space="0" w:color="auto"/>
            </w:tcBorders>
            <w:shd w:val="clear" w:color="auto" w:fill="auto"/>
          </w:tcPr>
          <w:p w14:paraId="298D06AF"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450</w:t>
            </w:r>
          </w:p>
        </w:tc>
      </w:tr>
      <w:tr w:rsidR="0009469A" w:rsidRPr="00A4272B" w14:paraId="59987CEB"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7BB2D7E7"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TEQ (total)</w:t>
            </w:r>
          </w:p>
        </w:tc>
        <w:tc>
          <w:tcPr>
            <w:tcW w:w="1800" w:type="dxa"/>
            <w:tcBorders>
              <w:top w:val="dotted" w:sz="4" w:space="0" w:color="auto"/>
              <w:left w:val="nil"/>
              <w:bottom w:val="dotted" w:sz="4" w:space="0" w:color="auto"/>
              <w:right w:val="single" w:sz="4" w:space="0" w:color="auto"/>
            </w:tcBorders>
            <w:shd w:val="clear" w:color="auto" w:fill="auto"/>
          </w:tcPr>
          <w:p w14:paraId="1711A8CA"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HRGC-HRMS</w:t>
            </w:r>
          </w:p>
        </w:tc>
        <w:tc>
          <w:tcPr>
            <w:tcW w:w="1620" w:type="dxa"/>
            <w:tcBorders>
              <w:top w:val="dotted" w:sz="4" w:space="0" w:color="auto"/>
              <w:left w:val="nil"/>
              <w:bottom w:val="dotted" w:sz="4" w:space="0" w:color="auto"/>
              <w:right w:val="single" w:sz="4" w:space="0" w:color="auto"/>
            </w:tcBorders>
            <w:shd w:val="clear" w:color="auto" w:fill="auto"/>
          </w:tcPr>
          <w:p w14:paraId="1B850834"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1,150</w:t>
            </w:r>
          </w:p>
        </w:tc>
      </w:tr>
      <w:tr w:rsidR="0009469A" w:rsidRPr="00A4272B" w14:paraId="2CCCED82" w14:textId="77777777" w:rsidTr="00200BA4">
        <w:trPr>
          <w:trHeight w:val="510"/>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49FD2EE5"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POPs pesticides+indicator PCB+ endosulfan</w:t>
            </w:r>
            <w:r w:rsidRPr="00A4272B">
              <w:rPr>
                <w:rFonts w:eastAsia="SimSun"/>
                <w:sz w:val="18"/>
                <w:szCs w:val="18"/>
                <w:lang w:val="en-US" w:eastAsia="zh-CN"/>
              </w:rPr>
              <w:br/>
              <w:t>(without toxaphene)</w:t>
            </w:r>
          </w:p>
        </w:tc>
        <w:tc>
          <w:tcPr>
            <w:tcW w:w="1800" w:type="dxa"/>
            <w:tcBorders>
              <w:top w:val="dotted" w:sz="4" w:space="0" w:color="auto"/>
              <w:left w:val="nil"/>
              <w:bottom w:val="dotted" w:sz="4" w:space="0" w:color="auto"/>
              <w:right w:val="single" w:sz="4" w:space="0" w:color="auto"/>
            </w:tcBorders>
            <w:shd w:val="clear" w:color="auto" w:fill="auto"/>
          </w:tcPr>
          <w:p w14:paraId="10FCD3C5"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HRGC-HRMS, HRGC-LRMS, HRGC-ECD</w:t>
            </w:r>
          </w:p>
        </w:tc>
        <w:tc>
          <w:tcPr>
            <w:tcW w:w="1620" w:type="dxa"/>
            <w:tcBorders>
              <w:top w:val="dotted" w:sz="4" w:space="0" w:color="auto"/>
              <w:left w:val="nil"/>
              <w:bottom w:val="dotted" w:sz="4" w:space="0" w:color="auto"/>
              <w:right w:val="single" w:sz="4" w:space="0" w:color="auto"/>
            </w:tcBorders>
            <w:shd w:val="clear" w:color="auto" w:fill="auto"/>
          </w:tcPr>
          <w:p w14:paraId="4E54F878"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700</w:t>
            </w:r>
          </w:p>
        </w:tc>
      </w:tr>
      <w:tr w:rsidR="0009469A" w:rsidRPr="00A4272B" w14:paraId="7B2AA6AF" w14:textId="77777777" w:rsidTr="00200BA4">
        <w:trPr>
          <w:trHeight w:val="510"/>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4CC06CDE"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Toxaphene</w:t>
            </w:r>
          </w:p>
        </w:tc>
        <w:tc>
          <w:tcPr>
            <w:tcW w:w="1800" w:type="dxa"/>
            <w:tcBorders>
              <w:top w:val="dotted" w:sz="4" w:space="0" w:color="auto"/>
              <w:left w:val="nil"/>
              <w:bottom w:val="dotted" w:sz="4" w:space="0" w:color="auto"/>
              <w:right w:val="single" w:sz="4" w:space="0" w:color="auto"/>
            </w:tcBorders>
            <w:shd w:val="clear" w:color="auto" w:fill="auto"/>
          </w:tcPr>
          <w:p w14:paraId="0D1D55EC"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HRGC-LRMS, HRGC-HRMS</w:t>
            </w:r>
          </w:p>
        </w:tc>
        <w:tc>
          <w:tcPr>
            <w:tcW w:w="1620" w:type="dxa"/>
            <w:tcBorders>
              <w:top w:val="dotted" w:sz="4" w:space="0" w:color="auto"/>
              <w:left w:val="nil"/>
              <w:bottom w:val="dotted" w:sz="4" w:space="0" w:color="auto"/>
              <w:right w:val="single" w:sz="4" w:space="0" w:color="auto"/>
            </w:tcBorders>
            <w:shd w:val="clear" w:color="auto" w:fill="auto"/>
          </w:tcPr>
          <w:p w14:paraId="3975E6F9" w14:textId="77777777" w:rsidR="0009469A" w:rsidRPr="00A4272B" w:rsidDel="008A44D1"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350</w:t>
            </w:r>
          </w:p>
        </w:tc>
      </w:tr>
      <w:tr w:rsidR="0009469A" w:rsidRPr="00A4272B" w14:paraId="067C0EED"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2E498BAD"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PBDE+PBB153+HBCD screen</w:t>
            </w:r>
          </w:p>
        </w:tc>
        <w:tc>
          <w:tcPr>
            <w:tcW w:w="1800" w:type="dxa"/>
            <w:tcBorders>
              <w:top w:val="dotted" w:sz="4" w:space="0" w:color="auto"/>
              <w:left w:val="nil"/>
              <w:bottom w:val="dotted" w:sz="4" w:space="0" w:color="auto"/>
              <w:right w:val="single" w:sz="4" w:space="0" w:color="auto"/>
            </w:tcBorders>
            <w:shd w:val="clear" w:color="auto" w:fill="auto"/>
          </w:tcPr>
          <w:p w14:paraId="56802850"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HRGC-LRMS, HRGC-HRMS</w:t>
            </w:r>
          </w:p>
        </w:tc>
        <w:tc>
          <w:tcPr>
            <w:tcW w:w="1620" w:type="dxa"/>
            <w:tcBorders>
              <w:top w:val="dotted" w:sz="4" w:space="0" w:color="auto"/>
              <w:left w:val="nil"/>
              <w:bottom w:val="dotted" w:sz="4" w:space="0" w:color="auto"/>
              <w:right w:val="single" w:sz="4" w:space="0" w:color="auto"/>
            </w:tcBorders>
            <w:shd w:val="clear" w:color="auto" w:fill="auto"/>
          </w:tcPr>
          <w:p w14:paraId="0D97754F"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450</w:t>
            </w:r>
          </w:p>
        </w:tc>
      </w:tr>
      <w:tr w:rsidR="0009469A" w:rsidRPr="00A4272B" w14:paraId="4B73375D"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42CD3ABD"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HBCD isomers (LC)</w:t>
            </w:r>
          </w:p>
        </w:tc>
        <w:tc>
          <w:tcPr>
            <w:tcW w:w="1800" w:type="dxa"/>
            <w:tcBorders>
              <w:top w:val="dotted" w:sz="4" w:space="0" w:color="auto"/>
              <w:left w:val="nil"/>
              <w:bottom w:val="dotted" w:sz="4" w:space="0" w:color="auto"/>
              <w:right w:val="single" w:sz="4" w:space="0" w:color="auto"/>
            </w:tcBorders>
            <w:shd w:val="clear" w:color="auto" w:fill="auto"/>
          </w:tcPr>
          <w:p w14:paraId="53A299E3"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HPLC-MS/MS</w:t>
            </w:r>
          </w:p>
        </w:tc>
        <w:tc>
          <w:tcPr>
            <w:tcW w:w="1620" w:type="dxa"/>
            <w:tcBorders>
              <w:top w:val="dotted" w:sz="4" w:space="0" w:color="auto"/>
              <w:left w:val="nil"/>
              <w:bottom w:val="dotted" w:sz="4" w:space="0" w:color="auto"/>
              <w:right w:val="single" w:sz="4" w:space="0" w:color="auto"/>
            </w:tcBorders>
            <w:shd w:val="clear" w:color="auto" w:fill="auto"/>
          </w:tcPr>
          <w:p w14:paraId="1FF66AFD"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350</w:t>
            </w:r>
          </w:p>
        </w:tc>
      </w:tr>
      <w:tr w:rsidR="0009469A" w:rsidRPr="00A4272B" w14:paraId="39DEF99A" w14:textId="77777777" w:rsidTr="00200BA4">
        <w:trPr>
          <w:trHeight w:val="255"/>
        </w:trPr>
        <w:tc>
          <w:tcPr>
            <w:tcW w:w="5585" w:type="dxa"/>
            <w:tcBorders>
              <w:top w:val="dotted" w:sz="4" w:space="0" w:color="auto"/>
              <w:left w:val="single" w:sz="4" w:space="0" w:color="auto"/>
              <w:bottom w:val="single" w:sz="4" w:space="0" w:color="auto"/>
              <w:right w:val="single" w:sz="4" w:space="0" w:color="auto"/>
            </w:tcBorders>
            <w:shd w:val="clear" w:color="auto" w:fill="auto"/>
          </w:tcPr>
          <w:p w14:paraId="1E1FC141"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PFOS+PFOA+PFHxS (air, blood, milk)</w:t>
            </w:r>
          </w:p>
        </w:tc>
        <w:tc>
          <w:tcPr>
            <w:tcW w:w="1800" w:type="dxa"/>
            <w:tcBorders>
              <w:top w:val="dotted" w:sz="4" w:space="0" w:color="auto"/>
              <w:left w:val="nil"/>
              <w:bottom w:val="single" w:sz="4" w:space="0" w:color="auto"/>
              <w:right w:val="single" w:sz="4" w:space="0" w:color="auto"/>
            </w:tcBorders>
            <w:shd w:val="clear" w:color="auto" w:fill="auto"/>
          </w:tcPr>
          <w:p w14:paraId="4345A59E"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HPLC-MS/MS</w:t>
            </w:r>
          </w:p>
        </w:tc>
        <w:tc>
          <w:tcPr>
            <w:tcW w:w="1620" w:type="dxa"/>
            <w:tcBorders>
              <w:top w:val="dotted" w:sz="4" w:space="0" w:color="auto"/>
              <w:left w:val="nil"/>
              <w:bottom w:val="single" w:sz="4" w:space="0" w:color="auto"/>
              <w:right w:val="single" w:sz="4" w:space="0" w:color="auto"/>
            </w:tcBorders>
            <w:shd w:val="clear" w:color="auto" w:fill="auto"/>
          </w:tcPr>
          <w:p w14:paraId="61EF716B" w14:textId="23F402AE"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500</w:t>
            </w:r>
          </w:p>
        </w:tc>
      </w:tr>
      <w:tr w:rsidR="0009469A" w:rsidRPr="00A4272B" w14:paraId="78E00470" w14:textId="77777777" w:rsidTr="00200BA4">
        <w:trPr>
          <w:trHeight w:val="255"/>
        </w:trPr>
        <w:tc>
          <w:tcPr>
            <w:tcW w:w="5585" w:type="dxa"/>
            <w:tcBorders>
              <w:top w:val="dotted" w:sz="4" w:space="0" w:color="auto"/>
              <w:left w:val="single" w:sz="4" w:space="0" w:color="auto"/>
              <w:bottom w:val="single" w:sz="4" w:space="0" w:color="auto"/>
              <w:right w:val="single" w:sz="4" w:space="0" w:color="auto"/>
            </w:tcBorders>
            <w:shd w:val="clear" w:color="auto" w:fill="auto"/>
          </w:tcPr>
          <w:p w14:paraId="044B0671"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PFOS +PFOA+PFHxS (water)</w:t>
            </w:r>
          </w:p>
        </w:tc>
        <w:tc>
          <w:tcPr>
            <w:tcW w:w="1800" w:type="dxa"/>
            <w:tcBorders>
              <w:top w:val="dotted" w:sz="4" w:space="0" w:color="auto"/>
              <w:left w:val="nil"/>
              <w:bottom w:val="single" w:sz="4" w:space="0" w:color="auto"/>
              <w:right w:val="single" w:sz="4" w:space="0" w:color="auto"/>
            </w:tcBorders>
            <w:shd w:val="clear" w:color="auto" w:fill="auto"/>
          </w:tcPr>
          <w:p w14:paraId="4D42DF36"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HPLC-MS/MS</w:t>
            </w:r>
          </w:p>
        </w:tc>
        <w:tc>
          <w:tcPr>
            <w:tcW w:w="1620" w:type="dxa"/>
            <w:tcBorders>
              <w:top w:val="dotted" w:sz="4" w:space="0" w:color="auto"/>
              <w:left w:val="nil"/>
              <w:bottom w:val="single" w:sz="4" w:space="0" w:color="auto"/>
              <w:right w:val="single" w:sz="4" w:space="0" w:color="auto"/>
            </w:tcBorders>
            <w:shd w:val="clear" w:color="auto" w:fill="auto"/>
          </w:tcPr>
          <w:p w14:paraId="197A035F" w14:textId="6317A447" w:rsidR="0009469A" w:rsidRPr="00A4272B" w:rsidDel="008A44D1"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375</w:t>
            </w:r>
          </w:p>
        </w:tc>
      </w:tr>
      <w:tr w:rsidR="0009469A" w:rsidRPr="00A4272B" w14:paraId="26CD33B4" w14:textId="77777777" w:rsidTr="00200BA4">
        <w:trPr>
          <w:trHeight w:val="255"/>
        </w:trPr>
        <w:tc>
          <w:tcPr>
            <w:tcW w:w="5585" w:type="dxa"/>
            <w:tcBorders>
              <w:top w:val="dotted" w:sz="4" w:space="0" w:color="auto"/>
              <w:left w:val="single" w:sz="4" w:space="0" w:color="auto"/>
              <w:bottom w:val="single" w:sz="4" w:space="0" w:color="auto"/>
              <w:right w:val="single" w:sz="4" w:space="0" w:color="auto"/>
            </w:tcBorders>
            <w:shd w:val="clear" w:color="auto" w:fill="auto"/>
          </w:tcPr>
          <w:p w14:paraId="45172DFB"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SCCP+MCCP</w:t>
            </w:r>
          </w:p>
        </w:tc>
        <w:tc>
          <w:tcPr>
            <w:tcW w:w="1800" w:type="dxa"/>
            <w:tcBorders>
              <w:top w:val="dotted" w:sz="4" w:space="0" w:color="auto"/>
              <w:left w:val="nil"/>
              <w:bottom w:val="single" w:sz="4" w:space="0" w:color="auto"/>
              <w:right w:val="single" w:sz="4" w:space="0" w:color="auto"/>
            </w:tcBorders>
            <w:shd w:val="clear" w:color="auto" w:fill="auto"/>
          </w:tcPr>
          <w:p w14:paraId="254BC23D"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HRGC-HRMS GC-ECNI-Orbitrap-HRMS</w:t>
            </w:r>
          </w:p>
        </w:tc>
        <w:tc>
          <w:tcPr>
            <w:tcW w:w="1620" w:type="dxa"/>
            <w:tcBorders>
              <w:top w:val="dotted" w:sz="4" w:space="0" w:color="auto"/>
              <w:left w:val="nil"/>
              <w:bottom w:val="single" w:sz="4" w:space="0" w:color="auto"/>
              <w:right w:val="single" w:sz="4" w:space="0" w:color="auto"/>
            </w:tcBorders>
            <w:shd w:val="clear" w:color="auto" w:fill="auto"/>
          </w:tcPr>
          <w:p w14:paraId="66675FA5" w14:textId="77777777" w:rsidR="0009469A" w:rsidRPr="00A4272B" w:rsidDel="00394424"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500</w:t>
            </w:r>
          </w:p>
        </w:tc>
      </w:tr>
      <w:tr w:rsidR="0009469A" w:rsidRPr="00A4272B" w14:paraId="63915D44" w14:textId="77777777" w:rsidTr="00200BA4">
        <w:trPr>
          <w:trHeight w:val="255"/>
        </w:trPr>
        <w:tc>
          <w:tcPr>
            <w:tcW w:w="5585" w:type="dxa"/>
            <w:tcBorders>
              <w:top w:val="dotted" w:sz="4" w:space="0" w:color="auto"/>
              <w:left w:val="single" w:sz="4" w:space="0" w:color="auto"/>
              <w:bottom w:val="single" w:sz="4" w:space="0" w:color="auto"/>
              <w:right w:val="single" w:sz="4" w:space="0" w:color="auto"/>
            </w:tcBorders>
            <w:shd w:val="clear" w:color="auto" w:fill="auto"/>
          </w:tcPr>
          <w:p w14:paraId="29455669"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UV-328</w:t>
            </w:r>
          </w:p>
        </w:tc>
        <w:tc>
          <w:tcPr>
            <w:tcW w:w="1800" w:type="dxa"/>
            <w:tcBorders>
              <w:top w:val="dotted" w:sz="4" w:space="0" w:color="auto"/>
              <w:left w:val="nil"/>
              <w:bottom w:val="single" w:sz="4" w:space="0" w:color="auto"/>
              <w:right w:val="single" w:sz="4" w:space="0" w:color="auto"/>
            </w:tcBorders>
            <w:shd w:val="clear" w:color="auto" w:fill="auto"/>
          </w:tcPr>
          <w:p w14:paraId="71E3DBC6"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HRGC-MS/MS</w:t>
            </w:r>
          </w:p>
          <w:p w14:paraId="4D731C69"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HPLC-MS/MS</w:t>
            </w:r>
          </w:p>
        </w:tc>
        <w:tc>
          <w:tcPr>
            <w:tcW w:w="1620" w:type="dxa"/>
            <w:tcBorders>
              <w:top w:val="dotted" w:sz="4" w:space="0" w:color="auto"/>
              <w:left w:val="nil"/>
              <w:bottom w:val="single" w:sz="4" w:space="0" w:color="auto"/>
              <w:right w:val="single" w:sz="4" w:space="0" w:color="auto"/>
            </w:tcBorders>
            <w:shd w:val="clear" w:color="auto" w:fill="auto"/>
          </w:tcPr>
          <w:p w14:paraId="5415CE1F" w14:textId="77777777" w:rsidR="0009469A" w:rsidRPr="00A4272B" w:rsidDel="00394424"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350</w:t>
            </w:r>
          </w:p>
        </w:tc>
      </w:tr>
      <w:tr w:rsidR="0009469A" w:rsidRPr="00A4272B" w14:paraId="55F3F225" w14:textId="77777777" w:rsidTr="00C85C14">
        <w:trPr>
          <w:trHeight w:val="255"/>
        </w:trPr>
        <w:tc>
          <w:tcPr>
            <w:tcW w:w="5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B3EA05" w14:textId="77777777" w:rsidR="0009469A" w:rsidRPr="00A4272B" w:rsidRDefault="0009469A" w:rsidP="00200BA4">
            <w:pPr>
              <w:spacing w:before="40" w:after="40"/>
              <w:rPr>
                <w:rFonts w:eastAsia="SimSun"/>
                <w:b/>
                <w:bCs/>
                <w:sz w:val="18"/>
                <w:szCs w:val="18"/>
                <w:lang w:val="en-US" w:eastAsia="zh-CN"/>
              </w:rPr>
            </w:pPr>
            <w:r w:rsidRPr="00A4272B">
              <w:rPr>
                <w:rFonts w:eastAsia="SimSun"/>
                <w:b/>
                <w:bCs/>
                <w:sz w:val="18"/>
                <w:szCs w:val="18"/>
                <w:lang w:val="en-US" w:eastAsia="zh-CN"/>
              </w:rPr>
              <w:t>Materials and consumables</w:t>
            </w:r>
          </w:p>
        </w:tc>
        <w:tc>
          <w:tcPr>
            <w:tcW w:w="1800" w:type="dxa"/>
            <w:tcBorders>
              <w:top w:val="single" w:sz="4" w:space="0" w:color="auto"/>
              <w:left w:val="nil"/>
              <w:bottom w:val="single" w:sz="4" w:space="0" w:color="auto"/>
              <w:right w:val="single" w:sz="4" w:space="0" w:color="auto"/>
            </w:tcBorders>
            <w:shd w:val="clear" w:color="auto" w:fill="F2F2F2" w:themeFill="background1" w:themeFillShade="F2"/>
          </w:tcPr>
          <w:p w14:paraId="4325A65F"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 </w:t>
            </w:r>
          </w:p>
        </w:tc>
        <w:tc>
          <w:tcPr>
            <w:tcW w:w="1620" w:type="dxa"/>
            <w:tcBorders>
              <w:top w:val="single" w:sz="4" w:space="0" w:color="auto"/>
              <w:left w:val="nil"/>
              <w:bottom w:val="single" w:sz="4" w:space="0" w:color="auto"/>
              <w:right w:val="single" w:sz="4" w:space="0" w:color="auto"/>
            </w:tcBorders>
            <w:shd w:val="clear" w:color="auto" w:fill="F2F2F2" w:themeFill="background1" w:themeFillShade="F2"/>
          </w:tcPr>
          <w:p w14:paraId="166C5B36" w14:textId="03DCE651" w:rsidR="0009469A" w:rsidRPr="00A4272B" w:rsidRDefault="0009469A" w:rsidP="00200BA4">
            <w:pPr>
              <w:spacing w:before="40" w:after="40"/>
              <w:jc w:val="center"/>
              <w:rPr>
                <w:rFonts w:eastAsia="SimSun"/>
                <w:b/>
                <w:bCs/>
                <w:sz w:val="18"/>
                <w:szCs w:val="18"/>
                <w:lang w:val="en-US" w:eastAsia="zh-CN"/>
              </w:rPr>
            </w:pPr>
          </w:p>
        </w:tc>
      </w:tr>
      <w:tr w:rsidR="0009469A" w:rsidRPr="00A4272B" w14:paraId="47D711BD" w14:textId="77777777" w:rsidTr="00200BA4">
        <w:trPr>
          <w:trHeight w:val="255"/>
        </w:trPr>
        <w:tc>
          <w:tcPr>
            <w:tcW w:w="5585" w:type="dxa"/>
            <w:tcBorders>
              <w:top w:val="single" w:sz="4" w:space="0" w:color="auto"/>
              <w:left w:val="single" w:sz="4" w:space="0" w:color="auto"/>
              <w:bottom w:val="single" w:sz="4" w:space="0" w:color="auto"/>
              <w:right w:val="single" w:sz="4" w:space="0" w:color="auto"/>
            </w:tcBorders>
            <w:shd w:val="clear" w:color="auto" w:fill="auto"/>
          </w:tcPr>
          <w:p w14:paraId="0A9D52E1"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HRGC columns (60 m)</w:t>
            </w:r>
          </w:p>
        </w:tc>
        <w:tc>
          <w:tcPr>
            <w:tcW w:w="1800" w:type="dxa"/>
            <w:tcBorders>
              <w:top w:val="single" w:sz="4" w:space="0" w:color="auto"/>
              <w:left w:val="nil"/>
              <w:bottom w:val="single" w:sz="4" w:space="0" w:color="auto"/>
              <w:right w:val="single" w:sz="4" w:space="0" w:color="auto"/>
            </w:tcBorders>
            <w:shd w:val="clear" w:color="auto" w:fill="auto"/>
          </w:tcPr>
          <w:p w14:paraId="5081489F"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piece</w:t>
            </w:r>
          </w:p>
        </w:tc>
        <w:tc>
          <w:tcPr>
            <w:tcW w:w="1620" w:type="dxa"/>
            <w:tcBorders>
              <w:top w:val="single" w:sz="4" w:space="0" w:color="auto"/>
              <w:left w:val="nil"/>
              <w:bottom w:val="single" w:sz="4" w:space="0" w:color="auto"/>
              <w:right w:val="single" w:sz="4" w:space="0" w:color="auto"/>
            </w:tcBorders>
            <w:shd w:val="clear" w:color="auto" w:fill="auto"/>
          </w:tcPr>
          <w:p w14:paraId="0ACBCF29"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880</w:t>
            </w:r>
          </w:p>
        </w:tc>
      </w:tr>
      <w:tr w:rsidR="0009469A" w:rsidRPr="00A4272B" w14:paraId="033F52B3" w14:textId="77777777" w:rsidTr="00200BA4">
        <w:trPr>
          <w:trHeight w:val="255"/>
        </w:trPr>
        <w:tc>
          <w:tcPr>
            <w:tcW w:w="5585" w:type="dxa"/>
            <w:tcBorders>
              <w:top w:val="single" w:sz="4" w:space="0" w:color="auto"/>
              <w:left w:val="single" w:sz="4" w:space="0" w:color="auto"/>
              <w:bottom w:val="dotted" w:sz="4" w:space="0" w:color="auto"/>
              <w:right w:val="single" w:sz="4" w:space="0" w:color="auto"/>
            </w:tcBorders>
            <w:shd w:val="clear" w:color="auto" w:fill="auto"/>
          </w:tcPr>
          <w:p w14:paraId="20D06231"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Native pesticides standard mix</w:t>
            </w:r>
          </w:p>
        </w:tc>
        <w:tc>
          <w:tcPr>
            <w:tcW w:w="1800" w:type="dxa"/>
            <w:tcBorders>
              <w:top w:val="single" w:sz="4" w:space="0" w:color="auto"/>
              <w:left w:val="nil"/>
              <w:bottom w:val="dotted" w:sz="4" w:space="0" w:color="auto"/>
              <w:right w:val="single" w:sz="4" w:space="0" w:color="auto"/>
            </w:tcBorders>
            <w:shd w:val="clear" w:color="auto" w:fill="auto"/>
          </w:tcPr>
          <w:p w14:paraId="7553C62B"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unit</w:t>
            </w:r>
          </w:p>
        </w:tc>
        <w:tc>
          <w:tcPr>
            <w:tcW w:w="1620" w:type="dxa"/>
            <w:tcBorders>
              <w:top w:val="single" w:sz="4" w:space="0" w:color="auto"/>
              <w:left w:val="nil"/>
              <w:bottom w:val="dotted" w:sz="4" w:space="0" w:color="auto"/>
              <w:right w:val="single" w:sz="4" w:space="0" w:color="auto"/>
            </w:tcBorders>
            <w:shd w:val="clear" w:color="auto" w:fill="auto"/>
          </w:tcPr>
          <w:p w14:paraId="29E64DB1"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200</w:t>
            </w:r>
          </w:p>
        </w:tc>
      </w:tr>
      <w:tr w:rsidR="0009469A" w:rsidRPr="00A4272B" w14:paraId="23D3AFA7" w14:textId="77777777" w:rsidTr="00200BA4">
        <w:trPr>
          <w:trHeight w:val="34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2F5456E0"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Labelled LRMS pesticides standard mix (calibration, clean-up, syringe)</w:t>
            </w:r>
          </w:p>
        </w:tc>
        <w:tc>
          <w:tcPr>
            <w:tcW w:w="1800" w:type="dxa"/>
            <w:tcBorders>
              <w:top w:val="dotted" w:sz="4" w:space="0" w:color="auto"/>
              <w:left w:val="nil"/>
              <w:bottom w:val="dotted" w:sz="4" w:space="0" w:color="auto"/>
              <w:right w:val="single" w:sz="4" w:space="0" w:color="auto"/>
            </w:tcBorders>
            <w:shd w:val="clear" w:color="auto" w:fill="auto"/>
          </w:tcPr>
          <w:p w14:paraId="51958B8B"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set</w:t>
            </w:r>
          </w:p>
        </w:tc>
        <w:tc>
          <w:tcPr>
            <w:tcW w:w="1620" w:type="dxa"/>
            <w:tcBorders>
              <w:top w:val="dotted" w:sz="4" w:space="0" w:color="auto"/>
              <w:left w:val="nil"/>
              <w:bottom w:val="dotted" w:sz="4" w:space="0" w:color="auto"/>
              <w:right w:val="single" w:sz="4" w:space="0" w:color="auto"/>
            </w:tcBorders>
            <w:shd w:val="clear" w:color="auto" w:fill="auto"/>
          </w:tcPr>
          <w:p w14:paraId="71173EDE" w14:textId="0F986637" w:rsidR="0009469A" w:rsidRPr="00A4272B" w:rsidRDefault="006C5831" w:rsidP="00200BA4">
            <w:pPr>
              <w:spacing w:before="40" w:after="40"/>
              <w:jc w:val="right"/>
              <w:rPr>
                <w:rFonts w:eastAsia="SimSun"/>
                <w:sz w:val="18"/>
                <w:szCs w:val="18"/>
                <w:lang w:val="en-US" w:eastAsia="zh-CN"/>
              </w:rPr>
            </w:pPr>
            <w:r w:rsidRPr="00A4272B">
              <w:rPr>
                <w:rFonts w:eastAsia="SimSun"/>
                <w:sz w:val="18"/>
                <w:szCs w:val="18"/>
                <w:lang w:val="en-US" w:eastAsia="zh-CN"/>
              </w:rPr>
              <w:t>1,000</w:t>
            </w:r>
          </w:p>
        </w:tc>
      </w:tr>
      <w:tr w:rsidR="0009469A" w:rsidRPr="00A4272B" w14:paraId="69093DBA"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0B066DD1"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Labelled indicator PCB standard mix (calibration, clean-up, syringe)</w:t>
            </w:r>
          </w:p>
        </w:tc>
        <w:tc>
          <w:tcPr>
            <w:tcW w:w="1800" w:type="dxa"/>
            <w:tcBorders>
              <w:top w:val="dotted" w:sz="4" w:space="0" w:color="auto"/>
              <w:left w:val="nil"/>
              <w:bottom w:val="dotted" w:sz="4" w:space="0" w:color="auto"/>
              <w:right w:val="single" w:sz="4" w:space="0" w:color="auto"/>
            </w:tcBorders>
            <w:shd w:val="clear" w:color="auto" w:fill="auto"/>
          </w:tcPr>
          <w:p w14:paraId="10AF9DBB"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set</w:t>
            </w:r>
          </w:p>
        </w:tc>
        <w:tc>
          <w:tcPr>
            <w:tcW w:w="1620" w:type="dxa"/>
            <w:tcBorders>
              <w:top w:val="dotted" w:sz="4" w:space="0" w:color="auto"/>
              <w:left w:val="nil"/>
              <w:bottom w:val="dotted" w:sz="4" w:space="0" w:color="auto"/>
              <w:right w:val="single" w:sz="4" w:space="0" w:color="auto"/>
            </w:tcBorders>
            <w:shd w:val="clear" w:color="auto" w:fill="auto"/>
          </w:tcPr>
          <w:p w14:paraId="3C42C841"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1,500</w:t>
            </w:r>
          </w:p>
        </w:tc>
      </w:tr>
      <w:tr w:rsidR="0009469A" w:rsidRPr="00A4272B" w14:paraId="09756EEB" w14:textId="77777777" w:rsidTr="00200BA4">
        <w:trPr>
          <w:trHeight w:val="510"/>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2291F9CA" w14:textId="359EBBA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 xml:space="preserve">Labelled LRMS </w:t>
            </w:r>
            <w:r w:rsidR="0051584B" w:rsidRPr="00A4272B">
              <w:rPr>
                <w:rFonts w:eastAsia="SimSun"/>
                <w:sz w:val="18"/>
                <w:szCs w:val="18"/>
                <w:lang w:val="en-US" w:eastAsia="zh-CN"/>
              </w:rPr>
              <w:t>PCDDs/Fs</w:t>
            </w:r>
            <w:r w:rsidRPr="00A4272B">
              <w:rPr>
                <w:rFonts w:eastAsia="SimSun"/>
                <w:sz w:val="18"/>
                <w:szCs w:val="18"/>
                <w:lang w:val="en-US" w:eastAsia="zh-CN"/>
              </w:rPr>
              <w:t xml:space="preserve"> standard mix (EPA 8280, calibration, clean-up, syringe)</w:t>
            </w:r>
          </w:p>
        </w:tc>
        <w:tc>
          <w:tcPr>
            <w:tcW w:w="1800" w:type="dxa"/>
            <w:tcBorders>
              <w:top w:val="dotted" w:sz="4" w:space="0" w:color="auto"/>
              <w:left w:val="nil"/>
              <w:bottom w:val="dotted" w:sz="4" w:space="0" w:color="auto"/>
              <w:right w:val="single" w:sz="4" w:space="0" w:color="auto"/>
            </w:tcBorders>
            <w:shd w:val="clear" w:color="auto" w:fill="auto"/>
          </w:tcPr>
          <w:p w14:paraId="55287F77"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set</w:t>
            </w:r>
          </w:p>
        </w:tc>
        <w:tc>
          <w:tcPr>
            <w:tcW w:w="1620" w:type="dxa"/>
            <w:tcBorders>
              <w:top w:val="dotted" w:sz="4" w:space="0" w:color="auto"/>
              <w:left w:val="nil"/>
              <w:bottom w:val="dotted" w:sz="4" w:space="0" w:color="auto"/>
              <w:right w:val="single" w:sz="4" w:space="0" w:color="auto"/>
            </w:tcBorders>
            <w:shd w:val="clear" w:color="auto" w:fill="auto"/>
          </w:tcPr>
          <w:p w14:paraId="0DAEE435"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4,200</w:t>
            </w:r>
          </w:p>
        </w:tc>
      </w:tr>
      <w:tr w:rsidR="0009469A" w:rsidRPr="00A4272B" w14:paraId="3566A6C5" w14:textId="77777777" w:rsidTr="00200BA4">
        <w:trPr>
          <w:trHeight w:val="510"/>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792CE08B" w14:textId="66315BA1"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 xml:space="preserve">Labelled HRMS </w:t>
            </w:r>
            <w:r w:rsidR="0051584B" w:rsidRPr="00A4272B">
              <w:rPr>
                <w:rFonts w:eastAsia="SimSun"/>
                <w:sz w:val="18"/>
                <w:szCs w:val="18"/>
                <w:lang w:val="en-US" w:eastAsia="zh-CN"/>
              </w:rPr>
              <w:t>PCDDs/Fs</w:t>
            </w:r>
            <w:r w:rsidRPr="00A4272B">
              <w:rPr>
                <w:rFonts w:eastAsia="SimSun"/>
                <w:sz w:val="18"/>
                <w:szCs w:val="18"/>
                <w:lang w:val="en-US" w:eastAsia="zh-CN"/>
              </w:rPr>
              <w:t xml:space="preserve"> standard mix (EPA 1613, calibration, clean-up, syringe)</w:t>
            </w:r>
          </w:p>
        </w:tc>
        <w:tc>
          <w:tcPr>
            <w:tcW w:w="1800" w:type="dxa"/>
            <w:tcBorders>
              <w:top w:val="dotted" w:sz="4" w:space="0" w:color="auto"/>
              <w:left w:val="nil"/>
              <w:bottom w:val="dotted" w:sz="4" w:space="0" w:color="auto"/>
              <w:right w:val="single" w:sz="4" w:space="0" w:color="auto"/>
            </w:tcBorders>
            <w:shd w:val="clear" w:color="auto" w:fill="auto"/>
          </w:tcPr>
          <w:p w14:paraId="49AF3705"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set</w:t>
            </w:r>
          </w:p>
        </w:tc>
        <w:tc>
          <w:tcPr>
            <w:tcW w:w="1620" w:type="dxa"/>
            <w:tcBorders>
              <w:top w:val="dotted" w:sz="4" w:space="0" w:color="auto"/>
              <w:left w:val="nil"/>
              <w:bottom w:val="dotted" w:sz="4" w:space="0" w:color="auto"/>
              <w:right w:val="single" w:sz="4" w:space="0" w:color="auto"/>
            </w:tcBorders>
            <w:shd w:val="clear" w:color="auto" w:fill="auto"/>
          </w:tcPr>
          <w:p w14:paraId="61DEA4D7" w14:textId="63A68212"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2,820</w:t>
            </w:r>
          </w:p>
        </w:tc>
      </w:tr>
      <w:tr w:rsidR="0009469A" w:rsidRPr="00A4272B" w14:paraId="360F6854" w14:textId="77777777" w:rsidTr="00200BA4">
        <w:trPr>
          <w:trHeight w:val="510"/>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3E18A52A"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Labelled HRMS dl-PCB standard mix (WHO-TEF mix, calibration, clean-up, syringe)</w:t>
            </w:r>
          </w:p>
        </w:tc>
        <w:tc>
          <w:tcPr>
            <w:tcW w:w="1800" w:type="dxa"/>
            <w:tcBorders>
              <w:top w:val="dotted" w:sz="4" w:space="0" w:color="auto"/>
              <w:left w:val="nil"/>
              <w:bottom w:val="dotted" w:sz="4" w:space="0" w:color="auto"/>
              <w:right w:val="single" w:sz="4" w:space="0" w:color="auto"/>
            </w:tcBorders>
            <w:shd w:val="clear" w:color="auto" w:fill="auto"/>
          </w:tcPr>
          <w:p w14:paraId="52850EAE"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set</w:t>
            </w:r>
          </w:p>
        </w:tc>
        <w:tc>
          <w:tcPr>
            <w:tcW w:w="1620" w:type="dxa"/>
            <w:tcBorders>
              <w:top w:val="dotted" w:sz="4" w:space="0" w:color="auto"/>
              <w:left w:val="nil"/>
              <w:bottom w:val="dotted" w:sz="4" w:space="0" w:color="auto"/>
              <w:right w:val="single" w:sz="4" w:space="0" w:color="auto"/>
            </w:tcBorders>
            <w:shd w:val="clear" w:color="auto" w:fill="auto"/>
          </w:tcPr>
          <w:p w14:paraId="5590FB8E" w14:textId="77777777" w:rsidR="0009469A" w:rsidRPr="00A4272B" w:rsidRDefault="0009469A" w:rsidP="00200BA4">
            <w:pPr>
              <w:spacing w:before="40" w:after="40"/>
              <w:jc w:val="right"/>
              <w:rPr>
                <w:rFonts w:eastAsia="SimSun"/>
                <w:sz w:val="18"/>
                <w:szCs w:val="18"/>
                <w:lang w:val="en-US" w:eastAsia="zh-CN"/>
              </w:rPr>
            </w:pPr>
            <w:r w:rsidRPr="00A4272B">
              <w:rPr>
                <w:rFonts w:eastAsia="SimSun"/>
                <w:sz w:val="18"/>
                <w:szCs w:val="18"/>
                <w:lang w:val="en-US" w:eastAsia="zh-CN"/>
              </w:rPr>
              <w:t>2,100</w:t>
            </w:r>
          </w:p>
        </w:tc>
      </w:tr>
      <w:tr w:rsidR="0009469A" w:rsidRPr="00A4272B" w14:paraId="2ABD3166" w14:textId="77777777" w:rsidTr="00200BA4">
        <w:trPr>
          <w:trHeight w:val="255"/>
        </w:trPr>
        <w:tc>
          <w:tcPr>
            <w:tcW w:w="5585" w:type="dxa"/>
            <w:tcBorders>
              <w:top w:val="dotted" w:sz="4" w:space="0" w:color="auto"/>
              <w:left w:val="single" w:sz="4" w:space="0" w:color="auto"/>
              <w:bottom w:val="dotted" w:sz="4" w:space="0" w:color="auto"/>
              <w:right w:val="single" w:sz="4" w:space="0" w:color="auto"/>
            </w:tcBorders>
            <w:shd w:val="clear" w:color="auto" w:fill="auto"/>
          </w:tcPr>
          <w:p w14:paraId="08222E05"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Labelled MS PBDE standard mix (calibration, clean-up, syringe)</w:t>
            </w:r>
          </w:p>
        </w:tc>
        <w:tc>
          <w:tcPr>
            <w:tcW w:w="1800" w:type="dxa"/>
            <w:tcBorders>
              <w:top w:val="dotted" w:sz="4" w:space="0" w:color="auto"/>
              <w:left w:val="nil"/>
              <w:bottom w:val="dotted" w:sz="4" w:space="0" w:color="auto"/>
              <w:right w:val="single" w:sz="4" w:space="0" w:color="auto"/>
            </w:tcBorders>
            <w:shd w:val="clear" w:color="auto" w:fill="auto"/>
          </w:tcPr>
          <w:p w14:paraId="224C1E94"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set</w:t>
            </w:r>
          </w:p>
        </w:tc>
        <w:tc>
          <w:tcPr>
            <w:tcW w:w="1620" w:type="dxa"/>
            <w:tcBorders>
              <w:top w:val="dotted" w:sz="4" w:space="0" w:color="auto"/>
              <w:left w:val="nil"/>
              <w:bottom w:val="dotted" w:sz="4" w:space="0" w:color="auto"/>
              <w:right w:val="single" w:sz="4" w:space="0" w:color="auto"/>
            </w:tcBorders>
            <w:shd w:val="clear" w:color="auto" w:fill="auto"/>
          </w:tcPr>
          <w:p w14:paraId="5D3DE669" w14:textId="047D61CB" w:rsidR="0009469A" w:rsidRPr="00A4272B" w:rsidRDefault="0009469A" w:rsidP="00681D3C">
            <w:pPr>
              <w:spacing w:before="40" w:after="40"/>
              <w:jc w:val="right"/>
              <w:rPr>
                <w:rFonts w:eastAsia="SimSun"/>
                <w:sz w:val="18"/>
                <w:szCs w:val="18"/>
                <w:lang w:val="en-US" w:eastAsia="zh-CN"/>
              </w:rPr>
            </w:pPr>
            <w:r w:rsidRPr="00A4272B">
              <w:rPr>
                <w:rFonts w:eastAsia="SimSun"/>
                <w:sz w:val="18"/>
                <w:szCs w:val="18"/>
                <w:lang w:val="en-US" w:eastAsia="zh-CN"/>
              </w:rPr>
              <w:t> </w:t>
            </w:r>
            <w:r w:rsidR="00681D3C" w:rsidRPr="00A4272B">
              <w:rPr>
                <w:rFonts w:eastAsia="SimSun"/>
                <w:sz w:val="18"/>
                <w:szCs w:val="18"/>
                <w:lang w:val="en-US" w:eastAsia="zh-CN"/>
              </w:rPr>
              <w:t>1,200</w:t>
            </w:r>
          </w:p>
        </w:tc>
      </w:tr>
      <w:tr w:rsidR="0009469A" w:rsidRPr="00A4272B" w14:paraId="5E2FAA7B" w14:textId="77777777" w:rsidTr="00200BA4">
        <w:trPr>
          <w:trHeight w:val="255"/>
        </w:trPr>
        <w:tc>
          <w:tcPr>
            <w:tcW w:w="5585" w:type="dxa"/>
            <w:tcBorders>
              <w:top w:val="dotted" w:sz="4" w:space="0" w:color="auto"/>
              <w:left w:val="single" w:sz="4" w:space="0" w:color="auto"/>
              <w:bottom w:val="single" w:sz="4" w:space="0" w:color="auto"/>
              <w:right w:val="single" w:sz="4" w:space="0" w:color="auto"/>
            </w:tcBorders>
            <w:shd w:val="clear" w:color="auto" w:fill="auto"/>
          </w:tcPr>
          <w:p w14:paraId="371CD512" w14:textId="77777777" w:rsidR="0009469A" w:rsidRPr="00A4272B" w:rsidRDefault="0009469A" w:rsidP="00200BA4">
            <w:pPr>
              <w:spacing w:before="40" w:after="40"/>
              <w:rPr>
                <w:rFonts w:eastAsia="SimSun"/>
                <w:sz w:val="18"/>
                <w:szCs w:val="18"/>
                <w:lang w:val="en-US" w:eastAsia="zh-CN"/>
              </w:rPr>
            </w:pPr>
            <w:r w:rsidRPr="00A4272B">
              <w:rPr>
                <w:rFonts w:eastAsia="SimSun"/>
                <w:sz w:val="18"/>
                <w:szCs w:val="18"/>
                <w:lang w:val="en-US" w:eastAsia="zh-CN"/>
              </w:rPr>
              <w:t>Labelled MS PFOS standard mix (calibration, clean-up, syringe)</w:t>
            </w:r>
          </w:p>
        </w:tc>
        <w:tc>
          <w:tcPr>
            <w:tcW w:w="1800" w:type="dxa"/>
            <w:tcBorders>
              <w:top w:val="dotted" w:sz="4" w:space="0" w:color="auto"/>
              <w:left w:val="nil"/>
              <w:bottom w:val="single" w:sz="4" w:space="0" w:color="auto"/>
              <w:right w:val="single" w:sz="4" w:space="0" w:color="auto"/>
            </w:tcBorders>
            <w:shd w:val="clear" w:color="auto" w:fill="auto"/>
          </w:tcPr>
          <w:p w14:paraId="6826E429" w14:textId="77777777" w:rsidR="0009469A" w:rsidRPr="00A4272B" w:rsidRDefault="0009469A" w:rsidP="00200BA4">
            <w:pPr>
              <w:spacing w:before="40" w:after="40"/>
              <w:rPr>
                <w:rFonts w:eastAsia="SimSun"/>
                <w:iCs/>
                <w:sz w:val="18"/>
                <w:szCs w:val="18"/>
                <w:lang w:val="en-US" w:eastAsia="zh-CN"/>
              </w:rPr>
            </w:pPr>
            <w:r w:rsidRPr="00A4272B">
              <w:rPr>
                <w:rFonts w:eastAsia="SimSun"/>
                <w:iCs/>
                <w:sz w:val="18"/>
                <w:szCs w:val="18"/>
                <w:lang w:val="en-US" w:eastAsia="zh-CN"/>
              </w:rPr>
              <w:t>per set</w:t>
            </w:r>
          </w:p>
        </w:tc>
        <w:tc>
          <w:tcPr>
            <w:tcW w:w="1620" w:type="dxa"/>
            <w:tcBorders>
              <w:top w:val="dotted" w:sz="4" w:space="0" w:color="auto"/>
              <w:left w:val="nil"/>
              <w:bottom w:val="single" w:sz="4" w:space="0" w:color="auto"/>
              <w:right w:val="single" w:sz="4" w:space="0" w:color="auto"/>
            </w:tcBorders>
            <w:shd w:val="clear" w:color="auto" w:fill="auto"/>
          </w:tcPr>
          <w:p w14:paraId="370BE3D1" w14:textId="2D43B619" w:rsidR="0009469A" w:rsidRPr="00A4272B" w:rsidRDefault="0009469A" w:rsidP="00681D3C">
            <w:pPr>
              <w:spacing w:before="40" w:after="40"/>
              <w:jc w:val="right"/>
              <w:rPr>
                <w:rFonts w:eastAsia="SimSun"/>
                <w:sz w:val="18"/>
                <w:szCs w:val="18"/>
                <w:lang w:val="en-US" w:eastAsia="zh-CN"/>
              </w:rPr>
            </w:pPr>
            <w:r w:rsidRPr="00A4272B">
              <w:rPr>
                <w:rFonts w:eastAsia="SimSun"/>
                <w:sz w:val="18"/>
                <w:szCs w:val="18"/>
                <w:lang w:val="en-US" w:eastAsia="zh-CN"/>
              </w:rPr>
              <w:t> </w:t>
            </w:r>
            <w:r w:rsidR="00824FEA" w:rsidRPr="00A4272B">
              <w:rPr>
                <w:rFonts w:eastAsia="SimSun"/>
                <w:sz w:val="18"/>
                <w:szCs w:val="18"/>
                <w:lang w:val="en-US" w:eastAsia="zh-CN"/>
              </w:rPr>
              <w:t>1,5</w:t>
            </w:r>
            <w:r w:rsidR="00681D3C" w:rsidRPr="00A4272B">
              <w:rPr>
                <w:rFonts w:eastAsia="SimSun"/>
                <w:sz w:val="18"/>
                <w:szCs w:val="18"/>
                <w:lang w:val="en-US" w:eastAsia="zh-CN"/>
              </w:rPr>
              <w:t>00</w:t>
            </w:r>
          </w:p>
        </w:tc>
      </w:tr>
    </w:tbl>
    <w:p w14:paraId="470BBB74" w14:textId="77777777" w:rsidR="0009469A" w:rsidRPr="00A4272B" w:rsidRDefault="0009469A" w:rsidP="00366AEE">
      <w:pPr>
        <w:rPr>
          <w:lang w:val="en-US" w:eastAsia="ja-JP"/>
        </w:rPr>
      </w:pPr>
    </w:p>
    <w:p w14:paraId="7A5DF610" w14:textId="77777777" w:rsidR="00483628" w:rsidRPr="00A4272B" w:rsidRDefault="00483628" w:rsidP="00483628">
      <w:pPr>
        <w:spacing w:before="120"/>
        <w:rPr>
          <w:lang w:val="en-US" w:eastAsia="ja-JP"/>
        </w:rPr>
      </w:pPr>
      <w:r w:rsidRPr="00A4272B">
        <w:rPr>
          <w:lang w:val="en-US" w:eastAsia="ja-JP"/>
        </w:rPr>
        <w:t>More detailed cost information is available from the UNEP POPs Laboratory Databank, where many laboratories have provided third-party analysis costs.</w:t>
      </w:r>
    </w:p>
    <w:p w14:paraId="5D6C4199" w14:textId="77777777" w:rsidR="00483628" w:rsidRPr="00A4272B" w:rsidRDefault="00483628" w:rsidP="00483628">
      <w:pPr>
        <w:spacing w:before="120"/>
        <w:rPr>
          <w:lang w:val="en-US" w:eastAsia="ja-JP"/>
        </w:rPr>
      </w:pPr>
      <w:r w:rsidRPr="00A4272B">
        <w:rPr>
          <w:lang w:val="en-US" w:eastAsia="ja-JP"/>
        </w:rPr>
        <w:t>During the first phase of the Global Monitoring Plan (GMP), leading to initial regional and global reports, the recommended methods and instrumentation proved effective. In 2013–2014, analytical methods for new POPs were developed and successfully pilot-tested in four developing countries. These new POPs have since been included in the second to fourth rounds of the biennial interlaboratory assessment for POPs laboratories (UNEP 2023). As new methods are developed, they can be incorporated into the GMP guidance document to ensure continuous improvement.</w:t>
      </w:r>
    </w:p>
    <w:p w14:paraId="0BEA31AD" w14:textId="188A1F57" w:rsidR="00483628" w:rsidRPr="00A4272B" w:rsidRDefault="00483628" w:rsidP="00483628">
      <w:pPr>
        <w:spacing w:before="120"/>
        <w:rPr>
          <w:lang w:val="en-US" w:eastAsia="ja-JP"/>
        </w:rPr>
      </w:pPr>
      <w:r w:rsidRPr="00A4272B">
        <w:rPr>
          <w:lang w:val="en-US" w:eastAsia="ja-JP"/>
        </w:rPr>
        <w:t>QA/QC are essential in sampling and analysis. As a general guideline, approximately 20% of resources should be allocated to QA/QC. Section 5.5 provides detailed QA/QC guidance for specific POP groups.</w:t>
      </w:r>
    </w:p>
    <w:p w14:paraId="05AC66C8" w14:textId="77777777" w:rsidR="00483628" w:rsidRPr="00A4272B" w:rsidRDefault="00483628" w:rsidP="00483628">
      <w:pPr>
        <w:spacing w:before="120"/>
        <w:rPr>
          <w:lang w:val="en-US" w:eastAsia="ja-JP"/>
        </w:rPr>
      </w:pPr>
      <w:r w:rsidRPr="00A4272B">
        <w:rPr>
          <w:lang w:val="en-US" w:eastAsia="ja-JP"/>
        </w:rPr>
        <w:t>The Global Monitoring Plan adopts a performance-based approach and does not prescribe specific analytical methods for POPs. Instead, method performance must be verified using control tables to define optimal operational ranges. Periodic analysis of certified reference materials, in-house laboratory reference materials, and blind or split samples should be part of routine QA/QC. Inter-calibration exercises are crucial for laboratories to maintain or improve quality, build confidence, and ensure result reliability. It is recommended that intercalibration studies be conducted every two years for each relevant matrix and POP group in the region.</w:t>
      </w:r>
    </w:p>
    <w:p w14:paraId="26B5C5A7" w14:textId="22631CE6" w:rsidR="00483628" w:rsidRPr="00A4272B" w:rsidRDefault="00483628" w:rsidP="00483628">
      <w:pPr>
        <w:spacing w:before="120"/>
        <w:rPr>
          <w:lang w:val="en-US" w:eastAsia="ja-JP"/>
        </w:rPr>
      </w:pPr>
      <w:r w:rsidRPr="00A4272B">
        <w:rPr>
          <w:lang w:val="en-US" w:eastAsia="ja-JP"/>
        </w:rPr>
        <w:t xml:space="preserve">Various analytical methods are available for quantifying PCBs, OCPs, and </w:t>
      </w:r>
      <w:r w:rsidR="0051584B" w:rsidRPr="00A4272B">
        <w:rPr>
          <w:lang w:val="en-US" w:eastAsia="ja-JP"/>
        </w:rPr>
        <w:t>PCDDs/Fs</w:t>
      </w:r>
      <w:r w:rsidRPr="00A4272B">
        <w:rPr>
          <w:lang w:val="en-US" w:eastAsia="ja-JP"/>
        </w:rPr>
        <w:t xml:space="preserve"> using gas chromatography. Only general guidance is needed for extraction and separation steps for ortho-substituted PCBs and OCPs, with some </w:t>
      </w:r>
      <w:r w:rsidRPr="00A4272B">
        <w:rPr>
          <w:lang w:val="en-US" w:eastAsia="ja-JP"/>
        </w:rPr>
        <w:lastRenderedPageBreak/>
        <w:t xml:space="preserve">guidance on gas chromatographic analysis provided in Table 5.2. For </w:t>
      </w:r>
      <w:r w:rsidR="0051584B" w:rsidRPr="00A4272B">
        <w:rPr>
          <w:lang w:val="en-US" w:eastAsia="ja-JP"/>
        </w:rPr>
        <w:t>PCDDs/Fs</w:t>
      </w:r>
      <w:r w:rsidRPr="00A4272B">
        <w:rPr>
          <w:lang w:val="en-US" w:eastAsia="ja-JP"/>
        </w:rPr>
        <w:t xml:space="preserve"> and dioxin-like PCBs, isotope dilution MS/MS is recommended, with SOPs available (e.g., EPA method 8290A, EPA methods 1613 and 1668, EN 16215).</w:t>
      </w:r>
    </w:p>
    <w:p w14:paraId="25DEA158" w14:textId="7807540C" w:rsidR="00483628" w:rsidRPr="00A4272B" w:rsidRDefault="00483628" w:rsidP="00483628">
      <w:pPr>
        <w:spacing w:before="120"/>
        <w:rPr>
          <w:lang w:val="en-US" w:eastAsia="ja-JP"/>
        </w:rPr>
      </w:pPr>
      <w:r w:rsidRPr="00A4272B">
        <w:rPr>
          <w:lang w:val="en-US" w:eastAsia="ja-JP"/>
        </w:rPr>
        <w:t xml:space="preserve">High-resolution mass spectrometry (HRMS) is also suitable for congener-specific analysis of non-ortho and mono-ortho substituted PCBs, as well as OCPs, offering high accuracy compared to GC-ECD. </w:t>
      </w:r>
      <w:r w:rsidR="00274A8B" w:rsidRPr="00A4272B">
        <w:rPr>
          <w:lang w:eastAsia="ja-JP"/>
        </w:rPr>
        <w:t>While GC-ECD has been widely used for indicator PCBs due to its availability, lower cost, and established application for di-ortho PCBs at low ng/g levels in environmental samples, its use is not recommended for most analyses</w:t>
      </w:r>
      <w:r w:rsidRPr="00A4272B">
        <w:rPr>
          <w:lang w:val="en-US" w:eastAsia="ja-JP"/>
        </w:rPr>
        <w:t xml:space="preserve">. </w:t>
      </w:r>
      <w:r w:rsidR="00274A8B" w:rsidRPr="00A4272B">
        <w:rPr>
          <w:lang w:eastAsia="ja-JP"/>
        </w:rPr>
        <w:t>Specifically, GC-ECD is not suitable for the eight indicator PBDEs because PBDEs degrade readily in the environment, particularly through light exposure. For OCPs, although GC-ECD is commonly used, GC/MS with labeled standards provides greater accuracy. According to the UNEP global interlaboratory study (UNEP, 2021), “OCP results produced by GC/ECD are of lower quality than those based on GC/MS,” and its use for OCP analysis should therefore be limited</w:t>
      </w:r>
      <w:r w:rsidRPr="00A4272B">
        <w:rPr>
          <w:lang w:val="en-US" w:eastAsia="ja-JP"/>
        </w:rPr>
        <w:t>.</w:t>
      </w:r>
    </w:p>
    <w:p w14:paraId="0733754D" w14:textId="77777777" w:rsidR="00483628" w:rsidRPr="00A4272B" w:rsidRDefault="00483628" w:rsidP="00483628">
      <w:pPr>
        <w:spacing w:before="120"/>
        <w:rPr>
          <w:lang w:val="en-US" w:eastAsia="ja-JP"/>
        </w:rPr>
      </w:pPr>
      <w:r w:rsidRPr="00A4272B">
        <w:rPr>
          <w:lang w:val="en-US" w:eastAsia="ja-JP"/>
        </w:rPr>
        <w:t>For PCN analysis, isotope dilution HRGC/HRMS is recommended, as individual PCN congeners can be identified by retention times relative to internal standards and ion ratios.</w:t>
      </w:r>
    </w:p>
    <w:p w14:paraId="79A2CBE3" w14:textId="77777777" w:rsidR="00483628" w:rsidRPr="00A4272B" w:rsidRDefault="00483628" w:rsidP="00483628">
      <w:pPr>
        <w:spacing w:before="120"/>
        <w:rPr>
          <w:lang w:val="en-US" w:eastAsia="ja-JP"/>
        </w:rPr>
      </w:pPr>
      <w:r w:rsidRPr="00A4272B">
        <w:rPr>
          <w:lang w:val="en-US" w:eastAsia="ja-JP"/>
        </w:rPr>
        <w:t>The complex analysis of SCCPs, which contain numerous isomers, is best approached with congener-group specific quantitation methods. These methods allow source tracing and comparable results, though standardized congener-group compositions are currently unavailable. Quantitation is conducted by estimating response factors (RF) for each congener group using standard mixtures with fixed carbon lengths and chlorine contents. GCxGC coupled with ECD or ToF-MS shows potential for directly separating and quantifying congener groups in SCCP mixtures.</w:t>
      </w:r>
    </w:p>
    <w:p w14:paraId="1D2F9587" w14:textId="77777777" w:rsidR="00483628" w:rsidRPr="00A4272B" w:rsidRDefault="00483628" w:rsidP="00483628">
      <w:pPr>
        <w:spacing w:before="120"/>
        <w:rPr>
          <w:lang w:val="en-US" w:eastAsia="ja-JP"/>
        </w:rPr>
      </w:pPr>
      <w:r w:rsidRPr="00A4272B">
        <w:rPr>
          <w:lang w:val="en-US" w:eastAsia="ja-JP"/>
        </w:rPr>
        <w:t>Comparable results for SCCP composition have been reported across different analytical methods, such as APCI-QTOF-MS, GC/ECNI-sector-MS, and GC/ECNI-QOrbitrap. This consistency supports the reliability of congener-group specific methods and highlights the importance of standards for each congener group. Candidate reference materials like SCCP (Hanari &amp; Nakano, 2019) are valuable for QA/QC and quantitation.</w:t>
      </w:r>
    </w:p>
    <w:p w14:paraId="0FB13407" w14:textId="77777777" w:rsidR="00483628" w:rsidRPr="00A4272B" w:rsidRDefault="00483628" w:rsidP="00483628">
      <w:pPr>
        <w:spacing w:before="120"/>
        <w:rPr>
          <w:lang w:val="en-US" w:eastAsia="ja-JP"/>
        </w:rPr>
      </w:pPr>
      <w:r w:rsidRPr="00A4272B">
        <w:rPr>
          <w:lang w:val="en-US" w:eastAsia="ja-JP"/>
        </w:rPr>
        <w:t>In SCCP analysis, electron ionization (EI) commonly fragments SCCPs, while ECNI is frequently used in GC/MS, though EI is preferred for lower-chlorinated SCCPs. In ECNI, chlorine or hydrogen chloride loss during ionization complicates spectra. High-resolution MS, such as ToF-MS, helps resolve these challenges by distinguishing SCCPs from interfering organochlorines. However, resolving MCCPs requires extremely high mass resolution (&gt;50,000).</w:t>
      </w:r>
    </w:p>
    <w:p w14:paraId="6A31EF93" w14:textId="77777777" w:rsidR="00483628" w:rsidRPr="00A4272B" w:rsidRDefault="00483628" w:rsidP="00483628">
      <w:pPr>
        <w:spacing w:before="120"/>
        <w:rPr>
          <w:lang w:val="en-US" w:eastAsia="ja-JP"/>
        </w:rPr>
      </w:pPr>
      <w:r w:rsidRPr="00A4272B">
        <w:rPr>
          <w:lang w:val="en-US" w:eastAsia="ja-JP"/>
        </w:rPr>
        <w:t>For LC/MS methods, SCCPs rely on adduct formation for ionization. Chlorine or bromine adducts are common with APCI, while acetate adducts are used with ESI. MCCP interference is reduced effectively with high-resolution MS (e.g., ToF-MS) or a cyanopropyl column, which separates MCCPs from SCCPs (Matsukami et al., 2020).</w:t>
      </w:r>
    </w:p>
    <w:p w14:paraId="35EBE7E2" w14:textId="77777777" w:rsidR="00483628" w:rsidRPr="00A4272B" w:rsidRDefault="00483628" w:rsidP="00483628">
      <w:pPr>
        <w:spacing w:before="120"/>
        <w:rPr>
          <w:lang w:val="en-US" w:eastAsia="ja-JP"/>
        </w:rPr>
      </w:pPr>
      <w:r w:rsidRPr="00A4272B">
        <w:rPr>
          <w:lang w:val="en-US" w:eastAsia="ja-JP"/>
        </w:rPr>
        <w:t>Liquid chromatography-tandem mass spectrometry (LC-MS/MS), which provides qualifying and quantifying ion data, is widely used for PFAS analysis. Instruments like LC with Q-TOF or Q-Trap detectors are suitable, while Fourier Transform Ion Cyclotron Resonance (FTICR) MS instruments (e.g., Orbitrap) offer high sensitivity. Single-stage low-resolution LC-MS should not be used for PFAS analysis (UNEP, 2015).</w:t>
      </w:r>
    </w:p>
    <w:p w14:paraId="6A6B1F9F" w14:textId="7E970C4C" w:rsidR="00FD59B8" w:rsidRPr="00A4272B" w:rsidRDefault="00FD59B8" w:rsidP="00B16AC1">
      <w:pPr>
        <w:spacing w:before="120"/>
        <w:rPr>
          <w:lang w:val="en-US" w:eastAsia="ja-JP"/>
        </w:rPr>
      </w:pPr>
      <w:r w:rsidRPr="00A4272B">
        <w:rPr>
          <w:lang w:val="en-US" w:eastAsia="ja-JP"/>
        </w:rPr>
        <w:t>Information in Table 5.3</w:t>
      </w:r>
      <w:r w:rsidR="00721BD3" w:rsidRPr="00A4272B">
        <w:rPr>
          <w:lang w:val="en-US" w:eastAsia="ja-JP"/>
        </w:rPr>
        <w:t xml:space="preserve"> </w:t>
      </w:r>
      <w:r w:rsidR="00483628" w:rsidRPr="00A4272B">
        <w:rPr>
          <w:lang w:val="en-US" w:eastAsia="ja-JP"/>
        </w:rPr>
        <w:t>is provided to guide laboratories and sampling teams on the sensitivity of analytical methods and sample (extract) volume requirements</w:t>
      </w:r>
      <w:r w:rsidR="00B02F39" w:rsidRPr="00A4272B">
        <w:rPr>
          <w:lang w:val="en-US" w:eastAsia="ja-JP"/>
        </w:rPr>
        <w:t>.</w:t>
      </w:r>
      <w:r w:rsidRPr="00A4272B">
        <w:rPr>
          <w:lang w:val="en-US" w:eastAsia="ja-JP"/>
        </w:rPr>
        <w:t xml:space="preserve"> </w:t>
      </w:r>
    </w:p>
    <w:p w14:paraId="796EBDE9" w14:textId="77777777" w:rsidR="00B02F39" w:rsidRPr="00A4272B" w:rsidRDefault="00B02F39" w:rsidP="00F3536C">
      <w:pPr>
        <w:spacing w:before="120"/>
        <w:rPr>
          <w:lang w:val="en-US" w:eastAsia="ja-JP"/>
        </w:rPr>
      </w:pPr>
    </w:p>
    <w:p w14:paraId="31DE7F69" w14:textId="77777777" w:rsidR="00B02F39" w:rsidRPr="00A4272B" w:rsidRDefault="00B02F39" w:rsidP="00F3536C">
      <w:pPr>
        <w:spacing w:before="120"/>
        <w:rPr>
          <w:lang w:val="en-US" w:eastAsia="ja-JP"/>
        </w:rPr>
      </w:pPr>
    </w:p>
    <w:p w14:paraId="5BA3B5B2" w14:textId="77777777" w:rsidR="00B02F39" w:rsidRPr="00A4272B" w:rsidRDefault="00B02F39" w:rsidP="00F3536C">
      <w:pPr>
        <w:spacing w:before="120"/>
        <w:rPr>
          <w:lang w:val="en-US" w:eastAsia="ja-JP"/>
        </w:rPr>
      </w:pPr>
    </w:p>
    <w:p w14:paraId="350DA90F" w14:textId="77777777" w:rsidR="00B02F39" w:rsidRPr="00A4272B" w:rsidRDefault="00B02F39" w:rsidP="00F3536C">
      <w:pPr>
        <w:spacing w:before="120"/>
        <w:rPr>
          <w:lang w:val="en-US" w:eastAsia="ja-JP"/>
        </w:rPr>
      </w:pPr>
    </w:p>
    <w:p w14:paraId="7E227895" w14:textId="77777777" w:rsidR="00B02F39" w:rsidRPr="00A4272B" w:rsidRDefault="00B02F39" w:rsidP="00F3536C">
      <w:pPr>
        <w:spacing w:before="120"/>
        <w:rPr>
          <w:lang w:val="en-US" w:eastAsia="ja-JP"/>
        </w:rPr>
      </w:pPr>
    </w:p>
    <w:p w14:paraId="7BCDCC10" w14:textId="77777777" w:rsidR="00B02F39" w:rsidRPr="00A4272B" w:rsidRDefault="00B02F39" w:rsidP="00F3536C">
      <w:pPr>
        <w:spacing w:before="120"/>
        <w:rPr>
          <w:rFonts w:ascii="Arial" w:hAnsi="Arial" w:cs="Arial"/>
          <w:lang w:val="en-US"/>
        </w:rPr>
      </w:pPr>
    </w:p>
    <w:p w14:paraId="2C2DF3A2" w14:textId="77777777" w:rsidR="00B02F39" w:rsidRPr="00A4272B" w:rsidRDefault="00B02F39" w:rsidP="00F3536C">
      <w:pPr>
        <w:spacing w:before="120"/>
        <w:rPr>
          <w:rFonts w:ascii="Arial" w:hAnsi="Arial" w:cs="Arial"/>
          <w:lang w:val="en-US"/>
        </w:rPr>
        <w:sectPr w:rsidR="00B02F39" w:rsidRPr="00A4272B" w:rsidSect="0060600C">
          <w:footerReference w:type="even" r:id="rId53"/>
          <w:footerReference w:type="default" r:id="rId54"/>
          <w:headerReference w:type="first" r:id="rId55"/>
          <w:footerReference w:type="first" r:id="rId56"/>
          <w:type w:val="nextColumn"/>
          <w:pgSz w:w="11907" w:h="16840" w:code="9"/>
          <w:pgMar w:top="907" w:right="994" w:bottom="1411" w:left="1411" w:header="533" w:footer="979" w:gutter="0"/>
          <w:cols w:space="720"/>
          <w:docGrid w:linePitch="360"/>
        </w:sectPr>
      </w:pPr>
    </w:p>
    <w:p w14:paraId="39C7CC8D" w14:textId="052DB311" w:rsidR="00FD59B8" w:rsidRPr="00A4272B" w:rsidRDefault="00FD59B8" w:rsidP="0049471A">
      <w:pPr>
        <w:rPr>
          <w:b/>
          <w:bCs/>
          <w:lang w:val="en-US" w:eastAsia="ja-JP"/>
        </w:rPr>
      </w:pPr>
      <w:r w:rsidRPr="00A4272B">
        <w:rPr>
          <w:b/>
          <w:bCs/>
          <w:lang w:val="en-US" w:eastAsia="ja-JP"/>
        </w:rPr>
        <w:lastRenderedPageBreak/>
        <w:t>Table 5.3: Sensitivity of Analytical Methods and Sample (Extract) Volume Requirements</w:t>
      </w:r>
      <w:r w:rsidR="00C85C14" w:rsidRPr="00A4272B">
        <w:rPr>
          <w:b/>
          <w:bCs/>
          <w:lang w:val="en-US" w:eastAsia="ja-JP"/>
        </w:rPr>
        <w:t>.</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1837"/>
        <w:gridCol w:w="1275"/>
        <w:gridCol w:w="711"/>
        <w:gridCol w:w="711"/>
        <w:gridCol w:w="521"/>
        <w:gridCol w:w="1461"/>
        <w:gridCol w:w="711"/>
        <w:gridCol w:w="708"/>
        <w:gridCol w:w="565"/>
        <w:gridCol w:w="568"/>
        <w:gridCol w:w="708"/>
        <w:gridCol w:w="708"/>
        <w:gridCol w:w="568"/>
        <w:gridCol w:w="708"/>
        <w:gridCol w:w="708"/>
        <w:gridCol w:w="711"/>
        <w:gridCol w:w="565"/>
        <w:gridCol w:w="1134"/>
      </w:tblGrid>
      <w:tr w:rsidR="00DE3C92" w:rsidRPr="00A4272B" w14:paraId="4BAE9C08" w14:textId="77777777" w:rsidTr="00DE3C92">
        <w:trPr>
          <w:trHeight w:val="510"/>
        </w:trPr>
        <w:tc>
          <w:tcPr>
            <w:tcW w:w="617" w:type="pct"/>
            <w:shd w:val="clear" w:color="auto" w:fill="D9D9D9" w:themeFill="background1" w:themeFillShade="D9"/>
            <w:vAlign w:val="center"/>
          </w:tcPr>
          <w:p w14:paraId="3A03857B" w14:textId="77777777" w:rsidR="00DE3C92" w:rsidRPr="00A4272B" w:rsidRDefault="00DE3C92" w:rsidP="00DE3C92">
            <w:pPr>
              <w:spacing w:after="0"/>
              <w:rPr>
                <w:b/>
                <w:bCs/>
                <w:sz w:val="18"/>
                <w:szCs w:val="18"/>
                <w:lang w:val="en-US"/>
              </w:rPr>
            </w:pPr>
            <w:r w:rsidRPr="00A4272B">
              <w:rPr>
                <w:b/>
                <w:bCs/>
                <w:sz w:val="18"/>
                <w:szCs w:val="18"/>
                <w:lang w:val="en-US"/>
              </w:rPr>
              <w:t>Substance group/ Matrix-instrumentation</w:t>
            </w:r>
          </w:p>
        </w:tc>
        <w:tc>
          <w:tcPr>
            <w:tcW w:w="1081" w:type="pct"/>
            <w:gridSpan w:val="4"/>
            <w:shd w:val="clear" w:color="auto" w:fill="D9D9D9" w:themeFill="background1" w:themeFillShade="D9"/>
            <w:vAlign w:val="center"/>
          </w:tcPr>
          <w:p w14:paraId="3424A177" w14:textId="77777777" w:rsidR="00DE3C92" w:rsidRPr="00A4272B" w:rsidRDefault="00DE3C92" w:rsidP="00DE3C92">
            <w:pPr>
              <w:spacing w:after="0"/>
              <w:rPr>
                <w:b/>
                <w:bCs/>
                <w:sz w:val="18"/>
                <w:szCs w:val="18"/>
                <w:lang w:val="en-US"/>
              </w:rPr>
            </w:pPr>
            <w:r w:rsidRPr="00A4272B">
              <w:rPr>
                <w:b/>
                <w:bCs/>
                <w:sz w:val="18"/>
                <w:szCs w:val="18"/>
                <w:lang w:val="en-US"/>
              </w:rPr>
              <w:t>Mothers' milk/ Human blood</w:t>
            </w:r>
          </w:p>
        </w:tc>
        <w:tc>
          <w:tcPr>
            <w:tcW w:w="1158" w:type="pct"/>
            <w:gridSpan w:val="4"/>
            <w:shd w:val="clear" w:color="auto" w:fill="D9D9D9" w:themeFill="background1" w:themeFillShade="D9"/>
            <w:vAlign w:val="center"/>
          </w:tcPr>
          <w:p w14:paraId="7C532DA4" w14:textId="77777777" w:rsidR="00DE3C92" w:rsidRPr="00A4272B" w:rsidRDefault="00DE3C92" w:rsidP="00DE3C92">
            <w:pPr>
              <w:spacing w:after="0"/>
              <w:rPr>
                <w:b/>
                <w:bCs/>
                <w:sz w:val="18"/>
                <w:szCs w:val="18"/>
                <w:lang w:val="en-US"/>
              </w:rPr>
            </w:pPr>
            <w:r w:rsidRPr="00A4272B">
              <w:rPr>
                <w:b/>
                <w:bCs/>
                <w:sz w:val="18"/>
                <w:szCs w:val="18"/>
                <w:lang w:val="en-US"/>
              </w:rPr>
              <w:t>Ambient air</w:t>
            </w:r>
          </w:p>
        </w:tc>
        <w:tc>
          <w:tcPr>
            <w:tcW w:w="858" w:type="pct"/>
            <w:gridSpan w:val="4"/>
            <w:shd w:val="clear" w:color="auto" w:fill="D9D9D9" w:themeFill="background1" w:themeFillShade="D9"/>
            <w:vAlign w:val="center"/>
          </w:tcPr>
          <w:p w14:paraId="1E0ADD7F" w14:textId="77777777" w:rsidR="00DE3C92" w:rsidRPr="00A4272B" w:rsidRDefault="00DE3C92" w:rsidP="00DE3C92">
            <w:pPr>
              <w:spacing w:after="0"/>
              <w:rPr>
                <w:b/>
                <w:bCs/>
                <w:sz w:val="18"/>
                <w:szCs w:val="18"/>
                <w:lang w:val="en-US"/>
              </w:rPr>
            </w:pPr>
            <w:r w:rsidRPr="00A4272B">
              <w:rPr>
                <w:b/>
                <w:bCs/>
                <w:sz w:val="18"/>
                <w:szCs w:val="18"/>
                <w:lang w:val="en-US"/>
              </w:rPr>
              <w:t>Water</w:t>
            </w:r>
          </w:p>
        </w:tc>
        <w:tc>
          <w:tcPr>
            <w:tcW w:w="905" w:type="pct"/>
            <w:gridSpan w:val="4"/>
            <w:shd w:val="clear" w:color="auto" w:fill="D9D9D9" w:themeFill="background1" w:themeFillShade="D9"/>
            <w:vAlign w:val="center"/>
          </w:tcPr>
          <w:p w14:paraId="21E020CA" w14:textId="77777777" w:rsidR="00DE3C92" w:rsidRPr="00A4272B" w:rsidRDefault="00DE3C92" w:rsidP="00DE3C92">
            <w:pPr>
              <w:spacing w:after="0"/>
              <w:rPr>
                <w:b/>
                <w:bCs/>
                <w:sz w:val="18"/>
                <w:szCs w:val="18"/>
                <w:lang w:val="en-US"/>
              </w:rPr>
            </w:pPr>
            <w:r w:rsidRPr="00A4272B">
              <w:rPr>
                <w:b/>
                <w:bCs/>
                <w:sz w:val="18"/>
                <w:szCs w:val="18"/>
                <w:lang w:val="en-US"/>
              </w:rPr>
              <w:t>Instrumentation/method detection limit</w:t>
            </w:r>
          </w:p>
        </w:tc>
        <w:tc>
          <w:tcPr>
            <w:tcW w:w="381" w:type="pct"/>
            <w:shd w:val="clear" w:color="auto" w:fill="D9D9D9" w:themeFill="background1" w:themeFillShade="D9"/>
            <w:noWrap/>
            <w:vAlign w:val="center"/>
          </w:tcPr>
          <w:p w14:paraId="2E569C15" w14:textId="77777777" w:rsidR="00DE3C92" w:rsidRPr="00A4272B" w:rsidRDefault="00DE3C92" w:rsidP="00DE3C92">
            <w:pPr>
              <w:spacing w:after="0"/>
              <w:rPr>
                <w:b/>
                <w:bCs/>
                <w:sz w:val="18"/>
                <w:szCs w:val="18"/>
                <w:lang w:val="en-US"/>
              </w:rPr>
            </w:pPr>
            <w:r w:rsidRPr="00A4272B">
              <w:rPr>
                <w:b/>
                <w:bCs/>
                <w:sz w:val="18"/>
                <w:szCs w:val="18"/>
                <w:lang w:val="en-US"/>
              </w:rPr>
              <w:t>Ionization mode</w:t>
            </w:r>
          </w:p>
        </w:tc>
      </w:tr>
      <w:tr w:rsidR="00DE3C92" w:rsidRPr="00A4272B" w14:paraId="08B8A43D" w14:textId="77777777" w:rsidTr="00DE3C92">
        <w:trPr>
          <w:trHeight w:val="255"/>
        </w:trPr>
        <w:tc>
          <w:tcPr>
            <w:tcW w:w="617" w:type="pct"/>
            <w:shd w:val="clear" w:color="auto" w:fill="auto"/>
          </w:tcPr>
          <w:p w14:paraId="04A4C6E9" w14:textId="77777777" w:rsidR="00DE3C92" w:rsidRPr="00A4272B" w:rsidRDefault="00DE3C92" w:rsidP="00DE3C92">
            <w:pPr>
              <w:spacing w:after="0"/>
              <w:rPr>
                <w:b/>
                <w:bCs/>
                <w:sz w:val="18"/>
                <w:szCs w:val="18"/>
                <w:lang w:val="en-US"/>
              </w:rPr>
            </w:pPr>
            <w:r w:rsidRPr="00A4272B">
              <w:rPr>
                <w:b/>
                <w:bCs/>
                <w:sz w:val="18"/>
                <w:szCs w:val="18"/>
                <w:lang w:val="en-US"/>
              </w:rPr>
              <w:t> </w:t>
            </w:r>
          </w:p>
        </w:tc>
        <w:tc>
          <w:tcPr>
            <w:tcW w:w="428" w:type="pct"/>
            <w:shd w:val="clear" w:color="auto" w:fill="auto"/>
            <w:noWrap/>
          </w:tcPr>
          <w:p w14:paraId="406F909E" w14:textId="77777777" w:rsidR="00DE3C92" w:rsidRPr="00A4272B" w:rsidRDefault="00DE3C92" w:rsidP="00DE3C92">
            <w:pPr>
              <w:spacing w:after="0"/>
              <w:jc w:val="center"/>
              <w:rPr>
                <w:b/>
                <w:bCs/>
                <w:sz w:val="18"/>
                <w:szCs w:val="18"/>
                <w:lang w:val="en-US"/>
              </w:rPr>
            </w:pPr>
            <w:r w:rsidRPr="00A4272B">
              <w:rPr>
                <w:b/>
                <w:bCs/>
                <w:sz w:val="18"/>
                <w:szCs w:val="18"/>
                <w:lang w:val="en-US"/>
              </w:rPr>
              <w:t>Unit</w:t>
            </w:r>
          </w:p>
        </w:tc>
        <w:tc>
          <w:tcPr>
            <w:tcW w:w="239" w:type="pct"/>
            <w:shd w:val="clear" w:color="auto" w:fill="auto"/>
            <w:noWrap/>
          </w:tcPr>
          <w:p w14:paraId="130BCB2D" w14:textId="77777777" w:rsidR="00DE3C92" w:rsidRPr="00A4272B" w:rsidRDefault="00DE3C92" w:rsidP="00DE3C92">
            <w:pPr>
              <w:spacing w:after="0"/>
              <w:jc w:val="center"/>
              <w:rPr>
                <w:b/>
                <w:bCs/>
                <w:sz w:val="18"/>
                <w:szCs w:val="18"/>
                <w:lang w:val="en-US"/>
              </w:rPr>
            </w:pPr>
            <w:r w:rsidRPr="00A4272B">
              <w:rPr>
                <w:b/>
                <w:bCs/>
                <w:sz w:val="18"/>
                <w:szCs w:val="18"/>
                <w:lang w:val="en-US"/>
              </w:rPr>
              <w:t>HRMS</w:t>
            </w:r>
          </w:p>
        </w:tc>
        <w:tc>
          <w:tcPr>
            <w:tcW w:w="239" w:type="pct"/>
            <w:shd w:val="clear" w:color="auto" w:fill="auto"/>
            <w:noWrap/>
          </w:tcPr>
          <w:p w14:paraId="467E45A7" w14:textId="77777777" w:rsidR="00DE3C92" w:rsidRPr="00A4272B" w:rsidRDefault="00DE3C92" w:rsidP="00DE3C92">
            <w:pPr>
              <w:spacing w:after="0"/>
              <w:jc w:val="center"/>
              <w:rPr>
                <w:b/>
                <w:bCs/>
                <w:sz w:val="18"/>
                <w:szCs w:val="18"/>
                <w:lang w:val="en-US"/>
              </w:rPr>
            </w:pPr>
            <w:r w:rsidRPr="00A4272B">
              <w:rPr>
                <w:b/>
                <w:bCs/>
                <w:sz w:val="18"/>
                <w:szCs w:val="18"/>
                <w:lang w:val="en-US"/>
              </w:rPr>
              <w:t>LRMS</w:t>
            </w:r>
          </w:p>
        </w:tc>
        <w:tc>
          <w:tcPr>
            <w:tcW w:w="175" w:type="pct"/>
            <w:shd w:val="clear" w:color="auto" w:fill="auto"/>
            <w:noWrap/>
          </w:tcPr>
          <w:p w14:paraId="7542FC5E" w14:textId="77777777" w:rsidR="00DE3C92" w:rsidRPr="00A4272B" w:rsidRDefault="00DE3C92" w:rsidP="00DE3C92">
            <w:pPr>
              <w:spacing w:after="0"/>
              <w:jc w:val="center"/>
              <w:rPr>
                <w:b/>
                <w:bCs/>
                <w:sz w:val="18"/>
                <w:szCs w:val="18"/>
                <w:lang w:val="en-US"/>
              </w:rPr>
            </w:pPr>
            <w:r w:rsidRPr="00A4272B">
              <w:rPr>
                <w:b/>
                <w:bCs/>
                <w:sz w:val="18"/>
                <w:szCs w:val="18"/>
                <w:lang w:val="en-US"/>
              </w:rPr>
              <w:t>ECD</w:t>
            </w:r>
          </w:p>
        </w:tc>
        <w:tc>
          <w:tcPr>
            <w:tcW w:w="491" w:type="pct"/>
            <w:shd w:val="clear" w:color="auto" w:fill="auto"/>
            <w:noWrap/>
          </w:tcPr>
          <w:p w14:paraId="25D8A726" w14:textId="77777777" w:rsidR="00DE3C92" w:rsidRPr="00A4272B" w:rsidRDefault="00DE3C92" w:rsidP="00DE3C92">
            <w:pPr>
              <w:spacing w:after="0"/>
              <w:jc w:val="center"/>
              <w:rPr>
                <w:b/>
                <w:bCs/>
                <w:sz w:val="18"/>
                <w:szCs w:val="18"/>
                <w:lang w:val="en-US"/>
              </w:rPr>
            </w:pPr>
            <w:r w:rsidRPr="00A4272B">
              <w:rPr>
                <w:b/>
                <w:bCs/>
                <w:sz w:val="18"/>
                <w:szCs w:val="18"/>
                <w:lang w:val="en-US"/>
              </w:rPr>
              <w:t>Unit</w:t>
            </w:r>
          </w:p>
        </w:tc>
        <w:tc>
          <w:tcPr>
            <w:tcW w:w="239" w:type="pct"/>
            <w:shd w:val="clear" w:color="auto" w:fill="auto"/>
            <w:noWrap/>
          </w:tcPr>
          <w:p w14:paraId="0391202B" w14:textId="77777777" w:rsidR="00DE3C92" w:rsidRPr="00A4272B" w:rsidRDefault="00DE3C92" w:rsidP="00DE3C92">
            <w:pPr>
              <w:spacing w:after="0"/>
              <w:jc w:val="center"/>
              <w:rPr>
                <w:b/>
                <w:bCs/>
                <w:sz w:val="18"/>
                <w:szCs w:val="18"/>
                <w:lang w:val="en-US"/>
              </w:rPr>
            </w:pPr>
            <w:r w:rsidRPr="00A4272B">
              <w:rPr>
                <w:b/>
                <w:bCs/>
                <w:sz w:val="18"/>
                <w:szCs w:val="18"/>
                <w:lang w:val="en-US"/>
              </w:rPr>
              <w:t>HRMS</w:t>
            </w:r>
          </w:p>
        </w:tc>
        <w:tc>
          <w:tcPr>
            <w:tcW w:w="238" w:type="pct"/>
            <w:shd w:val="clear" w:color="auto" w:fill="auto"/>
            <w:noWrap/>
          </w:tcPr>
          <w:p w14:paraId="718BD069" w14:textId="77777777" w:rsidR="00DE3C92" w:rsidRPr="00A4272B" w:rsidRDefault="00DE3C92" w:rsidP="00DE3C92">
            <w:pPr>
              <w:spacing w:after="0"/>
              <w:jc w:val="center"/>
              <w:rPr>
                <w:b/>
                <w:bCs/>
                <w:sz w:val="18"/>
                <w:szCs w:val="18"/>
                <w:lang w:val="en-US"/>
              </w:rPr>
            </w:pPr>
            <w:r w:rsidRPr="00A4272B">
              <w:rPr>
                <w:b/>
                <w:bCs/>
                <w:sz w:val="18"/>
                <w:szCs w:val="18"/>
                <w:lang w:val="en-US"/>
              </w:rPr>
              <w:t>LRMS</w:t>
            </w:r>
          </w:p>
        </w:tc>
        <w:tc>
          <w:tcPr>
            <w:tcW w:w="190" w:type="pct"/>
            <w:shd w:val="clear" w:color="auto" w:fill="auto"/>
            <w:noWrap/>
          </w:tcPr>
          <w:p w14:paraId="1BC72E3A" w14:textId="77777777" w:rsidR="00DE3C92" w:rsidRPr="00A4272B" w:rsidRDefault="00DE3C92" w:rsidP="00DE3C92">
            <w:pPr>
              <w:spacing w:after="0"/>
              <w:jc w:val="center"/>
              <w:rPr>
                <w:b/>
                <w:bCs/>
                <w:sz w:val="18"/>
                <w:szCs w:val="18"/>
                <w:lang w:val="en-US"/>
              </w:rPr>
            </w:pPr>
            <w:r w:rsidRPr="00A4272B">
              <w:rPr>
                <w:b/>
                <w:bCs/>
                <w:sz w:val="18"/>
                <w:szCs w:val="18"/>
                <w:lang w:val="en-US"/>
              </w:rPr>
              <w:t>ECD</w:t>
            </w:r>
          </w:p>
        </w:tc>
        <w:tc>
          <w:tcPr>
            <w:tcW w:w="191" w:type="pct"/>
            <w:shd w:val="clear" w:color="auto" w:fill="auto"/>
          </w:tcPr>
          <w:p w14:paraId="43453811" w14:textId="77777777" w:rsidR="00DE3C92" w:rsidRPr="00A4272B" w:rsidRDefault="00DE3C92" w:rsidP="00DE3C92">
            <w:pPr>
              <w:spacing w:after="0"/>
              <w:jc w:val="center"/>
              <w:rPr>
                <w:b/>
                <w:bCs/>
                <w:sz w:val="18"/>
                <w:szCs w:val="18"/>
                <w:lang w:val="en-US"/>
              </w:rPr>
            </w:pPr>
            <w:r w:rsidRPr="00A4272B">
              <w:rPr>
                <w:b/>
                <w:bCs/>
                <w:sz w:val="18"/>
                <w:szCs w:val="18"/>
                <w:lang w:val="en-US"/>
              </w:rPr>
              <w:t>Unit</w:t>
            </w:r>
          </w:p>
        </w:tc>
        <w:tc>
          <w:tcPr>
            <w:tcW w:w="238" w:type="pct"/>
            <w:shd w:val="clear" w:color="auto" w:fill="auto"/>
          </w:tcPr>
          <w:p w14:paraId="5184CB93" w14:textId="77777777" w:rsidR="00DE3C92" w:rsidRPr="00A4272B" w:rsidRDefault="00DE3C92" w:rsidP="00DE3C92">
            <w:pPr>
              <w:spacing w:after="0"/>
              <w:jc w:val="center"/>
              <w:rPr>
                <w:b/>
                <w:bCs/>
                <w:sz w:val="18"/>
                <w:szCs w:val="18"/>
                <w:lang w:val="en-US"/>
              </w:rPr>
            </w:pPr>
            <w:r w:rsidRPr="00A4272B">
              <w:rPr>
                <w:b/>
                <w:bCs/>
                <w:sz w:val="18"/>
                <w:szCs w:val="18"/>
                <w:lang w:val="en-US"/>
              </w:rPr>
              <w:t>HRMS</w:t>
            </w:r>
          </w:p>
        </w:tc>
        <w:tc>
          <w:tcPr>
            <w:tcW w:w="238" w:type="pct"/>
            <w:shd w:val="clear" w:color="auto" w:fill="auto"/>
          </w:tcPr>
          <w:p w14:paraId="6E82B9B7" w14:textId="77777777" w:rsidR="00DE3C92" w:rsidRPr="00A4272B" w:rsidRDefault="00DE3C92" w:rsidP="00DE3C92">
            <w:pPr>
              <w:spacing w:after="0"/>
              <w:jc w:val="center"/>
              <w:rPr>
                <w:b/>
                <w:bCs/>
                <w:sz w:val="18"/>
                <w:szCs w:val="18"/>
                <w:lang w:val="en-US"/>
              </w:rPr>
            </w:pPr>
            <w:r w:rsidRPr="00A4272B">
              <w:rPr>
                <w:b/>
                <w:bCs/>
                <w:sz w:val="18"/>
                <w:szCs w:val="18"/>
                <w:lang w:val="en-US"/>
              </w:rPr>
              <w:t>LRMS</w:t>
            </w:r>
          </w:p>
        </w:tc>
        <w:tc>
          <w:tcPr>
            <w:tcW w:w="191" w:type="pct"/>
            <w:shd w:val="clear" w:color="auto" w:fill="auto"/>
          </w:tcPr>
          <w:p w14:paraId="281B903A" w14:textId="77777777" w:rsidR="00DE3C92" w:rsidRPr="00A4272B" w:rsidRDefault="00DE3C92" w:rsidP="00DE3C92">
            <w:pPr>
              <w:spacing w:after="0"/>
              <w:jc w:val="center"/>
              <w:rPr>
                <w:b/>
                <w:bCs/>
                <w:sz w:val="18"/>
                <w:szCs w:val="18"/>
                <w:lang w:val="en-US"/>
              </w:rPr>
            </w:pPr>
            <w:r w:rsidRPr="00A4272B">
              <w:rPr>
                <w:b/>
                <w:bCs/>
                <w:sz w:val="18"/>
                <w:szCs w:val="18"/>
                <w:lang w:val="en-US"/>
              </w:rPr>
              <w:t>ECD</w:t>
            </w:r>
          </w:p>
        </w:tc>
        <w:tc>
          <w:tcPr>
            <w:tcW w:w="238" w:type="pct"/>
            <w:shd w:val="clear" w:color="auto" w:fill="auto"/>
            <w:noWrap/>
          </w:tcPr>
          <w:p w14:paraId="4478C687" w14:textId="77777777" w:rsidR="00DE3C92" w:rsidRPr="00A4272B" w:rsidRDefault="00DE3C92" w:rsidP="00DE3C92">
            <w:pPr>
              <w:spacing w:after="0"/>
              <w:jc w:val="center"/>
              <w:rPr>
                <w:b/>
                <w:bCs/>
                <w:sz w:val="18"/>
                <w:szCs w:val="18"/>
                <w:lang w:val="en-US"/>
              </w:rPr>
            </w:pPr>
            <w:r w:rsidRPr="00A4272B">
              <w:rPr>
                <w:b/>
                <w:bCs/>
                <w:sz w:val="18"/>
                <w:szCs w:val="18"/>
                <w:lang w:val="en-US"/>
              </w:rPr>
              <w:t>Unit</w:t>
            </w:r>
          </w:p>
        </w:tc>
        <w:tc>
          <w:tcPr>
            <w:tcW w:w="238" w:type="pct"/>
            <w:shd w:val="clear" w:color="auto" w:fill="auto"/>
            <w:noWrap/>
          </w:tcPr>
          <w:p w14:paraId="6865117E" w14:textId="77777777" w:rsidR="00DE3C92" w:rsidRPr="00A4272B" w:rsidRDefault="00DE3C92" w:rsidP="00DE3C92">
            <w:pPr>
              <w:spacing w:after="0"/>
              <w:jc w:val="center"/>
              <w:rPr>
                <w:b/>
                <w:bCs/>
                <w:sz w:val="18"/>
                <w:szCs w:val="18"/>
                <w:lang w:val="en-US"/>
              </w:rPr>
            </w:pPr>
            <w:r w:rsidRPr="00A4272B">
              <w:rPr>
                <w:b/>
                <w:bCs/>
                <w:sz w:val="18"/>
                <w:szCs w:val="18"/>
                <w:lang w:val="en-US"/>
              </w:rPr>
              <w:t>HRMS</w:t>
            </w:r>
          </w:p>
        </w:tc>
        <w:tc>
          <w:tcPr>
            <w:tcW w:w="239" w:type="pct"/>
            <w:shd w:val="clear" w:color="auto" w:fill="auto"/>
            <w:noWrap/>
          </w:tcPr>
          <w:p w14:paraId="085CF08F" w14:textId="77777777" w:rsidR="00DE3C92" w:rsidRPr="00A4272B" w:rsidRDefault="00DE3C92" w:rsidP="00DE3C92">
            <w:pPr>
              <w:spacing w:after="0"/>
              <w:jc w:val="center"/>
              <w:rPr>
                <w:b/>
                <w:bCs/>
                <w:sz w:val="18"/>
                <w:szCs w:val="18"/>
                <w:lang w:val="en-US"/>
              </w:rPr>
            </w:pPr>
            <w:r w:rsidRPr="00A4272B">
              <w:rPr>
                <w:b/>
                <w:bCs/>
                <w:sz w:val="18"/>
                <w:szCs w:val="18"/>
                <w:lang w:val="en-US"/>
              </w:rPr>
              <w:t>LRMS</w:t>
            </w:r>
          </w:p>
        </w:tc>
        <w:tc>
          <w:tcPr>
            <w:tcW w:w="190" w:type="pct"/>
            <w:shd w:val="clear" w:color="auto" w:fill="auto"/>
            <w:noWrap/>
          </w:tcPr>
          <w:p w14:paraId="708552FF" w14:textId="77777777" w:rsidR="00DE3C92" w:rsidRPr="00A4272B" w:rsidRDefault="00DE3C92" w:rsidP="00DE3C92">
            <w:pPr>
              <w:spacing w:after="0"/>
              <w:jc w:val="center"/>
              <w:rPr>
                <w:b/>
                <w:bCs/>
                <w:sz w:val="18"/>
                <w:szCs w:val="18"/>
                <w:lang w:val="en-US"/>
              </w:rPr>
            </w:pPr>
            <w:r w:rsidRPr="00A4272B">
              <w:rPr>
                <w:b/>
                <w:bCs/>
                <w:sz w:val="18"/>
                <w:szCs w:val="18"/>
                <w:lang w:val="en-US"/>
              </w:rPr>
              <w:t>ECD</w:t>
            </w:r>
          </w:p>
        </w:tc>
        <w:tc>
          <w:tcPr>
            <w:tcW w:w="381" w:type="pct"/>
            <w:shd w:val="clear" w:color="auto" w:fill="auto"/>
            <w:noWrap/>
            <w:vAlign w:val="bottom"/>
          </w:tcPr>
          <w:p w14:paraId="45CDF18E" w14:textId="77777777" w:rsidR="00DE3C92" w:rsidRPr="00A4272B" w:rsidRDefault="00DE3C92" w:rsidP="00DE3C92">
            <w:pPr>
              <w:spacing w:after="0"/>
              <w:rPr>
                <w:b/>
                <w:bCs/>
                <w:sz w:val="18"/>
                <w:szCs w:val="18"/>
                <w:lang w:val="en-US"/>
              </w:rPr>
            </w:pPr>
            <w:r w:rsidRPr="00A4272B">
              <w:rPr>
                <w:b/>
                <w:bCs/>
                <w:sz w:val="18"/>
                <w:szCs w:val="18"/>
                <w:lang w:val="en-US"/>
              </w:rPr>
              <w:t> </w:t>
            </w:r>
          </w:p>
        </w:tc>
      </w:tr>
      <w:tr w:rsidR="00DE3C92" w:rsidRPr="00A4272B" w14:paraId="789990A8" w14:textId="77777777" w:rsidTr="00DE3C92">
        <w:trPr>
          <w:trHeight w:val="285"/>
        </w:trPr>
        <w:tc>
          <w:tcPr>
            <w:tcW w:w="617" w:type="pct"/>
            <w:shd w:val="clear" w:color="auto" w:fill="auto"/>
            <w:noWrap/>
          </w:tcPr>
          <w:p w14:paraId="2E816EDC" w14:textId="77777777" w:rsidR="00DE3C92" w:rsidRPr="00A4272B" w:rsidRDefault="00DE3C92" w:rsidP="00DE3C92">
            <w:pPr>
              <w:spacing w:after="0"/>
              <w:rPr>
                <w:sz w:val="18"/>
                <w:szCs w:val="18"/>
                <w:lang w:val="en-US"/>
              </w:rPr>
            </w:pPr>
            <w:r w:rsidRPr="00A4272B">
              <w:rPr>
                <w:sz w:val="18"/>
                <w:szCs w:val="18"/>
                <w:lang w:val="en-US"/>
              </w:rPr>
              <w:t xml:space="preserve">PCDDs/Fs </w:t>
            </w:r>
          </w:p>
        </w:tc>
        <w:tc>
          <w:tcPr>
            <w:tcW w:w="428" w:type="pct"/>
            <w:shd w:val="clear" w:color="auto" w:fill="auto"/>
            <w:noWrap/>
          </w:tcPr>
          <w:p w14:paraId="3686B854" w14:textId="77777777" w:rsidR="00DE3C92" w:rsidRPr="00A4272B" w:rsidRDefault="00DE3C92" w:rsidP="00DE3C92">
            <w:pPr>
              <w:spacing w:after="0"/>
              <w:rPr>
                <w:sz w:val="18"/>
                <w:szCs w:val="18"/>
                <w:lang w:val="en-US"/>
              </w:rPr>
            </w:pPr>
            <w:r w:rsidRPr="00A4272B">
              <w:rPr>
                <w:sz w:val="18"/>
                <w:szCs w:val="18"/>
                <w:lang w:val="en-US"/>
              </w:rPr>
              <w:t>pg TEQ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695A3027" w14:textId="77777777" w:rsidR="00DE3C92" w:rsidRPr="00A4272B" w:rsidRDefault="00DE3C92" w:rsidP="00DE3C92">
            <w:pPr>
              <w:spacing w:after="0"/>
              <w:jc w:val="center"/>
              <w:rPr>
                <w:sz w:val="18"/>
                <w:szCs w:val="18"/>
                <w:lang w:val="en-US"/>
              </w:rPr>
            </w:pPr>
            <w:r w:rsidRPr="00A4272B">
              <w:rPr>
                <w:sz w:val="18"/>
                <w:szCs w:val="18"/>
                <w:lang w:val="en-US"/>
              </w:rPr>
              <w:t>1</w:t>
            </w:r>
          </w:p>
        </w:tc>
        <w:tc>
          <w:tcPr>
            <w:tcW w:w="239" w:type="pct"/>
            <w:shd w:val="clear" w:color="auto" w:fill="FF0000"/>
            <w:noWrap/>
          </w:tcPr>
          <w:p w14:paraId="43F62681"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552FF0A3" w14:textId="77777777" w:rsidR="00DE3C92" w:rsidRPr="00A4272B" w:rsidRDefault="00DE3C92" w:rsidP="00DE3C92">
            <w:pPr>
              <w:spacing w:after="0"/>
              <w:jc w:val="center"/>
              <w:rPr>
                <w:sz w:val="18"/>
                <w:szCs w:val="18"/>
                <w:lang w:val="en-US"/>
              </w:rPr>
            </w:pPr>
          </w:p>
        </w:tc>
        <w:tc>
          <w:tcPr>
            <w:tcW w:w="491" w:type="pct"/>
            <w:shd w:val="clear" w:color="auto" w:fill="auto"/>
            <w:noWrap/>
          </w:tcPr>
          <w:p w14:paraId="2B2F8BE3"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5A1641CE" w14:textId="77777777" w:rsidR="00DE3C92" w:rsidRPr="00A4272B" w:rsidRDefault="00DE3C92" w:rsidP="00DE3C92">
            <w:pPr>
              <w:spacing w:after="0"/>
              <w:jc w:val="center"/>
              <w:rPr>
                <w:sz w:val="18"/>
                <w:szCs w:val="18"/>
                <w:lang w:val="en-US"/>
              </w:rPr>
            </w:pPr>
          </w:p>
        </w:tc>
        <w:tc>
          <w:tcPr>
            <w:tcW w:w="238" w:type="pct"/>
            <w:shd w:val="clear" w:color="auto" w:fill="auto"/>
            <w:noWrap/>
          </w:tcPr>
          <w:p w14:paraId="22E75A79"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2086973F" w14:textId="77777777" w:rsidR="00DE3C92" w:rsidRPr="00A4272B" w:rsidRDefault="00DE3C92" w:rsidP="00DE3C92">
            <w:pPr>
              <w:spacing w:after="0"/>
              <w:jc w:val="center"/>
              <w:rPr>
                <w:sz w:val="18"/>
                <w:szCs w:val="18"/>
                <w:lang w:val="en-US"/>
              </w:rPr>
            </w:pPr>
          </w:p>
        </w:tc>
        <w:tc>
          <w:tcPr>
            <w:tcW w:w="191" w:type="pct"/>
            <w:shd w:val="clear" w:color="auto" w:fill="auto"/>
          </w:tcPr>
          <w:p w14:paraId="666503B5" w14:textId="77777777" w:rsidR="00DE3C92" w:rsidRPr="00A4272B" w:rsidRDefault="00DE3C92" w:rsidP="00DE3C92">
            <w:pPr>
              <w:spacing w:after="0"/>
              <w:rPr>
                <w:sz w:val="18"/>
                <w:szCs w:val="18"/>
                <w:lang w:val="en-US"/>
              </w:rPr>
            </w:pPr>
          </w:p>
        </w:tc>
        <w:tc>
          <w:tcPr>
            <w:tcW w:w="238" w:type="pct"/>
            <w:shd w:val="clear" w:color="auto" w:fill="auto"/>
          </w:tcPr>
          <w:p w14:paraId="4C4C1CF5" w14:textId="77777777" w:rsidR="00DE3C92" w:rsidRPr="00A4272B" w:rsidRDefault="00DE3C92" w:rsidP="00DE3C92">
            <w:pPr>
              <w:spacing w:after="0"/>
              <w:rPr>
                <w:sz w:val="18"/>
                <w:szCs w:val="18"/>
                <w:lang w:val="en-US"/>
              </w:rPr>
            </w:pPr>
          </w:p>
        </w:tc>
        <w:tc>
          <w:tcPr>
            <w:tcW w:w="238" w:type="pct"/>
            <w:shd w:val="clear" w:color="auto" w:fill="auto"/>
          </w:tcPr>
          <w:p w14:paraId="1EFFB38E" w14:textId="77777777" w:rsidR="00DE3C92" w:rsidRPr="00A4272B" w:rsidRDefault="00DE3C92" w:rsidP="00DE3C92">
            <w:pPr>
              <w:spacing w:after="0"/>
              <w:rPr>
                <w:sz w:val="18"/>
                <w:szCs w:val="18"/>
                <w:lang w:val="en-US"/>
              </w:rPr>
            </w:pPr>
          </w:p>
        </w:tc>
        <w:tc>
          <w:tcPr>
            <w:tcW w:w="191" w:type="pct"/>
            <w:shd w:val="clear" w:color="auto" w:fill="auto"/>
          </w:tcPr>
          <w:p w14:paraId="52980C2D" w14:textId="77777777" w:rsidR="00DE3C92" w:rsidRPr="00A4272B" w:rsidRDefault="00DE3C92" w:rsidP="00DE3C92">
            <w:pPr>
              <w:spacing w:after="0"/>
              <w:rPr>
                <w:sz w:val="18"/>
                <w:szCs w:val="18"/>
                <w:lang w:val="en-US"/>
              </w:rPr>
            </w:pPr>
          </w:p>
        </w:tc>
        <w:tc>
          <w:tcPr>
            <w:tcW w:w="238" w:type="pct"/>
            <w:shd w:val="clear" w:color="auto" w:fill="auto"/>
            <w:noWrap/>
          </w:tcPr>
          <w:p w14:paraId="2E180007"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69C5D2AC" w14:textId="77777777" w:rsidR="00DE3C92" w:rsidRPr="00A4272B" w:rsidRDefault="00DE3C92" w:rsidP="00DE3C92">
            <w:pPr>
              <w:spacing w:after="0"/>
              <w:jc w:val="center"/>
              <w:rPr>
                <w:sz w:val="18"/>
                <w:szCs w:val="18"/>
                <w:lang w:val="en-US"/>
              </w:rPr>
            </w:pPr>
            <w:r w:rsidRPr="00A4272B">
              <w:rPr>
                <w:sz w:val="18"/>
                <w:szCs w:val="18"/>
                <w:lang w:val="en-US"/>
              </w:rPr>
              <w:t>0.05</w:t>
            </w:r>
          </w:p>
        </w:tc>
        <w:tc>
          <w:tcPr>
            <w:tcW w:w="239" w:type="pct"/>
            <w:shd w:val="clear" w:color="auto" w:fill="FF0000"/>
            <w:noWrap/>
            <w:vAlign w:val="bottom"/>
          </w:tcPr>
          <w:p w14:paraId="65301149" w14:textId="77777777" w:rsidR="00DE3C92" w:rsidRPr="00A4272B" w:rsidRDefault="00DE3C92" w:rsidP="00DE3C92">
            <w:pPr>
              <w:spacing w:after="0"/>
              <w:jc w:val="center"/>
              <w:rPr>
                <w:sz w:val="18"/>
                <w:szCs w:val="18"/>
                <w:lang w:val="en-US"/>
              </w:rPr>
            </w:pPr>
          </w:p>
        </w:tc>
        <w:tc>
          <w:tcPr>
            <w:tcW w:w="190" w:type="pct"/>
            <w:shd w:val="clear" w:color="auto" w:fill="FF0000"/>
            <w:noWrap/>
            <w:vAlign w:val="bottom"/>
          </w:tcPr>
          <w:p w14:paraId="00140094"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1A66E630" w14:textId="77777777" w:rsidR="00DE3C92" w:rsidRPr="00A4272B" w:rsidRDefault="00DE3C92" w:rsidP="00DE3C92">
            <w:pPr>
              <w:spacing w:after="0"/>
              <w:rPr>
                <w:sz w:val="18"/>
                <w:szCs w:val="18"/>
                <w:lang w:val="en-US"/>
              </w:rPr>
            </w:pPr>
            <w:r w:rsidRPr="00A4272B">
              <w:rPr>
                <w:sz w:val="18"/>
                <w:szCs w:val="18"/>
                <w:lang w:val="en-US"/>
              </w:rPr>
              <w:t> </w:t>
            </w:r>
          </w:p>
        </w:tc>
      </w:tr>
      <w:tr w:rsidR="00DE3C92" w:rsidRPr="00A4272B" w14:paraId="65AD1044" w14:textId="77777777" w:rsidTr="00DE3C92">
        <w:trPr>
          <w:trHeight w:val="285"/>
        </w:trPr>
        <w:tc>
          <w:tcPr>
            <w:tcW w:w="617" w:type="pct"/>
            <w:shd w:val="clear" w:color="auto" w:fill="auto"/>
            <w:noWrap/>
          </w:tcPr>
          <w:p w14:paraId="364F86FE" w14:textId="77777777" w:rsidR="00DE3C92" w:rsidRPr="00A4272B" w:rsidRDefault="00DE3C92" w:rsidP="00DE3C92">
            <w:pPr>
              <w:spacing w:after="0"/>
              <w:rPr>
                <w:sz w:val="18"/>
                <w:szCs w:val="18"/>
                <w:lang w:val="en-US"/>
              </w:rPr>
            </w:pPr>
            <w:r w:rsidRPr="00A4272B">
              <w:rPr>
                <w:sz w:val="18"/>
                <w:szCs w:val="18"/>
                <w:lang w:val="en-US"/>
              </w:rPr>
              <w:t>PBDDs/Fs</w:t>
            </w:r>
          </w:p>
        </w:tc>
        <w:tc>
          <w:tcPr>
            <w:tcW w:w="428" w:type="pct"/>
            <w:shd w:val="clear" w:color="auto" w:fill="auto"/>
            <w:noWrap/>
          </w:tcPr>
          <w:p w14:paraId="23FA9FC2" w14:textId="77777777" w:rsidR="00DE3C92" w:rsidRPr="00A4272B" w:rsidRDefault="00DE3C92" w:rsidP="00DE3C92">
            <w:pPr>
              <w:spacing w:after="0"/>
              <w:rPr>
                <w:sz w:val="18"/>
                <w:szCs w:val="18"/>
                <w:lang w:val="en-US"/>
              </w:rPr>
            </w:pPr>
            <w:r w:rsidRPr="00A4272B">
              <w:rPr>
                <w:sz w:val="18"/>
                <w:szCs w:val="18"/>
                <w:lang w:val="en-US"/>
              </w:rPr>
              <w:t>pg TEQ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60CF9504" w14:textId="77777777" w:rsidR="00DE3C92" w:rsidRPr="00A4272B" w:rsidRDefault="00DE3C92" w:rsidP="00DE3C92">
            <w:pPr>
              <w:spacing w:after="0"/>
              <w:jc w:val="center"/>
              <w:rPr>
                <w:sz w:val="18"/>
                <w:szCs w:val="18"/>
                <w:lang w:val="en-US"/>
              </w:rPr>
            </w:pPr>
            <w:r w:rsidRPr="00A4272B">
              <w:rPr>
                <w:sz w:val="18"/>
                <w:szCs w:val="18"/>
                <w:lang w:val="en-US"/>
              </w:rPr>
              <w:t>1</w:t>
            </w:r>
          </w:p>
        </w:tc>
        <w:tc>
          <w:tcPr>
            <w:tcW w:w="239" w:type="pct"/>
            <w:shd w:val="clear" w:color="auto" w:fill="FF0000"/>
            <w:noWrap/>
          </w:tcPr>
          <w:p w14:paraId="1694957E"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5D37D0D9" w14:textId="77777777" w:rsidR="00DE3C92" w:rsidRPr="00A4272B" w:rsidRDefault="00DE3C92" w:rsidP="00DE3C92">
            <w:pPr>
              <w:spacing w:after="0"/>
              <w:jc w:val="center"/>
              <w:rPr>
                <w:sz w:val="18"/>
                <w:szCs w:val="18"/>
                <w:lang w:val="en-US"/>
              </w:rPr>
            </w:pPr>
          </w:p>
        </w:tc>
        <w:tc>
          <w:tcPr>
            <w:tcW w:w="491" w:type="pct"/>
            <w:shd w:val="clear" w:color="auto" w:fill="auto"/>
            <w:noWrap/>
          </w:tcPr>
          <w:p w14:paraId="4153F903"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4D84BC4F" w14:textId="77777777" w:rsidR="00DE3C92" w:rsidRPr="00A4272B" w:rsidRDefault="00DE3C92" w:rsidP="00DE3C92">
            <w:pPr>
              <w:spacing w:after="0"/>
              <w:jc w:val="center"/>
              <w:rPr>
                <w:sz w:val="18"/>
                <w:szCs w:val="18"/>
                <w:lang w:val="en-US"/>
              </w:rPr>
            </w:pPr>
          </w:p>
        </w:tc>
        <w:tc>
          <w:tcPr>
            <w:tcW w:w="238" w:type="pct"/>
            <w:shd w:val="clear" w:color="auto" w:fill="auto"/>
            <w:noWrap/>
          </w:tcPr>
          <w:p w14:paraId="783902D4"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3E2E80F1" w14:textId="77777777" w:rsidR="00DE3C92" w:rsidRPr="00A4272B" w:rsidRDefault="00DE3C92" w:rsidP="00DE3C92">
            <w:pPr>
              <w:spacing w:after="0"/>
              <w:jc w:val="center"/>
              <w:rPr>
                <w:sz w:val="18"/>
                <w:szCs w:val="18"/>
                <w:lang w:val="en-US"/>
              </w:rPr>
            </w:pPr>
          </w:p>
        </w:tc>
        <w:tc>
          <w:tcPr>
            <w:tcW w:w="191" w:type="pct"/>
            <w:shd w:val="clear" w:color="auto" w:fill="auto"/>
          </w:tcPr>
          <w:p w14:paraId="19157632" w14:textId="77777777" w:rsidR="00DE3C92" w:rsidRPr="00A4272B" w:rsidRDefault="00DE3C92" w:rsidP="00DE3C92">
            <w:pPr>
              <w:spacing w:after="0"/>
              <w:rPr>
                <w:sz w:val="18"/>
                <w:szCs w:val="18"/>
                <w:lang w:val="en-US"/>
              </w:rPr>
            </w:pPr>
          </w:p>
        </w:tc>
        <w:tc>
          <w:tcPr>
            <w:tcW w:w="238" w:type="pct"/>
            <w:shd w:val="clear" w:color="auto" w:fill="auto"/>
          </w:tcPr>
          <w:p w14:paraId="67640B11" w14:textId="77777777" w:rsidR="00DE3C92" w:rsidRPr="00A4272B" w:rsidRDefault="00DE3C92" w:rsidP="00DE3C92">
            <w:pPr>
              <w:spacing w:after="0"/>
              <w:rPr>
                <w:sz w:val="18"/>
                <w:szCs w:val="18"/>
                <w:lang w:val="en-US"/>
              </w:rPr>
            </w:pPr>
          </w:p>
        </w:tc>
        <w:tc>
          <w:tcPr>
            <w:tcW w:w="238" w:type="pct"/>
            <w:shd w:val="clear" w:color="auto" w:fill="auto"/>
          </w:tcPr>
          <w:p w14:paraId="04098025" w14:textId="77777777" w:rsidR="00DE3C92" w:rsidRPr="00A4272B" w:rsidRDefault="00DE3C92" w:rsidP="00DE3C92">
            <w:pPr>
              <w:spacing w:after="0"/>
              <w:rPr>
                <w:sz w:val="18"/>
                <w:szCs w:val="18"/>
                <w:lang w:val="en-US"/>
              </w:rPr>
            </w:pPr>
          </w:p>
        </w:tc>
        <w:tc>
          <w:tcPr>
            <w:tcW w:w="191" w:type="pct"/>
            <w:shd w:val="clear" w:color="auto" w:fill="auto"/>
          </w:tcPr>
          <w:p w14:paraId="7B85AD4E" w14:textId="77777777" w:rsidR="00DE3C92" w:rsidRPr="00A4272B" w:rsidRDefault="00DE3C92" w:rsidP="00DE3C92">
            <w:pPr>
              <w:spacing w:after="0"/>
              <w:rPr>
                <w:sz w:val="18"/>
                <w:szCs w:val="18"/>
                <w:lang w:val="en-US"/>
              </w:rPr>
            </w:pPr>
          </w:p>
        </w:tc>
        <w:tc>
          <w:tcPr>
            <w:tcW w:w="238" w:type="pct"/>
            <w:shd w:val="clear" w:color="auto" w:fill="auto"/>
            <w:noWrap/>
          </w:tcPr>
          <w:p w14:paraId="52568D6F"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5D7CBE27" w14:textId="77777777" w:rsidR="00DE3C92" w:rsidRPr="00A4272B" w:rsidRDefault="00DE3C92" w:rsidP="00DE3C92">
            <w:pPr>
              <w:spacing w:after="0"/>
              <w:jc w:val="center"/>
              <w:rPr>
                <w:sz w:val="18"/>
                <w:szCs w:val="18"/>
                <w:lang w:val="en-US"/>
              </w:rPr>
            </w:pPr>
            <w:r w:rsidRPr="00A4272B">
              <w:rPr>
                <w:sz w:val="18"/>
                <w:szCs w:val="18"/>
                <w:lang w:val="en-US"/>
              </w:rPr>
              <w:t>0.05</w:t>
            </w:r>
          </w:p>
        </w:tc>
        <w:tc>
          <w:tcPr>
            <w:tcW w:w="239" w:type="pct"/>
            <w:shd w:val="clear" w:color="auto" w:fill="FF0000"/>
            <w:noWrap/>
            <w:vAlign w:val="bottom"/>
          </w:tcPr>
          <w:p w14:paraId="1597CE6A" w14:textId="77777777" w:rsidR="00DE3C92" w:rsidRPr="00A4272B" w:rsidRDefault="00DE3C92" w:rsidP="00DE3C92">
            <w:pPr>
              <w:spacing w:after="0"/>
              <w:jc w:val="center"/>
              <w:rPr>
                <w:sz w:val="18"/>
                <w:szCs w:val="18"/>
                <w:lang w:val="en-US"/>
              </w:rPr>
            </w:pPr>
          </w:p>
        </w:tc>
        <w:tc>
          <w:tcPr>
            <w:tcW w:w="190" w:type="pct"/>
            <w:shd w:val="clear" w:color="auto" w:fill="FF0000"/>
            <w:noWrap/>
            <w:vAlign w:val="bottom"/>
          </w:tcPr>
          <w:p w14:paraId="7BD66FBA"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6C892DC0" w14:textId="77777777" w:rsidR="00DE3C92" w:rsidRPr="00A4272B" w:rsidRDefault="00DE3C92" w:rsidP="00DE3C92">
            <w:pPr>
              <w:spacing w:after="0"/>
              <w:rPr>
                <w:sz w:val="18"/>
                <w:szCs w:val="18"/>
                <w:lang w:val="en-US"/>
              </w:rPr>
            </w:pPr>
            <w:r w:rsidRPr="00A4272B">
              <w:rPr>
                <w:sz w:val="18"/>
                <w:szCs w:val="18"/>
                <w:lang w:val="en-US"/>
              </w:rPr>
              <w:t>ECNI-MS</w:t>
            </w:r>
          </w:p>
        </w:tc>
      </w:tr>
      <w:tr w:rsidR="00DE3C92" w:rsidRPr="00A4272B" w14:paraId="38DE473A" w14:textId="77777777" w:rsidTr="00DE3C92">
        <w:trPr>
          <w:trHeight w:val="285"/>
        </w:trPr>
        <w:tc>
          <w:tcPr>
            <w:tcW w:w="617" w:type="pct"/>
            <w:shd w:val="clear" w:color="auto" w:fill="auto"/>
            <w:noWrap/>
          </w:tcPr>
          <w:p w14:paraId="3B55E1BC" w14:textId="77777777" w:rsidR="00DE3C92" w:rsidRPr="00A4272B" w:rsidRDefault="00DE3C92" w:rsidP="00DE3C92">
            <w:pPr>
              <w:spacing w:after="0"/>
              <w:rPr>
                <w:sz w:val="18"/>
                <w:szCs w:val="18"/>
                <w:lang w:val="en-US"/>
              </w:rPr>
            </w:pPr>
            <w:r w:rsidRPr="00A4272B">
              <w:rPr>
                <w:sz w:val="18"/>
                <w:szCs w:val="18"/>
                <w:lang w:val="en-US"/>
              </w:rPr>
              <w:t>dl-PCB</w:t>
            </w:r>
          </w:p>
        </w:tc>
        <w:tc>
          <w:tcPr>
            <w:tcW w:w="428" w:type="pct"/>
            <w:shd w:val="clear" w:color="auto" w:fill="auto"/>
            <w:noWrap/>
          </w:tcPr>
          <w:p w14:paraId="68C1CBC0" w14:textId="77777777" w:rsidR="00DE3C92" w:rsidRPr="00A4272B" w:rsidRDefault="00DE3C92" w:rsidP="00DE3C92">
            <w:pPr>
              <w:spacing w:after="0"/>
              <w:rPr>
                <w:sz w:val="18"/>
                <w:szCs w:val="18"/>
                <w:lang w:val="en-US"/>
              </w:rPr>
            </w:pPr>
            <w:r w:rsidRPr="00A4272B">
              <w:rPr>
                <w:sz w:val="18"/>
                <w:szCs w:val="18"/>
                <w:lang w:val="en-US"/>
              </w:rPr>
              <w:t>pg TEQ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6DB27883" w14:textId="77777777" w:rsidR="00DE3C92" w:rsidRPr="00A4272B" w:rsidRDefault="00DE3C92" w:rsidP="00DE3C92">
            <w:pPr>
              <w:spacing w:after="0"/>
              <w:jc w:val="center"/>
              <w:rPr>
                <w:sz w:val="18"/>
                <w:szCs w:val="18"/>
                <w:lang w:val="en-US"/>
              </w:rPr>
            </w:pPr>
            <w:r w:rsidRPr="00A4272B">
              <w:rPr>
                <w:sz w:val="18"/>
                <w:szCs w:val="18"/>
                <w:lang w:val="en-US"/>
              </w:rPr>
              <w:t>1</w:t>
            </w:r>
          </w:p>
        </w:tc>
        <w:tc>
          <w:tcPr>
            <w:tcW w:w="239" w:type="pct"/>
            <w:shd w:val="clear" w:color="auto" w:fill="FF0000"/>
            <w:noWrap/>
          </w:tcPr>
          <w:p w14:paraId="72C62BC7"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378A6A9A" w14:textId="77777777" w:rsidR="00DE3C92" w:rsidRPr="00A4272B" w:rsidRDefault="00DE3C92" w:rsidP="00DE3C92">
            <w:pPr>
              <w:spacing w:after="0"/>
              <w:jc w:val="center"/>
              <w:rPr>
                <w:sz w:val="18"/>
                <w:szCs w:val="18"/>
                <w:lang w:val="en-US"/>
              </w:rPr>
            </w:pPr>
          </w:p>
        </w:tc>
        <w:tc>
          <w:tcPr>
            <w:tcW w:w="491" w:type="pct"/>
            <w:shd w:val="clear" w:color="auto" w:fill="auto"/>
            <w:noWrap/>
          </w:tcPr>
          <w:p w14:paraId="542872C8"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2EC83E85" w14:textId="77777777" w:rsidR="00DE3C92" w:rsidRPr="00A4272B" w:rsidRDefault="00DE3C92" w:rsidP="00DE3C92">
            <w:pPr>
              <w:spacing w:after="0"/>
              <w:jc w:val="center"/>
              <w:rPr>
                <w:sz w:val="18"/>
                <w:szCs w:val="18"/>
                <w:lang w:val="en-US"/>
              </w:rPr>
            </w:pPr>
          </w:p>
        </w:tc>
        <w:tc>
          <w:tcPr>
            <w:tcW w:w="238" w:type="pct"/>
            <w:shd w:val="clear" w:color="auto" w:fill="auto"/>
            <w:noWrap/>
          </w:tcPr>
          <w:p w14:paraId="53134251"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24E3FAA3" w14:textId="77777777" w:rsidR="00DE3C92" w:rsidRPr="00A4272B" w:rsidRDefault="00DE3C92" w:rsidP="00DE3C92">
            <w:pPr>
              <w:spacing w:after="0"/>
              <w:jc w:val="center"/>
              <w:rPr>
                <w:sz w:val="18"/>
                <w:szCs w:val="18"/>
                <w:lang w:val="en-US"/>
              </w:rPr>
            </w:pPr>
          </w:p>
        </w:tc>
        <w:tc>
          <w:tcPr>
            <w:tcW w:w="191" w:type="pct"/>
            <w:shd w:val="clear" w:color="auto" w:fill="auto"/>
          </w:tcPr>
          <w:p w14:paraId="5913178E" w14:textId="77777777" w:rsidR="00DE3C92" w:rsidRPr="00A4272B" w:rsidRDefault="00DE3C92" w:rsidP="00DE3C92">
            <w:pPr>
              <w:spacing w:after="0"/>
              <w:rPr>
                <w:sz w:val="18"/>
                <w:szCs w:val="18"/>
                <w:lang w:val="en-US"/>
              </w:rPr>
            </w:pPr>
          </w:p>
        </w:tc>
        <w:tc>
          <w:tcPr>
            <w:tcW w:w="238" w:type="pct"/>
            <w:shd w:val="clear" w:color="auto" w:fill="auto"/>
          </w:tcPr>
          <w:p w14:paraId="4C7B8258" w14:textId="77777777" w:rsidR="00DE3C92" w:rsidRPr="00A4272B" w:rsidRDefault="00DE3C92" w:rsidP="00DE3C92">
            <w:pPr>
              <w:spacing w:after="0"/>
              <w:rPr>
                <w:sz w:val="18"/>
                <w:szCs w:val="18"/>
                <w:lang w:val="en-US"/>
              </w:rPr>
            </w:pPr>
          </w:p>
        </w:tc>
        <w:tc>
          <w:tcPr>
            <w:tcW w:w="238" w:type="pct"/>
            <w:shd w:val="clear" w:color="auto" w:fill="auto"/>
          </w:tcPr>
          <w:p w14:paraId="3944490E" w14:textId="77777777" w:rsidR="00DE3C92" w:rsidRPr="00A4272B" w:rsidRDefault="00DE3C92" w:rsidP="00DE3C92">
            <w:pPr>
              <w:spacing w:after="0"/>
              <w:rPr>
                <w:sz w:val="18"/>
                <w:szCs w:val="18"/>
                <w:lang w:val="en-US"/>
              </w:rPr>
            </w:pPr>
          </w:p>
        </w:tc>
        <w:tc>
          <w:tcPr>
            <w:tcW w:w="191" w:type="pct"/>
            <w:shd w:val="clear" w:color="auto" w:fill="auto"/>
          </w:tcPr>
          <w:p w14:paraId="0BB364D2" w14:textId="77777777" w:rsidR="00DE3C92" w:rsidRPr="00A4272B" w:rsidRDefault="00DE3C92" w:rsidP="00DE3C92">
            <w:pPr>
              <w:spacing w:after="0"/>
              <w:rPr>
                <w:sz w:val="18"/>
                <w:szCs w:val="18"/>
                <w:lang w:val="en-US"/>
              </w:rPr>
            </w:pPr>
          </w:p>
        </w:tc>
        <w:tc>
          <w:tcPr>
            <w:tcW w:w="238" w:type="pct"/>
            <w:shd w:val="clear" w:color="auto" w:fill="auto"/>
            <w:noWrap/>
          </w:tcPr>
          <w:p w14:paraId="7C2F91BF"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47F734D6" w14:textId="77777777" w:rsidR="00DE3C92" w:rsidRPr="00A4272B" w:rsidRDefault="00DE3C92" w:rsidP="00DE3C92">
            <w:pPr>
              <w:spacing w:after="0"/>
              <w:jc w:val="center"/>
              <w:rPr>
                <w:sz w:val="18"/>
                <w:szCs w:val="18"/>
                <w:lang w:val="en-US"/>
              </w:rPr>
            </w:pPr>
            <w:r w:rsidRPr="00A4272B">
              <w:rPr>
                <w:sz w:val="18"/>
                <w:szCs w:val="18"/>
                <w:lang w:val="en-US"/>
              </w:rPr>
              <w:t>0.1</w:t>
            </w:r>
          </w:p>
        </w:tc>
        <w:tc>
          <w:tcPr>
            <w:tcW w:w="239" w:type="pct"/>
            <w:shd w:val="clear" w:color="auto" w:fill="FF0000"/>
            <w:noWrap/>
            <w:vAlign w:val="bottom"/>
          </w:tcPr>
          <w:p w14:paraId="71B2D7AC" w14:textId="77777777" w:rsidR="00DE3C92" w:rsidRPr="00A4272B" w:rsidRDefault="00DE3C92" w:rsidP="00DE3C92">
            <w:pPr>
              <w:spacing w:after="0"/>
              <w:jc w:val="center"/>
              <w:rPr>
                <w:sz w:val="18"/>
                <w:szCs w:val="18"/>
                <w:lang w:val="en-US"/>
              </w:rPr>
            </w:pPr>
          </w:p>
        </w:tc>
        <w:tc>
          <w:tcPr>
            <w:tcW w:w="190" w:type="pct"/>
            <w:shd w:val="clear" w:color="auto" w:fill="FF0000"/>
            <w:noWrap/>
            <w:vAlign w:val="bottom"/>
          </w:tcPr>
          <w:p w14:paraId="7508CAD5"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6D5A3633" w14:textId="77777777" w:rsidR="00DE3C92" w:rsidRPr="00A4272B" w:rsidRDefault="00DE3C92" w:rsidP="00DE3C92">
            <w:pPr>
              <w:spacing w:after="0"/>
              <w:rPr>
                <w:sz w:val="18"/>
                <w:szCs w:val="18"/>
                <w:lang w:val="en-US"/>
              </w:rPr>
            </w:pPr>
            <w:r w:rsidRPr="00A4272B">
              <w:rPr>
                <w:sz w:val="18"/>
                <w:szCs w:val="18"/>
                <w:lang w:val="en-US"/>
              </w:rPr>
              <w:t> </w:t>
            </w:r>
          </w:p>
        </w:tc>
      </w:tr>
      <w:tr w:rsidR="00DE3C92" w:rsidRPr="00A4272B" w14:paraId="76E60EFC" w14:textId="77777777" w:rsidTr="00DE3C92">
        <w:trPr>
          <w:trHeight w:val="285"/>
        </w:trPr>
        <w:tc>
          <w:tcPr>
            <w:tcW w:w="617" w:type="pct"/>
            <w:shd w:val="clear" w:color="auto" w:fill="auto"/>
            <w:noWrap/>
          </w:tcPr>
          <w:p w14:paraId="425F49EC" w14:textId="77777777" w:rsidR="00DE3C92" w:rsidRPr="00A4272B" w:rsidRDefault="00DE3C92" w:rsidP="00DE3C92">
            <w:pPr>
              <w:spacing w:after="0"/>
              <w:rPr>
                <w:sz w:val="18"/>
                <w:szCs w:val="18"/>
                <w:lang w:val="en-US"/>
              </w:rPr>
            </w:pPr>
            <w:r w:rsidRPr="00A4272B">
              <w:rPr>
                <w:sz w:val="18"/>
                <w:szCs w:val="18"/>
                <w:lang w:val="en-US"/>
              </w:rPr>
              <w:t>TEQ (total)</w:t>
            </w:r>
          </w:p>
        </w:tc>
        <w:tc>
          <w:tcPr>
            <w:tcW w:w="428" w:type="pct"/>
            <w:shd w:val="clear" w:color="auto" w:fill="auto"/>
            <w:noWrap/>
          </w:tcPr>
          <w:p w14:paraId="5CA3B202" w14:textId="77777777" w:rsidR="00DE3C92" w:rsidRPr="00A4272B" w:rsidRDefault="00DE3C92" w:rsidP="00DE3C92">
            <w:pPr>
              <w:spacing w:after="0"/>
              <w:rPr>
                <w:sz w:val="18"/>
                <w:szCs w:val="18"/>
                <w:lang w:val="en-US"/>
              </w:rPr>
            </w:pPr>
            <w:r w:rsidRPr="00A4272B">
              <w:rPr>
                <w:sz w:val="18"/>
                <w:szCs w:val="18"/>
                <w:lang w:val="en-US"/>
              </w:rPr>
              <w:t>pg TEQ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0EF0D750" w14:textId="77777777" w:rsidR="00DE3C92" w:rsidRPr="00A4272B" w:rsidRDefault="00DE3C92" w:rsidP="00DE3C92">
            <w:pPr>
              <w:spacing w:after="0"/>
              <w:jc w:val="center"/>
              <w:rPr>
                <w:sz w:val="18"/>
                <w:szCs w:val="18"/>
                <w:lang w:val="en-US"/>
              </w:rPr>
            </w:pPr>
            <w:r w:rsidRPr="00A4272B">
              <w:rPr>
                <w:sz w:val="18"/>
                <w:szCs w:val="18"/>
                <w:lang w:val="en-US"/>
              </w:rPr>
              <w:t>1</w:t>
            </w:r>
          </w:p>
        </w:tc>
        <w:tc>
          <w:tcPr>
            <w:tcW w:w="239" w:type="pct"/>
            <w:shd w:val="clear" w:color="auto" w:fill="FF0000"/>
            <w:noWrap/>
          </w:tcPr>
          <w:p w14:paraId="4880D0B5"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10D395E2" w14:textId="77777777" w:rsidR="00DE3C92" w:rsidRPr="00A4272B" w:rsidRDefault="00DE3C92" w:rsidP="00DE3C92">
            <w:pPr>
              <w:spacing w:after="0"/>
              <w:jc w:val="center"/>
              <w:rPr>
                <w:sz w:val="18"/>
                <w:szCs w:val="18"/>
                <w:lang w:val="en-US"/>
              </w:rPr>
            </w:pPr>
          </w:p>
        </w:tc>
        <w:tc>
          <w:tcPr>
            <w:tcW w:w="491" w:type="pct"/>
            <w:shd w:val="clear" w:color="auto" w:fill="auto"/>
            <w:noWrap/>
          </w:tcPr>
          <w:p w14:paraId="2029C8AF"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7E04A348" w14:textId="77777777" w:rsidR="00DE3C92" w:rsidRPr="00A4272B" w:rsidRDefault="00DE3C92" w:rsidP="00DE3C92">
            <w:pPr>
              <w:spacing w:after="0"/>
              <w:jc w:val="center"/>
              <w:rPr>
                <w:sz w:val="18"/>
                <w:szCs w:val="18"/>
                <w:lang w:val="en-US"/>
              </w:rPr>
            </w:pPr>
          </w:p>
        </w:tc>
        <w:tc>
          <w:tcPr>
            <w:tcW w:w="238" w:type="pct"/>
            <w:shd w:val="clear" w:color="auto" w:fill="auto"/>
            <w:noWrap/>
          </w:tcPr>
          <w:p w14:paraId="12F90CD3"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776DC44E" w14:textId="77777777" w:rsidR="00DE3C92" w:rsidRPr="00A4272B" w:rsidRDefault="00DE3C92" w:rsidP="00DE3C92">
            <w:pPr>
              <w:spacing w:after="0"/>
              <w:jc w:val="center"/>
              <w:rPr>
                <w:sz w:val="18"/>
                <w:szCs w:val="18"/>
                <w:lang w:val="en-US"/>
              </w:rPr>
            </w:pPr>
          </w:p>
        </w:tc>
        <w:tc>
          <w:tcPr>
            <w:tcW w:w="191" w:type="pct"/>
            <w:shd w:val="clear" w:color="auto" w:fill="auto"/>
          </w:tcPr>
          <w:p w14:paraId="4910D361" w14:textId="77777777" w:rsidR="00DE3C92" w:rsidRPr="00A4272B" w:rsidRDefault="00DE3C92" w:rsidP="00DE3C92">
            <w:pPr>
              <w:spacing w:after="0"/>
              <w:rPr>
                <w:sz w:val="18"/>
                <w:szCs w:val="18"/>
                <w:lang w:val="en-US"/>
              </w:rPr>
            </w:pPr>
          </w:p>
        </w:tc>
        <w:tc>
          <w:tcPr>
            <w:tcW w:w="238" w:type="pct"/>
            <w:shd w:val="clear" w:color="auto" w:fill="auto"/>
          </w:tcPr>
          <w:p w14:paraId="258A1192" w14:textId="77777777" w:rsidR="00DE3C92" w:rsidRPr="00A4272B" w:rsidRDefault="00DE3C92" w:rsidP="00DE3C92">
            <w:pPr>
              <w:spacing w:after="0"/>
              <w:rPr>
                <w:sz w:val="18"/>
                <w:szCs w:val="18"/>
                <w:lang w:val="en-US"/>
              </w:rPr>
            </w:pPr>
          </w:p>
        </w:tc>
        <w:tc>
          <w:tcPr>
            <w:tcW w:w="238" w:type="pct"/>
            <w:shd w:val="clear" w:color="auto" w:fill="auto"/>
          </w:tcPr>
          <w:p w14:paraId="3CD0E601" w14:textId="77777777" w:rsidR="00DE3C92" w:rsidRPr="00A4272B" w:rsidRDefault="00DE3C92" w:rsidP="00DE3C92">
            <w:pPr>
              <w:spacing w:after="0"/>
              <w:rPr>
                <w:sz w:val="18"/>
                <w:szCs w:val="18"/>
                <w:lang w:val="en-US"/>
              </w:rPr>
            </w:pPr>
          </w:p>
        </w:tc>
        <w:tc>
          <w:tcPr>
            <w:tcW w:w="191" w:type="pct"/>
            <w:shd w:val="clear" w:color="auto" w:fill="auto"/>
          </w:tcPr>
          <w:p w14:paraId="351497A5" w14:textId="77777777" w:rsidR="00DE3C92" w:rsidRPr="00A4272B" w:rsidRDefault="00DE3C92" w:rsidP="00DE3C92">
            <w:pPr>
              <w:spacing w:after="0"/>
              <w:rPr>
                <w:sz w:val="18"/>
                <w:szCs w:val="18"/>
                <w:lang w:val="en-US"/>
              </w:rPr>
            </w:pPr>
          </w:p>
        </w:tc>
        <w:tc>
          <w:tcPr>
            <w:tcW w:w="238" w:type="pct"/>
            <w:shd w:val="clear" w:color="auto" w:fill="auto"/>
            <w:noWrap/>
          </w:tcPr>
          <w:p w14:paraId="720A6244"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1368B5EE" w14:textId="77777777" w:rsidR="00DE3C92" w:rsidRPr="00A4272B" w:rsidRDefault="00DE3C92" w:rsidP="00DE3C92">
            <w:pPr>
              <w:spacing w:after="0"/>
              <w:jc w:val="center"/>
              <w:rPr>
                <w:sz w:val="18"/>
                <w:szCs w:val="18"/>
                <w:lang w:val="en-US"/>
              </w:rPr>
            </w:pPr>
            <w:r w:rsidRPr="00A4272B">
              <w:rPr>
                <w:sz w:val="18"/>
                <w:szCs w:val="18"/>
                <w:lang w:val="en-US"/>
              </w:rPr>
              <w:t>0.1</w:t>
            </w:r>
          </w:p>
        </w:tc>
        <w:tc>
          <w:tcPr>
            <w:tcW w:w="239" w:type="pct"/>
            <w:shd w:val="clear" w:color="auto" w:fill="FF0000"/>
            <w:noWrap/>
            <w:vAlign w:val="bottom"/>
          </w:tcPr>
          <w:p w14:paraId="33181C3E" w14:textId="77777777" w:rsidR="00DE3C92" w:rsidRPr="00A4272B" w:rsidRDefault="00DE3C92" w:rsidP="00DE3C92">
            <w:pPr>
              <w:spacing w:after="0"/>
              <w:jc w:val="center"/>
              <w:rPr>
                <w:sz w:val="18"/>
                <w:szCs w:val="18"/>
                <w:lang w:val="en-US"/>
              </w:rPr>
            </w:pPr>
          </w:p>
        </w:tc>
        <w:tc>
          <w:tcPr>
            <w:tcW w:w="190" w:type="pct"/>
            <w:shd w:val="clear" w:color="auto" w:fill="FF0000"/>
            <w:noWrap/>
            <w:vAlign w:val="bottom"/>
          </w:tcPr>
          <w:p w14:paraId="3F003384"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05C52340" w14:textId="77777777" w:rsidR="00DE3C92" w:rsidRPr="00A4272B" w:rsidRDefault="00DE3C92" w:rsidP="00DE3C92">
            <w:pPr>
              <w:spacing w:after="0"/>
              <w:rPr>
                <w:sz w:val="18"/>
                <w:szCs w:val="18"/>
                <w:lang w:val="en-US"/>
              </w:rPr>
            </w:pPr>
            <w:r w:rsidRPr="00A4272B">
              <w:rPr>
                <w:sz w:val="18"/>
                <w:szCs w:val="18"/>
                <w:lang w:val="en-US"/>
              </w:rPr>
              <w:t> </w:t>
            </w:r>
          </w:p>
        </w:tc>
      </w:tr>
      <w:tr w:rsidR="00DE3C92" w:rsidRPr="00A4272B" w14:paraId="6BDB4ADB" w14:textId="77777777" w:rsidTr="00DE3C92">
        <w:trPr>
          <w:trHeight w:val="285"/>
        </w:trPr>
        <w:tc>
          <w:tcPr>
            <w:tcW w:w="617" w:type="pct"/>
            <w:shd w:val="clear" w:color="auto" w:fill="auto"/>
            <w:noWrap/>
          </w:tcPr>
          <w:p w14:paraId="72D9D759" w14:textId="77777777" w:rsidR="00DE3C92" w:rsidRPr="00A4272B" w:rsidRDefault="00DE3C92" w:rsidP="00DE3C92">
            <w:pPr>
              <w:spacing w:after="0"/>
              <w:rPr>
                <w:sz w:val="18"/>
                <w:szCs w:val="18"/>
                <w:lang w:val="en-US"/>
              </w:rPr>
            </w:pPr>
            <w:r w:rsidRPr="00A4272B">
              <w:rPr>
                <w:sz w:val="18"/>
                <w:szCs w:val="18"/>
                <w:lang w:val="en-US"/>
              </w:rPr>
              <w:t>OC Pesticides (&lt;6 Cl)</w:t>
            </w:r>
          </w:p>
        </w:tc>
        <w:tc>
          <w:tcPr>
            <w:tcW w:w="428" w:type="pct"/>
            <w:shd w:val="clear" w:color="auto" w:fill="auto"/>
            <w:noWrap/>
          </w:tcPr>
          <w:p w14:paraId="2A2770A3" w14:textId="77777777" w:rsidR="00DE3C92" w:rsidRPr="00A4272B" w:rsidRDefault="00DE3C92" w:rsidP="00DE3C92">
            <w:pPr>
              <w:spacing w:after="0"/>
              <w:rPr>
                <w:sz w:val="18"/>
                <w:szCs w:val="18"/>
                <w:lang w:val="en-US"/>
              </w:rPr>
            </w:pPr>
            <w:r w:rsidRPr="00A4272B">
              <w:rPr>
                <w:sz w:val="18"/>
                <w:szCs w:val="18"/>
                <w:lang w:val="en-US"/>
              </w:rPr>
              <w:t>ng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4618E811" w14:textId="77777777" w:rsidR="00DE3C92" w:rsidRPr="00A4272B" w:rsidRDefault="00DE3C92" w:rsidP="00DE3C92">
            <w:pPr>
              <w:spacing w:after="0"/>
              <w:jc w:val="center"/>
              <w:rPr>
                <w:sz w:val="18"/>
                <w:szCs w:val="18"/>
                <w:lang w:val="en-US"/>
              </w:rPr>
            </w:pPr>
          </w:p>
        </w:tc>
        <w:tc>
          <w:tcPr>
            <w:tcW w:w="239" w:type="pct"/>
            <w:shd w:val="clear" w:color="auto" w:fill="auto"/>
            <w:noWrap/>
          </w:tcPr>
          <w:p w14:paraId="448BBF9F" w14:textId="77777777" w:rsidR="00DE3C92" w:rsidRPr="00A4272B" w:rsidRDefault="00DE3C92" w:rsidP="00DE3C92">
            <w:pPr>
              <w:spacing w:after="0"/>
              <w:jc w:val="center"/>
              <w:rPr>
                <w:sz w:val="18"/>
                <w:szCs w:val="18"/>
                <w:lang w:val="en-US"/>
              </w:rPr>
            </w:pPr>
          </w:p>
        </w:tc>
        <w:tc>
          <w:tcPr>
            <w:tcW w:w="175" w:type="pct"/>
            <w:shd w:val="clear" w:color="auto" w:fill="auto"/>
            <w:noWrap/>
          </w:tcPr>
          <w:p w14:paraId="404322BC" w14:textId="77777777" w:rsidR="00DE3C92" w:rsidRPr="00A4272B" w:rsidRDefault="00DE3C92" w:rsidP="00DE3C92">
            <w:pPr>
              <w:spacing w:after="0"/>
              <w:jc w:val="center"/>
              <w:rPr>
                <w:sz w:val="18"/>
                <w:szCs w:val="18"/>
                <w:lang w:val="en-US"/>
              </w:rPr>
            </w:pPr>
          </w:p>
        </w:tc>
        <w:tc>
          <w:tcPr>
            <w:tcW w:w="491" w:type="pct"/>
            <w:shd w:val="clear" w:color="auto" w:fill="auto"/>
            <w:noWrap/>
          </w:tcPr>
          <w:p w14:paraId="6A985651"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71346153" w14:textId="77777777" w:rsidR="00DE3C92" w:rsidRPr="00A4272B" w:rsidRDefault="00DE3C92" w:rsidP="00DE3C92">
            <w:pPr>
              <w:spacing w:after="0"/>
              <w:jc w:val="center"/>
              <w:rPr>
                <w:sz w:val="18"/>
                <w:szCs w:val="18"/>
                <w:lang w:val="en-US"/>
              </w:rPr>
            </w:pPr>
          </w:p>
        </w:tc>
        <w:tc>
          <w:tcPr>
            <w:tcW w:w="238" w:type="pct"/>
            <w:shd w:val="clear" w:color="auto" w:fill="auto"/>
            <w:noWrap/>
          </w:tcPr>
          <w:p w14:paraId="0186AFAE" w14:textId="77777777" w:rsidR="00DE3C92" w:rsidRPr="00A4272B" w:rsidRDefault="00DE3C92" w:rsidP="00DE3C92">
            <w:pPr>
              <w:spacing w:after="0"/>
              <w:jc w:val="center"/>
              <w:rPr>
                <w:sz w:val="18"/>
                <w:szCs w:val="18"/>
                <w:lang w:val="en-US"/>
              </w:rPr>
            </w:pPr>
            <w:r w:rsidRPr="00A4272B">
              <w:rPr>
                <w:sz w:val="18"/>
                <w:szCs w:val="18"/>
                <w:lang w:val="en-US"/>
              </w:rPr>
              <w:t>1-5</w:t>
            </w:r>
          </w:p>
        </w:tc>
        <w:tc>
          <w:tcPr>
            <w:tcW w:w="190" w:type="pct"/>
            <w:shd w:val="clear" w:color="auto" w:fill="auto"/>
            <w:noWrap/>
          </w:tcPr>
          <w:p w14:paraId="270E69DF" w14:textId="77777777" w:rsidR="00DE3C92" w:rsidRPr="00A4272B" w:rsidRDefault="00DE3C92" w:rsidP="00DE3C92">
            <w:pPr>
              <w:spacing w:after="0"/>
              <w:jc w:val="center"/>
              <w:rPr>
                <w:sz w:val="18"/>
                <w:szCs w:val="18"/>
                <w:lang w:val="en-US"/>
              </w:rPr>
            </w:pPr>
          </w:p>
        </w:tc>
        <w:tc>
          <w:tcPr>
            <w:tcW w:w="191" w:type="pct"/>
            <w:shd w:val="clear" w:color="auto" w:fill="auto"/>
          </w:tcPr>
          <w:p w14:paraId="6F006AAC" w14:textId="77777777" w:rsidR="00DE3C92" w:rsidRPr="00A4272B" w:rsidRDefault="00DE3C92" w:rsidP="00DE3C92">
            <w:pPr>
              <w:spacing w:after="0"/>
              <w:rPr>
                <w:sz w:val="18"/>
                <w:szCs w:val="18"/>
                <w:lang w:val="en-US"/>
              </w:rPr>
            </w:pPr>
          </w:p>
        </w:tc>
        <w:tc>
          <w:tcPr>
            <w:tcW w:w="238" w:type="pct"/>
            <w:shd w:val="clear" w:color="auto" w:fill="auto"/>
          </w:tcPr>
          <w:p w14:paraId="7E094BF1" w14:textId="77777777" w:rsidR="00DE3C92" w:rsidRPr="00A4272B" w:rsidRDefault="00DE3C92" w:rsidP="00DE3C92">
            <w:pPr>
              <w:spacing w:after="0"/>
              <w:rPr>
                <w:sz w:val="18"/>
                <w:szCs w:val="18"/>
                <w:lang w:val="en-US"/>
              </w:rPr>
            </w:pPr>
          </w:p>
        </w:tc>
        <w:tc>
          <w:tcPr>
            <w:tcW w:w="238" w:type="pct"/>
            <w:shd w:val="clear" w:color="auto" w:fill="auto"/>
          </w:tcPr>
          <w:p w14:paraId="45B36419" w14:textId="77777777" w:rsidR="00DE3C92" w:rsidRPr="00A4272B" w:rsidRDefault="00DE3C92" w:rsidP="00DE3C92">
            <w:pPr>
              <w:spacing w:after="0"/>
              <w:rPr>
                <w:sz w:val="18"/>
                <w:szCs w:val="18"/>
                <w:lang w:val="en-US"/>
              </w:rPr>
            </w:pPr>
          </w:p>
        </w:tc>
        <w:tc>
          <w:tcPr>
            <w:tcW w:w="191" w:type="pct"/>
            <w:shd w:val="clear" w:color="auto" w:fill="auto"/>
          </w:tcPr>
          <w:p w14:paraId="0E13DD31" w14:textId="77777777" w:rsidR="00DE3C92" w:rsidRPr="00A4272B" w:rsidRDefault="00DE3C92" w:rsidP="00DE3C92">
            <w:pPr>
              <w:spacing w:after="0"/>
              <w:rPr>
                <w:sz w:val="18"/>
                <w:szCs w:val="18"/>
                <w:lang w:val="en-US"/>
              </w:rPr>
            </w:pPr>
          </w:p>
        </w:tc>
        <w:tc>
          <w:tcPr>
            <w:tcW w:w="238" w:type="pct"/>
            <w:shd w:val="clear" w:color="auto" w:fill="auto"/>
            <w:noWrap/>
          </w:tcPr>
          <w:p w14:paraId="2B194691"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03B4F123"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239" w:type="pct"/>
            <w:shd w:val="clear" w:color="auto" w:fill="auto"/>
            <w:noWrap/>
          </w:tcPr>
          <w:p w14:paraId="4F9371A1"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190" w:type="pct"/>
            <w:shd w:val="clear" w:color="auto" w:fill="auto"/>
            <w:noWrap/>
          </w:tcPr>
          <w:p w14:paraId="667B03E1"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381" w:type="pct"/>
            <w:shd w:val="clear" w:color="auto" w:fill="auto"/>
            <w:noWrap/>
            <w:vAlign w:val="bottom"/>
          </w:tcPr>
          <w:p w14:paraId="1850B924" w14:textId="77777777" w:rsidR="00DE3C92" w:rsidRPr="00A4272B" w:rsidRDefault="00DE3C92" w:rsidP="00DE3C92">
            <w:pPr>
              <w:spacing w:after="0"/>
              <w:rPr>
                <w:sz w:val="18"/>
                <w:szCs w:val="18"/>
                <w:lang w:val="en-US"/>
              </w:rPr>
            </w:pPr>
            <w:r w:rsidRPr="00A4272B">
              <w:rPr>
                <w:sz w:val="18"/>
                <w:szCs w:val="18"/>
                <w:lang w:val="en-US"/>
              </w:rPr>
              <w:t>EI-MS</w:t>
            </w:r>
          </w:p>
        </w:tc>
      </w:tr>
      <w:tr w:rsidR="00DE3C92" w:rsidRPr="00A4272B" w14:paraId="2BE20EE3" w14:textId="77777777" w:rsidTr="00DE3C92">
        <w:trPr>
          <w:trHeight w:val="285"/>
        </w:trPr>
        <w:tc>
          <w:tcPr>
            <w:tcW w:w="617" w:type="pct"/>
            <w:shd w:val="clear" w:color="auto" w:fill="auto"/>
            <w:noWrap/>
          </w:tcPr>
          <w:p w14:paraId="56D396EA" w14:textId="77777777" w:rsidR="00DE3C92" w:rsidRPr="00A4272B" w:rsidRDefault="00DE3C92" w:rsidP="00DE3C92">
            <w:pPr>
              <w:spacing w:after="0"/>
              <w:rPr>
                <w:sz w:val="18"/>
                <w:szCs w:val="18"/>
                <w:lang w:val="en-US"/>
              </w:rPr>
            </w:pPr>
            <w:r w:rsidRPr="00A4272B">
              <w:rPr>
                <w:sz w:val="18"/>
                <w:szCs w:val="18"/>
                <w:lang w:val="en-US"/>
              </w:rPr>
              <w:t>OC Pesticides (&gt;=6 Cl)</w:t>
            </w:r>
          </w:p>
        </w:tc>
        <w:tc>
          <w:tcPr>
            <w:tcW w:w="428" w:type="pct"/>
            <w:shd w:val="clear" w:color="auto" w:fill="auto"/>
            <w:noWrap/>
          </w:tcPr>
          <w:p w14:paraId="0E516375" w14:textId="77777777" w:rsidR="00DE3C92" w:rsidRPr="00A4272B" w:rsidRDefault="00DE3C92" w:rsidP="00DE3C92">
            <w:pPr>
              <w:spacing w:after="0"/>
              <w:rPr>
                <w:sz w:val="18"/>
                <w:szCs w:val="18"/>
                <w:lang w:val="en-US"/>
              </w:rPr>
            </w:pPr>
            <w:r w:rsidRPr="00A4272B">
              <w:rPr>
                <w:sz w:val="18"/>
                <w:szCs w:val="18"/>
                <w:lang w:val="en-US"/>
              </w:rPr>
              <w:t>ng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636127D0" w14:textId="77777777" w:rsidR="00DE3C92" w:rsidRPr="00A4272B" w:rsidRDefault="00DE3C92" w:rsidP="00DE3C92">
            <w:pPr>
              <w:spacing w:after="0"/>
              <w:jc w:val="center"/>
              <w:rPr>
                <w:sz w:val="18"/>
                <w:szCs w:val="18"/>
                <w:lang w:val="en-US"/>
              </w:rPr>
            </w:pPr>
          </w:p>
        </w:tc>
        <w:tc>
          <w:tcPr>
            <w:tcW w:w="239" w:type="pct"/>
            <w:shd w:val="clear" w:color="auto" w:fill="auto"/>
            <w:noWrap/>
          </w:tcPr>
          <w:p w14:paraId="21414C21" w14:textId="77777777" w:rsidR="00DE3C92" w:rsidRPr="00A4272B" w:rsidRDefault="00DE3C92" w:rsidP="00DE3C92">
            <w:pPr>
              <w:spacing w:after="0"/>
              <w:jc w:val="center"/>
              <w:rPr>
                <w:sz w:val="18"/>
                <w:szCs w:val="18"/>
                <w:lang w:val="en-US"/>
              </w:rPr>
            </w:pPr>
          </w:p>
        </w:tc>
        <w:tc>
          <w:tcPr>
            <w:tcW w:w="175" w:type="pct"/>
            <w:shd w:val="clear" w:color="auto" w:fill="auto"/>
            <w:noWrap/>
          </w:tcPr>
          <w:p w14:paraId="6112413D" w14:textId="77777777" w:rsidR="00DE3C92" w:rsidRPr="00A4272B" w:rsidRDefault="00DE3C92" w:rsidP="00DE3C92">
            <w:pPr>
              <w:spacing w:after="0"/>
              <w:jc w:val="center"/>
              <w:rPr>
                <w:sz w:val="18"/>
                <w:szCs w:val="18"/>
                <w:lang w:val="en-US"/>
              </w:rPr>
            </w:pPr>
          </w:p>
        </w:tc>
        <w:tc>
          <w:tcPr>
            <w:tcW w:w="491" w:type="pct"/>
            <w:shd w:val="clear" w:color="auto" w:fill="auto"/>
            <w:noWrap/>
          </w:tcPr>
          <w:p w14:paraId="145DA44B"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677490A2" w14:textId="77777777" w:rsidR="00DE3C92" w:rsidRPr="00A4272B" w:rsidRDefault="00DE3C92" w:rsidP="00DE3C92">
            <w:pPr>
              <w:spacing w:after="0"/>
              <w:jc w:val="center"/>
              <w:rPr>
                <w:sz w:val="18"/>
                <w:szCs w:val="18"/>
                <w:lang w:val="en-US"/>
              </w:rPr>
            </w:pPr>
          </w:p>
        </w:tc>
        <w:tc>
          <w:tcPr>
            <w:tcW w:w="238" w:type="pct"/>
            <w:shd w:val="clear" w:color="auto" w:fill="auto"/>
            <w:noWrap/>
          </w:tcPr>
          <w:p w14:paraId="7DDD8A50" w14:textId="77777777" w:rsidR="00DE3C92" w:rsidRPr="00A4272B" w:rsidRDefault="00DE3C92" w:rsidP="00DE3C92">
            <w:pPr>
              <w:spacing w:after="0"/>
              <w:jc w:val="center"/>
              <w:rPr>
                <w:sz w:val="18"/>
                <w:szCs w:val="18"/>
                <w:lang w:val="en-US"/>
              </w:rPr>
            </w:pPr>
          </w:p>
        </w:tc>
        <w:tc>
          <w:tcPr>
            <w:tcW w:w="190" w:type="pct"/>
            <w:shd w:val="clear" w:color="auto" w:fill="auto"/>
            <w:noWrap/>
          </w:tcPr>
          <w:p w14:paraId="37101BBE" w14:textId="77777777" w:rsidR="00DE3C92" w:rsidRPr="00A4272B" w:rsidRDefault="00DE3C92" w:rsidP="00DE3C92">
            <w:pPr>
              <w:spacing w:after="0"/>
              <w:jc w:val="center"/>
              <w:rPr>
                <w:sz w:val="18"/>
                <w:szCs w:val="18"/>
                <w:lang w:val="en-US"/>
              </w:rPr>
            </w:pPr>
          </w:p>
        </w:tc>
        <w:tc>
          <w:tcPr>
            <w:tcW w:w="191" w:type="pct"/>
            <w:shd w:val="clear" w:color="auto" w:fill="auto"/>
          </w:tcPr>
          <w:p w14:paraId="00052B75" w14:textId="77777777" w:rsidR="00DE3C92" w:rsidRPr="00A4272B" w:rsidRDefault="00DE3C92" w:rsidP="00DE3C92">
            <w:pPr>
              <w:spacing w:after="0"/>
              <w:rPr>
                <w:sz w:val="18"/>
                <w:szCs w:val="18"/>
                <w:lang w:val="en-US"/>
              </w:rPr>
            </w:pPr>
          </w:p>
        </w:tc>
        <w:tc>
          <w:tcPr>
            <w:tcW w:w="238" w:type="pct"/>
            <w:shd w:val="clear" w:color="auto" w:fill="auto"/>
          </w:tcPr>
          <w:p w14:paraId="6160DC67" w14:textId="77777777" w:rsidR="00DE3C92" w:rsidRPr="00A4272B" w:rsidRDefault="00DE3C92" w:rsidP="00DE3C92">
            <w:pPr>
              <w:spacing w:after="0"/>
              <w:rPr>
                <w:sz w:val="18"/>
                <w:szCs w:val="18"/>
                <w:lang w:val="en-US"/>
              </w:rPr>
            </w:pPr>
          </w:p>
        </w:tc>
        <w:tc>
          <w:tcPr>
            <w:tcW w:w="238" w:type="pct"/>
            <w:shd w:val="clear" w:color="auto" w:fill="auto"/>
          </w:tcPr>
          <w:p w14:paraId="5BF43E66" w14:textId="77777777" w:rsidR="00DE3C92" w:rsidRPr="00A4272B" w:rsidRDefault="00DE3C92" w:rsidP="00DE3C92">
            <w:pPr>
              <w:spacing w:after="0"/>
              <w:rPr>
                <w:sz w:val="18"/>
                <w:szCs w:val="18"/>
                <w:lang w:val="en-US"/>
              </w:rPr>
            </w:pPr>
          </w:p>
        </w:tc>
        <w:tc>
          <w:tcPr>
            <w:tcW w:w="191" w:type="pct"/>
            <w:shd w:val="clear" w:color="auto" w:fill="auto"/>
          </w:tcPr>
          <w:p w14:paraId="440AB4BC" w14:textId="77777777" w:rsidR="00DE3C92" w:rsidRPr="00A4272B" w:rsidRDefault="00DE3C92" w:rsidP="00DE3C92">
            <w:pPr>
              <w:spacing w:after="0"/>
              <w:rPr>
                <w:sz w:val="18"/>
                <w:szCs w:val="18"/>
                <w:lang w:val="en-US"/>
              </w:rPr>
            </w:pPr>
          </w:p>
        </w:tc>
        <w:tc>
          <w:tcPr>
            <w:tcW w:w="238" w:type="pct"/>
            <w:shd w:val="clear" w:color="auto" w:fill="auto"/>
            <w:noWrap/>
          </w:tcPr>
          <w:p w14:paraId="69C4566D"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2C349467" w14:textId="77777777" w:rsidR="00DE3C92" w:rsidRPr="00A4272B" w:rsidRDefault="00DE3C92" w:rsidP="00DE3C92">
            <w:pPr>
              <w:spacing w:after="0"/>
              <w:jc w:val="center"/>
              <w:rPr>
                <w:sz w:val="18"/>
                <w:szCs w:val="18"/>
                <w:lang w:val="en-US"/>
              </w:rPr>
            </w:pPr>
          </w:p>
        </w:tc>
        <w:tc>
          <w:tcPr>
            <w:tcW w:w="239" w:type="pct"/>
            <w:shd w:val="clear" w:color="auto" w:fill="auto"/>
            <w:noWrap/>
          </w:tcPr>
          <w:p w14:paraId="782DF01B" w14:textId="77777777" w:rsidR="00DE3C92" w:rsidRPr="00A4272B" w:rsidRDefault="00DE3C92" w:rsidP="00DE3C92">
            <w:pPr>
              <w:spacing w:after="0"/>
              <w:jc w:val="center"/>
              <w:rPr>
                <w:sz w:val="18"/>
                <w:szCs w:val="18"/>
                <w:lang w:val="en-US"/>
              </w:rPr>
            </w:pPr>
            <w:r w:rsidRPr="00A4272B">
              <w:rPr>
                <w:sz w:val="18"/>
                <w:szCs w:val="18"/>
                <w:lang w:val="en-US"/>
              </w:rPr>
              <w:t>0.1</w:t>
            </w:r>
          </w:p>
        </w:tc>
        <w:tc>
          <w:tcPr>
            <w:tcW w:w="190" w:type="pct"/>
            <w:shd w:val="clear" w:color="auto" w:fill="auto"/>
            <w:noWrap/>
          </w:tcPr>
          <w:p w14:paraId="156140F6" w14:textId="77777777" w:rsidR="00DE3C92" w:rsidRPr="00A4272B" w:rsidRDefault="00DE3C92" w:rsidP="00DE3C92">
            <w:pPr>
              <w:spacing w:after="0"/>
              <w:jc w:val="center"/>
              <w:rPr>
                <w:sz w:val="18"/>
                <w:szCs w:val="18"/>
                <w:lang w:val="en-US"/>
              </w:rPr>
            </w:pPr>
            <w:r w:rsidRPr="00A4272B">
              <w:rPr>
                <w:sz w:val="18"/>
                <w:szCs w:val="18"/>
                <w:lang w:val="en-US"/>
              </w:rPr>
              <w:t>0.1</w:t>
            </w:r>
          </w:p>
        </w:tc>
        <w:tc>
          <w:tcPr>
            <w:tcW w:w="381" w:type="pct"/>
            <w:shd w:val="clear" w:color="auto" w:fill="auto"/>
            <w:noWrap/>
            <w:vAlign w:val="bottom"/>
          </w:tcPr>
          <w:p w14:paraId="4F05C84D" w14:textId="77777777" w:rsidR="00DE3C92" w:rsidRPr="00A4272B" w:rsidRDefault="00DE3C92" w:rsidP="00DE3C92">
            <w:pPr>
              <w:spacing w:after="0"/>
              <w:rPr>
                <w:sz w:val="18"/>
                <w:szCs w:val="18"/>
                <w:lang w:val="en-US"/>
              </w:rPr>
            </w:pPr>
            <w:r w:rsidRPr="00A4272B">
              <w:rPr>
                <w:sz w:val="18"/>
                <w:szCs w:val="18"/>
                <w:lang w:val="en-US"/>
              </w:rPr>
              <w:t xml:space="preserve">ECNI-MS </w:t>
            </w:r>
            <w:r w:rsidRPr="00A4272B">
              <w:rPr>
                <w:sz w:val="18"/>
                <w:szCs w:val="18"/>
                <w:vertAlign w:val="superscript"/>
                <w:lang w:val="en-US"/>
              </w:rPr>
              <w:t>1</w:t>
            </w:r>
          </w:p>
        </w:tc>
      </w:tr>
      <w:tr w:rsidR="00DE3C92" w:rsidRPr="00A4272B" w14:paraId="1D3098E6" w14:textId="77777777" w:rsidTr="00DE3C92">
        <w:trPr>
          <w:trHeight w:val="285"/>
        </w:trPr>
        <w:tc>
          <w:tcPr>
            <w:tcW w:w="617" w:type="pct"/>
            <w:shd w:val="clear" w:color="auto" w:fill="auto"/>
            <w:noWrap/>
          </w:tcPr>
          <w:p w14:paraId="1A61D6EF" w14:textId="77777777" w:rsidR="00DE3C92" w:rsidRPr="00A4272B" w:rsidRDefault="00DE3C92" w:rsidP="00DE3C92">
            <w:pPr>
              <w:spacing w:after="0"/>
              <w:rPr>
                <w:sz w:val="18"/>
                <w:szCs w:val="18"/>
                <w:lang w:val="en-US"/>
              </w:rPr>
            </w:pPr>
            <w:r w:rsidRPr="00A4272B">
              <w:rPr>
                <w:sz w:val="18"/>
                <w:szCs w:val="18"/>
                <w:lang w:val="en-US"/>
              </w:rPr>
              <w:t>indicator PCB</w:t>
            </w:r>
          </w:p>
        </w:tc>
        <w:tc>
          <w:tcPr>
            <w:tcW w:w="428" w:type="pct"/>
            <w:shd w:val="clear" w:color="auto" w:fill="auto"/>
            <w:noWrap/>
          </w:tcPr>
          <w:p w14:paraId="367F58B4" w14:textId="77777777" w:rsidR="00DE3C92" w:rsidRPr="00A4272B" w:rsidRDefault="00DE3C92" w:rsidP="00DE3C92">
            <w:pPr>
              <w:spacing w:after="0"/>
              <w:rPr>
                <w:sz w:val="18"/>
                <w:szCs w:val="18"/>
                <w:lang w:val="en-US"/>
              </w:rPr>
            </w:pPr>
            <w:r w:rsidRPr="00A4272B">
              <w:rPr>
                <w:sz w:val="18"/>
                <w:szCs w:val="18"/>
                <w:lang w:val="en-US"/>
              </w:rPr>
              <w:t>ng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4E7ACEFA" w14:textId="77777777" w:rsidR="00DE3C92" w:rsidRPr="00A4272B" w:rsidRDefault="00DE3C92" w:rsidP="00DE3C92">
            <w:pPr>
              <w:spacing w:after="0"/>
              <w:jc w:val="center"/>
              <w:rPr>
                <w:sz w:val="18"/>
                <w:szCs w:val="18"/>
                <w:lang w:val="en-US"/>
              </w:rPr>
            </w:pPr>
          </w:p>
        </w:tc>
        <w:tc>
          <w:tcPr>
            <w:tcW w:w="239" w:type="pct"/>
            <w:shd w:val="clear" w:color="auto" w:fill="auto"/>
            <w:noWrap/>
          </w:tcPr>
          <w:p w14:paraId="586321A3" w14:textId="77777777" w:rsidR="00DE3C92" w:rsidRPr="00A4272B" w:rsidRDefault="00DE3C92" w:rsidP="00DE3C92">
            <w:pPr>
              <w:spacing w:after="0"/>
              <w:jc w:val="center"/>
              <w:rPr>
                <w:sz w:val="18"/>
                <w:szCs w:val="18"/>
                <w:lang w:val="en-US"/>
              </w:rPr>
            </w:pPr>
          </w:p>
        </w:tc>
        <w:tc>
          <w:tcPr>
            <w:tcW w:w="175" w:type="pct"/>
            <w:shd w:val="clear" w:color="auto" w:fill="auto"/>
            <w:noWrap/>
          </w:tcPr>
          <w:p w14:paraId="6E0E5BBB" w14:textId="77777777" w:rsidR="00DE3C92" w:rsidRPr="00A4272B" w:rsidRDefault="00DE3C92" w:rsidP="00DE3C92">
            <w:pPr>
              <w:spacing w:after="0"/>
              <w:jc w:val="center"/>
              <w:rPr>
                <w:sz w:val="18"/>
                <w:szCs w:val="18"/>
                <w:lang w:val="en-US"/>
              </w:rPr>
            </w:pPr>
          </w:p>
        </w:tc>
        <w:tc>
          <w:tcPr>
            <w:tcW w:w="491" w:type="pct"/>
            <w:shd w:val="clear" w:color="auto" w:fill="auto"/>
            <w:noWrap/>
          </w:tcPr>
          <w:p w14:paraId="37E1F5E4"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72A30776" w14:textId="77777777" w:rsidR="00DE3C92" w:rsidRPr="00A4272B" w:rsidRDefault="00DE3C92" w:rsidP="00DE3C92">
            <w:pPr>
              <w:spacing w:after="0"/>
              <w:jc w:val="center"/>
              <w:rPr>
                <w:sz w:val="18"/>
                <w:szCs w:val="18"/>
                <w:lang w:val="en-US"/>
              </w:rPr>
            </w:pPr>
          </w:p>
        </w:tc>
        <w:tc>
          <w:tcPr>
            <w:tcW w:w="238" w:type="pct"/>
            <w:shd w:val="clear" w:color="auto" w:fill="auto"/>
            <w:noWrap/>
          </w:tcPr>
          <w:p w14:paraId="73623FB0" w14:textId="77777777" w:rsidR="00DE3C92" w:rsidRPr="00A4272B" w:rsidRDefault="00DE3C92" w:rsidP="00DE3C92">
            <w:pPr>
              <w:spacing w:after="0"/>
              <w:jc w:val="center"/>
              <w:rPr>
                <w:sz w:val="18"/>
                <w:szCs w:val="18"/>
                <w:lang w:val="en-US"/>
              </w:rPr>
            </w:pPr>
            <w:r w:rsidRPr="00A4272B">
              <w:rPr>
                <w:sz w:val="18"/>
                <w:szCs w:val="18"/>
                <w:lang w:val="en-US"/>
              </w:rPr>
              <w:t>1-5</w:t>
            </w:r>
          </w:p>
        </w:tc>
        <w:tc>
          <w:tcPr>
            <w:tcW w:w="190" w:type="pct"/>
            <w:shd w:val="clear" w:color="auto" w:fill="auto"/>
            <w:noWrap/>
          </w:tcPr>
          <w:p w14:paraId="1B322CAA" w14:textId="77777777" w:rsidR="00DE3C92" w:rsidRPr="00A4272B" w:rsidRDefault="00DE3C92" w:rsidP="00DE3C92">
            <w:pPr>
              <w:spacing w:after="0"/>
              <w:jc w:val="center"/>
              <w:rPr>
                <w:sz w:val="18"/>
                <w:szCs w:val="18"/>
                <w:lang w:val="en-US"/>
              </w:rPr>
            </w:pPr>
          </w:p>
        </w:tc>
        <w:tc>
          <w:tcPr>
            <w:tcW w:w="191" w:type="pct"/>
            <w:shd w:val="clear" w:color="auto" w:fill="auto"/>
          </w:tcPr>
          <w:p w14:paraId="6EE8349F" w14:textId="77777777" w:rsidR="00DE3C92" w:rsidRPr="00A4272B" w:rsidRDefault="00DE3C92" w:rsidP="00DE3C92">
            <w:pPr>
              <w:spacing w:after="0"/>
              <w:rPr>
                <w:sz w:val="18"/>
                <w:szCs w:val="18"/>
                <w:lang w:val="en-US"/>
              </w:rPr>
            </w:pPr>
          </w:p>
        </w:tc>
        <w:tc>
          <w:tcPr>
            <w:tcW w:w="238" w:type="pct"/>
            <w:shd w:val="clear" w:color="auto" w:fill="auto"/>
          </w:tcPr>
          <w:p w14:paraId="5D37A0CF" w14:textId="77777777" w:rsidR="00DE3C92" w:rsidRPr="00A4272B" w:rsidRDefault="00DE3C92" w:rsidP="00DE3C92">
            <w:pPr>
              <w:spacing w:after="0"/>
              <w:rPr>
                <w:sz w:val="18"/>
                <w:szCs w:val="18"/>
                <w:lang w:val="en-US"/>
              </w:rPr>
            </w:pPr>
          </w:p>
        </w:tc>
        <w:tc>
          <w:tcPr>
            <w:tcW w:w="238" w:type="pct"/>
            <w:shd w:val="clear" w:color="auto" w:fill="auto"/>
          </w:tcPr>
          <w:p w14:paraId="3A211884" w14:textId="77777777" w:rsidR="00DE3C92" w:rsidRPr="00A4272B" w:rsidRDefault="00DE3C92" w:rsidP="00DE3C92">
            <w:pPr>
              <w:spacing w:after="0"/>
              <w:rPr>
                <w:sz w:val="18"/>
                <w:szCs w:val="18"/>
                <w:lang w:val="en-US"/>
              </w:rPr>
            </w:pPr>
          </w:p>
        </w:tc>
        <w:tc>
          <w:tcPr>
            <w:tcW w:w="191" w:type="pct"/>
            <w:shd w:val="clear" w:color="auto" w:fill="auto"/>
          </w:tcPr>
          <w:p w14:paraId="22B64856" w14:textId="77777777" w:rsidR="00DE3C92" w:rsidRPr="00A4272B" w:rsidRDefault="00DE3C92" w:rsidP="00DE3C92">
            <w:pPr>
              <w:spacing w:after="0"/>
              <w:rPr>
                <w:sz w:val="18"/>
                <w:szCs w:val="18"/>
                <w:lang w:val="en-US"/>
              </w:rPr>
            </w:pPr>
          </w:p>
        </w:tc>
        <w:tc>
          <w:tcPr>
            <w:tcW w:w="238" w:type="pct"/>
            <w:shd w:val="clear" w:color="auto" w:fill="auto"/>
            <w:noWrap/>
          </w:tcPr>
          <w:p w14:paraId="4601D08D"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4EAA8BBC"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239" w:type="pct"/>
            <w:shd w:val="clear" w:color="auto" w:fill="auto"/>
            <w:noWrap/>
          </w:tcPr>
          <w:p w14:paraId="7FBF9551"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190" w:type="pct"/>
            <w:shd w:val="clear" w:color="auto" w:fill="auto"/>
            <w:noWrap/>
          </w:tcPr>
          <w:p w14:paraId="73D04573"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381" w:type="pct"/>
            <w:shd w:val="clear" w:color="auto" w:fill="auto"/>
            <w:noWrap/>
            <w:vAlign w:val="bottom"/>
          </w:tcPr>
          <w:p w14:paraId="180544E4" w14:textId="77777777" w:rsidR="00DE3C92" w:rsidRPr="00A4272B" w:rsidRDefault="00DE3C92" w:rsidP="00DE3C92">
            <w:pPr>
              <w:spacing w:after="0"/>
              <w:rPr>
                <w:sz w:val="18"/>
                <w:szCs w:val="18"/>
                <w:lang w:val="en-US"/>
              </w:rPr>
            </w:pPr>
            <w:r w:rsidRPr="00A4272B">
              <w:rPr>
                <w:sz w:val="18"/>
                <w:szCs w:val="18"/>
                <w:lang w:val="en-US"/>
              </w:rPr>
              <w:t>EI-MS</w:t>
            </w:r>
          </w:p>
        </w:tc>
      </w:tr>
      <w:tr w:rsidR="00DE3C92" w:rsidRPr="00A4272B" w14:paraId="007D865B" w14:textId="77777777" w:rsidTr="00DE3C92">
        <w:trPr>
          <w:trHeight w:val="285"/>
        </w:trPr>
        <w:tc>
          <w:tcPr>
            <w:tcW w:w="617" w:type="pct"/>
            <w:shd w:val="clear" w:color="auto" w:fill="auto"/>
            <w:noWrap/>
          </w:tcPr>
          <w:p w14:paraId="6C6680A0" w14:textId="77777777" w:rsidR="00DE3C92" w:rsidRPr="00A4272B" w:rsidRDefault="00DE3C92" w:rsidP="00DE3C92">
            <w:pPr>
              <w:spacing w:after="0"/>
              <w:rPr>
                <w:sz w:val="18"/>
                <w:szCs w:val="18"/>
                <w:lang w:val="en-US"/>
              </w:rPr>
            </w:pPr>
            <w:r w:rsidRPr="00A4272B">
              <w:rPr>
                <w:sz w:val="18"/>
                <w:szCs w:val="18"/>
                <w:lang w:val="en-US"/>
              </w:rPr>
              <w:t>PBDE/PBB/DP</w:t>
            </w:r>
          </w:p>
        </w:tc>
        <w:tc>
          <w:tcPr>
            <w:tcW w:w="428" w:type="pct"/>
            <w:shd w:val="clear" w:color="auto" w:fill="auto"/>
            <w:noWrap/>
          </w:tcPr>
          <w:p w14:paraId="3361687F" w14:textId="77777777" w:rsidR="00DE3C92" w:rsidRPr="00A4272B" w:rsidRDefault="00DE3C92" w:rsidP="00DE3C92">
            <w:pPr>
              <w:spacing w:after="0"/>
              <w:rPr>
                <w:sz w:val="18"/>
                <w:szCs w:val="18"/>
                <w:lang w:val="en-US"/>
              </w:rPr>
            </w:pPr>
            <w:r w:rsidRPr="00A4272B">
              <w:rPr>
                <w:sz w:val="18"/>
                <w:szCs w:val="18"/>
                <w:lang w:val="en-US"/>
              </w:rPr>
              <w:t>ng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3AF2990B" w14:textId="77777777" w:rsidR="00DE3C92" w:rsidRPr="00A4272B" w:rsidRDefault="00DE3C92" w:rsidP="00DE3C92">
            <w:pPr>
              <w:spacing w:after="0"/>
              <w:jc w:val="center"/>
              <w:rPr>
                <w:sz w:val="18"/>
                <w:szCs w:val="18"/>
                <w:lang w:val="en-US"/>
              </w:rPr>
            </w:pPr>
          </w:p>
        </w:tc>
        <w:tc>
          <w:tcPr>
            <w:tcW w:w="239" w:type="pct"/>
            <w:shd w:val="clear" w:color="auto" w:fill="auto"/>
            <w:noWrap/>
          </w:tcPr>
          <w:p w14:paraId="07E60AB9"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1F3618E0" w14:textId="77777777" w:rsidR="00DE3C92" w:rsidRPr="00A4272B" w:rsidRDefault="00DE3C92" w:rsidP="00DE3C92">
            <w:pPr>
              <w:spacing w:after="0"/>
              <w:jc w:val="center"/>
              <w:rPr>
                <w:sz w:val="18"/>
                <w:szCs w:val="18"/>
                <w:lang w:val="en-US"/>
              </w:rPr>
            </w:pPr>
          </w:p>
        </w:tc>
        <w:tc>
          <w:tcPr>
            <w:tcW w:w="491" w:type="pct"/>
            <w:shd w:val="clear" w:color="auto" w:fill="auto"/>
            <w:noWrap/>
          </w:tcPr>
          <w:p w14:paraId="79650FA8"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35168868" w14:textId="77777777" w:rsidR="00DE3C92" w:rsidRPr="00A4272B" w:rsidRDefault="00DE3C92" w:rsidP="00DE3C92">
            <w:pPr>
              <w:spacing w:after="0"/>
              <w:jc w:val="center"/>
              <w:rPr>
                <w:sz w:val="18"/>
                <w:szCs w:val="18"/>
                <w:lang w:val="en-US"/>
              </w:rPr>
            </w:pPr>
          </w:p>
        </w:tc>
        <w:tc>
          <w:tcPr>
            <w:tcW w:w="238" w:type="pct"/>
            <w:shd w:val="clear" w:color="auto" w:fill="auto"/>
            <w:noWrap/>
          </w:tcPr>
          <w:p w14:paraId="3C7BD8AB" w14:textId="77777777" w:rsidR="00DE3C92" w:rsidRPr="00A4272B" w:rsidRDefault="00DE3C92" w:rsidP="00DE3C92">
            <w:pPr>
              <w:spacing w:after="0"/>
              <w:jc w:val="center"/>
              <w:rPr>
                <w:sz w:val="18"/>
                <w:szCs w:val="18"/>
                <w:lang w:val="en-US"/>
              </w:rPr>
            </w:pPr>
            <w:r w:rsidRPr="00A4272B">
              <w:rPr>
                <w:sz w:val="18"/>
                <w:szCs w:val="18"/>
                <w:lang w:val="en-US"/>
              </w:rPr>
              <w:t>1-5</w:t>
            </w:r>
          </w:p>
        </w:tc>
        <w:tc>
          <w:tcPr>
            <w:tcW w:w="190" w:type="pct"/>
            <w:shd w:val="clear" w:color="auto" w:fill="FF0000"/>
            <w:noWrap/>
          </w:tcPr>
          <w:p w14:paraId="7633FE9F" w14:textId="77777777" w:rsidR="00DE3C92" w:rsidRPr="00A4272B" w:rsidRDefault="00DE3C92" w:rsidP="00DE3C92">
            <w:pPr>
              <w:spacing w:after="0"/>
              <w:jc w:val="center"/>
              <w:rPr>
                <w:sz w:val="18"/>
                <w:szCs w:val="18"/>
                <w:lang w:val="en-US"/>
              </w:rPr>
            </w:pPr>
          </w:p>
        </w:tc>
        <w:tc>
          <w:tcPr>
            <w:tcW w:w="191" w:type="pct"/>
            <w:shd w:val="clear" w:color="auto" w:fill="auto"/>
          </w:tcPr>
          <w:p w14:paraId="43BC062F" w14:textId="77777777" w:rsidR="00DE3C92" w:rsidRPr="00A4272B" w:rsidRDefault="00DE3C92" w:rsidP="00DE3C92">
            <w:pPr>
              <w:spacing w:after="0"/>
              <w:rPr>
                <w:sz w:val="18"/>
                <w:szCs w:val="18"/>
                <w:lang w:val="en-US"/>
              </w:rPr>
            </w:pPr>
          </w:p>
        </w:tc>
        <w:tc>
          <w:tcPr>
            <w:tcW w:w="238" w:type="pct"/>
            <w:shd w:val="clear" w:color="auto" w:fill="auto"/>
          </w:tcPr>
          <w:p w14:paraId="1F460C9F" w14:textId="77777777" w:rsidR="00DE3C92" w:rsidRPr="00A4272B" w:rsidRDefault="00DE3C92" w:rsidP="00DE3C92">
            <w:pPr>
              <w:spacing w:after="0"/>
              <w:rPr>
                <w:sz w:val="18"/>
                <w:szCs w:val="18"/>
                <w:lang w:val="en-US"/>
              </w:rPr>
            </w:pPr>
          </w:p>
        </w:tc>
        <w:tc>
          <w:tcPr>
            <w:tcW w:w="238" w:type="pct"/>
            <w:shd w:val="clear" w:color="auto" w:fill="auto"/>
          </w:tcPr>
          <w:p w14:paraId="5D5EF78B" w14:textId="77777777" w:rsidR="00DE3C92" w:rsidRPr="00A4272B" w:rsidRDefault="00DE3C92" w:rsidP="00DE3C92">
            <w:pPr>
              <w:spacing w:after="0"/>
              <w:rPr>
                <w:sz w:val="18"/>
                <w:szCs w:val="18"/>
                <w:lang w:val="en-US"/>
              </w:rPr>
            </w:pPr>
          </w:p>
        </w:tc>
        <w:tc>
          <w:tcPr>
            <w:tcW w:w="191" w:type="pct"/>
            <w:shd w:val="clear" w:color="auto" w:fill="auto"/>
          </w:tcPr>
          <w:p w14:paraId="1F4B69C9" w14:textId="77777777" w:rsidR="00DE3C92" w:rsidRPr="00A4272B" w:rsidRDefault="00DE3C92" w:rsidP="00DE3C92">
            <w:pPr>
              <w:spacing w:after="0"/>
              <w:rPr>
                <w:sz w:val="18"/>
                <w:szCs w:val="18"/>
                <w:lang w:val="en-US"/>
              </w:rPr>
            </w:pPr>
          </w:p>
        </w:tc>
        <w:tc>
          <w:tcPr>
            <w:tcW w:w="238" w:type="pct"/>
            <w:shd w:val="clear" w:color="auto" w:fill="auto"/>
            <w:noWrap/>
          </w:tcPr>
          <w:p w14:paraId="2B261924"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6F9F3ABD"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239" w:type="pct"/>
            <w:shd w:val="clear" w:color="auto" w:fill="auto"/>
            <w:noWrap/>
          </w:tcPr>
          <w:p w14:paraId="4A9D5B7F" w14:textId="77777777" w:rsidR="00DE3C92" w:rsidRPr="00A4272B" w:rsidRDefault="00DE3C92" w:rsidP="00DE3C92">
            <w:pPr>
              <w:spacing w:after="0"/>
              <w:jc w:val="center"/>
              <w:rPr>
                <w:sz w:val="18"/>
                <w:szCs w:val="18"/>
                <w:lang w:val="en-US"/>
              </w:rPr>
            </w:pPr>
            <w:r w:rsidRPr="00A4272B">
              <w:rPr>
                <w:sz w:val="18"/>
                <w:szCs w:val="18"/>
                <w:lang w:val="en-US"/>
              </w:rPr>
              <w:t>0.1</w:t>
            </w:r>
          </w:p>
        </w:tc>
        <w:tc>
          <w:tcPr>
            <w:tcW w:w="190" w:type="pct"/>
            <w:shd w:val="clear" w:color="auto" w:fill="FF0000"/>
            <w:noWrap/>
            <w:vAlign w:val="bottom"/>
          </w:tcPr>
          <w:p w14:paraId="11CBF447"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5866F2CD" w14:textId="77777777" w:rsidR="00DE3C92" w:rsidRPr="00A4272B" w:rsidRDefault="00DE3C92" w:rsidP="00DE3C92">
            <w:pPr>
              <w:spacing w:after="0"/>
              <w:rPr>
                <w:sz w:val="18"/>
                <w:szCs w:val="18"/>
                <w:lang w:val="en-US"/>
              </w:rPr>
            </w:pPr>
            <w:r w:rsidRPr="00A4272B">
              <w:rPr>
                <w:sz w:val="18"/>
                <w:szCs w:val="18"/>
                <w:lang w:val="en-US"/>
              </w:rPr>
              <w:t>ECNI-MS</w:t>
            </w:r>
          </w:p>
        </w:tc>
      </w:tr>
      <w:tr w:rsidR="00DE3C92" w:rsidRPr="00A4272B" w14:paraId="2ED27259" w14:textId="77777777" w:rsidTr="00DE3C92">
        <w:trPr>
          <w:trHeight w:val="285"/>
        </w:trPr>
        <w:tc>
          <w:tcPr>
            <w:tcW w:w="617" w:type="pct"/>
            <w:shd w:val="clear" w:color="auto" w:fill="auto"/>
            <w:noWrap/>
          </w:tcPr>
          <w:p w14:paraId="6A980967" w14:textId="77777777" w:rsidR="00DE3C92" w:rsidRPr="00A4272B" w:rsidRDefault="00DE3C92" w:rsidP="00DE3C92">
            <w:pPr>
              <w:spacing w:after="0"/>
              <w:rPr>
                <w:sz w:val="18"/>
                <w:szCs w:val="18"/>
                <w:lang w:val="en-US"/>
              </w:rPr>
            </w:pPr>
            <w:r w:rsidRPr="00A4272B">
              <w:rPr>
                <w:sz w:val="18"/>
                <w:szCs w:val="18"/>
                <w:lang w:val="en-US"/>
              </w:rPr>
              <w:t>HBCD (screen)</w:t>
            </w:r>
          </w:p>
        </w:tc>
        <w:tc>
          <w:tcPr>
            <w:tcW w:w="428" w:type="pct"/>
            <w:shd w:val="clear" w:color="auto" w:fill="auto"/>
            <w:noWrap/>
          </w:tcPr>
          <w:p w14:paraId="65ADA509" w14:textId="77777777" w:rsidR="00DE3C92" w:rsidRPr="00A4272B" w:rsidRDefault="00DE3C92" w:rsidP="00DE3C92">
            <w:pPr>
              <w:spacing w:after="0"/>
              <w:rPr>
                <w:sz w:val="18"/>
                <w:szCs w:val="18"/>
                <w:lang w:val="en-US"/>
              </w:rPr>
            </w:pPr>
            <w:r w:rsidRPr="00A4272B">
              <w:rPr>
                <w:sz w:val="18"/>
                <w:szCs w:val="18"/>
                <w:lang w:val="en-US"/>
              </w:rPr>
              <w:t>ng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51A12FCC" w14:textId="77777777" w:rsidR="00DE3C92" w:rsidRPr="00A4272B" w:rsidRDefault="00DE3C92" w:rsidP="00DE3C92">
            <w:pPr>
              <w:spacing w:after="0"/>
              <w:jc w:val="center"/>
              <w:rPr>
                <w:sz w:val="18"/>
                <w:szCs w:val="18"/>
                <w:lang w:val="en-US"/>
              </w:rPr>
            </w:pPr>
          </w:p>
        </w:tc>
        <w:tc>
          <w:tcPr>
            <w:tcW w:w="239" w:type="pct"/>
            <w:shd w:val="clear" w:color="auto" w:fill="auto"/>
            <w:noWrap/>
          </w:tcPr>
          <w:p w14:paraId="2FB383AC"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14CF19CE" w14:textId="77777777" w:rsidR="00DE3C92" w:rsidRPr="00A4272B" w:rsidRDefault="00DE3C92" w:rsidP="00DE3C92">
            <w:pPr>
              <w:spacing w:after="0"/>
              <w:jc w:val="center"/>
              <w:rPr>
                <w:sz w:val="18"/>
                <w:szCs w:val="18"/>
                <w:lang w:val="en-US"/>
              </w:rPr>
            </w:pPr>
          </w:p>
        </w:tc>
        <w:tc>
          <w:tcPr>
            <w:tcW w:w="491" w:type="pct"/>
            <w:shd w:val="clear" w:color="auto" w:fill="auto"/>
            <w:noWrap/>
          </w:tcPr>
          <w:p w14:paraId="681DAFC7"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55ED4B1F" w14:textId="77777777" w:rsidR="00DE3C92" w:rsidRPr="00A4272B" w:rsidRDefault="00DE3C92" w:rsidP="00DE3C92">
            <w:pPr>
              <w:spacing w:after="0"/>
              <w:jc w:val="center"/>
              <w:rPr>
                <w:sz w:val="18"/>
                <w:szCs w:val="18"/>
                <w:lang w:val="en-US"/>
              </w:rPr>
            </w:pPr>
          </w:p>
        </w:tc>
        <w:tc>
          <w:tcPr>
            <w:tcW w:w="238" w:type="pct"/>
            <w:shd w:val="clear" w:color="auto" w:fill="auto"/>
            <w:noWrap/>
          </w:tcPr>
          <w:p w14:paraId="0B67B856"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25176714" w14:textId="77777777" w:rsidR="00DE3C92" w:rsidRPr="00A4272B" w:rsidRDefault="00DE3C92" w:rsidP="00DE3C92">
            <w:pPr>
              <w:spacing w:after="0"/>
              <w:jc w:val="center"/>
              <w:rPr>
                <w:sz w:val="18"/>
                <w:szCs w:val="18"/>
                <w:lang w:val="en-US"/>
              </w:rPr>
            </w:pPr>
          </w:p>
        </w:tc>
        <w:tc>
          <w:tcPr>
            <w:tcW w:w="191" w:type="pct"/>
            <w:shd w:val="clear" w:color="auto" w:fill="auto"/>
          </w:tcPr>
          <w:p w14:paraId="0DDA27B6" w14:textId="77777777" w:rsidR="00DE3C92" w:rsidRPr="00A4272B" w:rsidRDefault="00DE3C92" w:rsidP="00DE3C92">
            <w:pPr>
              <w:spacing w:after="0"/>
              <w:rPr>
                <w:sz w:val="18"/>
                <w:szCs w:val="18"/>
                <w:lang w:val="en-US"/>
              </w:rPr>
            </w:pPr>
          </w:p>
        </w:tc>
        <w:tc>
          <w:tcPr>
            <w:tcW w:w="238" w:type="pct"/>
            <w:shd w:val="clear" w:color="auto" w:fill="auto"/>
          </w:tcPr>
          <w:p w14:paraId="05322280" w14:textId="77777777" w:rsidR="00DE3C92" w:rsidRPr="00A4272B" w:rsidRDefault="00DE3C92" w:rsidP="00DE3C92">
            <w:pPr>
              <w:spacing w:after="0"/>
              <w:rPr>
                <w:sz w:val="18"/>
                <w:szCs w:val="18"/>
                <w:lang w:val="en-US"/>
              </w:rPr>
            </w:pPr>
          </w:p>
        </w:tc>
        <w:tc>
          <w:tcPr>
            <w:tcW w:w="238" w:type="pct"/>
            <w:shd w:val="clear" w:color="auto" w:fill="auto"/>
          </w:tcPr>
          <w:p w14:paraId="6F623082" w14:textId="77777777" w:rsidR="00DE3C92" w:rsidRPr="00A4272B" w:rsidRDefault="00DE3C92" w:rsidP="00DE3C92">
            <w:pPr>
              <w:spacing w:after="0"/>
              <w:rPr>
                <w:sz w:val="18"/>
                <w:szCs w:val="18"/>
                <w:lang w:val="en-US"/>
              </w:rPr>
            </w:pPr>
          </w:p>
        </w:tc>
        <w:tc>
          <w:tcPr>
            <w:tcW w:w="191" w:type="pct"/>
            <w:shd w:val="clear" w:color="auto" w:fill="auto"/>
          </w:tcPr>
          <w:p w14:paraId="24EBEB48" w14:textId="77777777" w:rsidR="00DE3C92" w:rsidRPr="00A4272B" w:rsidRDefault="00DE3C92" w:rsidP="00DE3C92">
            <w:pPr>
              <w:spacing w:after="0"/>
              <w:rPr>
                <w:sz w:val="18"/>
                <w:szCs w:val="18"/>
                <w:lang w:val="en-US"/>
              </w:rPr>
            </w:pPr>
          </w:p>
        </w:tc>
        <w:tc>
          <w:tcPr>
            <w:tcW w:w="238" w:type="pct"/>
            <w:shd w:val="clear" w:color="auto" w:fill="auto"/>
            <w:noWrap/>
          </w:tcPr>
          <w:p w14:paraId="09ADECF8"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auto"/>
            <w:noWrap/>
          </w:tcPr>
          <w:p w14:paraId="7068A854"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239" w:type="pct"/>
            <w:shd w:val="clear" w:color="auto" w:fill="auto"/>
            <w:noWrap/>
          </w:tcPr>
          <w:p w14:paraId="7A0E8E3B" w14:textId="77777777" w:rsidR="00DE3C92" w:rsidRPr="00A4272B" w:rsidRDefault="00DE3C92" w:rsidP="00DE3C92">
            <w:pPr>
              <w:spacing w:after="0"/>
              <w:jc w:val="center"/>
              <w:rPr>
                <w:sz w:val="18"/>
                <w:szCs w:val="18"/>
                <w:lang w:val="en-US"/>
              </w:rPr>
            </w:pPr>
            <w:r w:rsidRPr="00A4272B">
              <w:rPr>
                <w:sz w:val="18"/>
                <w:szCs w:val="18"/>
                <w:lang w:val="en-US"/>
              </w:rPr>
              <w:t>0.1</w:t>
            </w:r>
          </w:p>
        </w:tc>
        <w:tc>
          <w:tcPr>
            <w:tcW w:w="190" w:type="pct"/>
            <w:shd w:val="clear" w:color="auto" w:fill="FF0000"/>
            <w:noWrap/>
            <w:vAlign w:val="bottom"/>
          </w:tcPr>
          <w:p w14:paraId="1B73670B"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3544E358" w14:textId="77777777" w:rsidR="00DE3C92" w:rsidRPr="00A4272B" w:rsidRDefault="00DE3C92" w:rsidP="00DE3C92">
            <w:pPr>
              <w:spacing w:after="0"/>
              <w:rPr>
                <w:sz w:val="18"/>
                <w:szCs w:val="18"/>
                <w:lang w:val="en-US"/>
              </w:rPr>
            </w:pPr>
            <w:r w:rsidRPr="00A4272B">
              <w:rPr>
                <w:sz w:val="18"/>
                <w:szCs w:val="18"/>
                <w:lang w:val="en-US"/>
              </w:rPr>
              <w:t>ECNI-MS</w:t>
            </w:r>
          </w:p>
        </w:tc>
      </w:tr>
      <w:tr w:rsidR="00DE3C92" w:rsidRPr="00A4272B" w14:paraId="58CBEB94" w14:textId="77777777" w:rsidTr="00DE3C92">
        <w:trPr>
          <w:trHeight w:val="285"/>
        </w:trPr>
        <w:tc>
          <w:tcPr>
            <w:tcW w:w="617" w:type="pct"/>
            <w:shd w:val="clear" w:color="auto" w:fill="auto"/>
            <w:noWrap/>
          </w:tcPr>
          <w:p w14:paraId="5A798FD4" w14:textId="77777777" w:rsidR="00DE3C92" w:rsidRPr="00A4272B" w:rsidRDefault="00DE3C92" w:rsidP="00DE3C92">
            <w:pPr>
              <w:spacing w:after="0"/>
              <w:rPr>
                <w:sz w:val="18"/>
                <w:szCs w:val="18"/>
                <w:lang w:val="en-US"/>
              </w:rPr>
            </w:pPr>
            <w:r w:rsidRPr="00A4272B">
              <w:rPr>
                <w:sz w:val="18"/>
                <w:szCs w:val="18"/>
                <w:lang w:val="en-US"/>
              </w:rPr>
              <w:t>HBCD (LC)</w:t>
            </w:r>
          </w:p>
        </w:tc>
        <w:tc>
          <w:tcPr>
            <w:tcW w:w="428" w:type="pct"/>
            <w:shd w:val="clear" w:color="auto" w:fill="auto"/>
            <w:noWrap/>
          </w:tcPr>
          <w:p w14:paraId="048FAD82" w14:textId="77777777" w:rsidR="00DE3C92" w:rsidRPr="00A4272B" w:rsidRDefault="00DE3C92" w:rsidP="00DE3C92">
            <w:pPr>
              <w:spacing w:after="0"/>
              <w:rPr>
                <w:sz w:val="18"/>
                <w:szCs w:val="18"/>
                <w:lang w:val="en-US"/>
              </w:rPr>
            </w:pPr>
            <w:r w:rsidRPr="00A4272B">
              <w:rPr>
                <w:sz w:val="18"/>
                <w:szCs w:val="18"/>
                <w:lang w:val="en-US"/>
              </w:rPr>
              <w:t>ng g</w:t>
            </w:r>
            <w:r w:rsidRPr="00A4272B">
              <w:rPr>
                <w:sz w:val="18"/>
                <w:szCs w:val="18"/>
                <w:vertAlign w:val="superscript"/>
                <w:lang w:val="en-US"/>
              </w:rPr>
              <w:t>-1</w:t>
            </w:r>
            <w:r w:rsidRPr="00A4272B">
              <w:rPr>
                <w:sz w:val="18"/>
                <w:szCs w:val="18"/>
                <w:lang w:val="en-US"/>
              </w:rPr>
              <w:t xml:space="preserve"> fat</w:t>
            </w:r>
          </w:p>
        </w:tc>
        <w:tc>
          <w:tcPr>
            <w:tcW w:w="239" w:type="pct"/>
            <w:shd w:val="clear" w:color="auto" w:fill="auto"/>
            <w:noWrap/>
          </w:tcPr>
          <w:p w14:paraId="17000083" w14:textId="77777777" w:rsidR="00DE3C92" w:rsidRPr="00A4272B" w:rsidRDefault="00DE3C92" w:rsidP="00DE3C92">
            <w:pPr>
              <w:spacing w:after="0"/>
              <w:jc w:val="center"/>
              <w:rPr>
                <w:sz w:val="18"/>
                <w:szCs w:val="18"/>
                <w:lang w:val="en-US"/>
              </w:rPr>
            </w:pPr>
          </w:p>
        </w:tc>
        <w:tc>
          <w:tcPr>
            <w:tcW w:w="239" w:type="pct"/>
            <w:shd w:val="clear" w:color="auto" w:fill="auto"/>
            <w:noWrap/>
          </w:tcPr>
          <w:p w14:paraId="7620627A"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536EC7B3" w14:textId="77777777" w:rsidR="00DE3C92" w:rsidRPr="00A4272B" w:rsidRDefault="00DE3C92" w:rsidP="00DE3C92">
            <w:pPr>
              <w:spacing w:after="0"/>
              <w:jc w:val="center"/>
              <w:rPr>
                <w:sz w:val="18"/>
                <w:szCs w:val="18"/>
                <w:lang w:val="en-US"/>
              </w:rPr>
            </w:pPr>
          </w:p>
        </w:tc>
        <w:tc>
          <w:tcPr>
            <w:tcW w:w="491" w:type="pct"/>
            <w:shd w:val="clear" w:color="auto" w:fill="auto"/>
            <w:noWrap/>
          </w:tcPr>
          <w:p w14:paraId="5BEFEEB9"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auto"/>
            <w:noWrap/>
          </w:tcPr>
          <w:p w14:paraId="1EA6211A" w14:textId="77777777" w:rsidR="00DE3C92" w:rsidRPr="00A4272B" w:rsidRDefault="00DE3C92" w:rsidP="00DE3C92">
            <w:pPr>
              <w:spacing w:after="0"/>
              <w:jc w:val="center"/>
              <w:rPr>
                <w:sz w:val="18"/>
                <w:szCs w:val="18"/>
                <w:lang w:val="en-US"/>
              </w:rPr>
            </w:pPr>
          </w:p>
        </w:tc>
        <w:tc>
          <w:tcPr>
            <w:tcW w:w="238" w:type="pct"/>
            <w:shd w:val="clear" w:color="auto" w:fill="auto"/>
            <w:noWrap/>
          </w:tcPr>
          <w:p w14:paraId="66509984"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3D1E4A33" w14:textId="77777777" w:rsidR="00DE3C92" w:rsidRPr="00A4272B" w:rsidRDefault="00DE3C92" w:rsidP="00DE3C92">
            <w:pPr>
              <w:spacing w:after="0"/>
              <w:jc w:val="center"/>
              <w:rPr>
                <w:sz w:val="18"/>
                <w:szCs w:val="18"/>
                <w:lang w:val="en-US"/>
              </w:rPr>
            </w:pPr>
          </w:p>
        </w:tc>
        <w:tc>
          <w:tcPr>
            <w:tcW w:w="191" w:type="pct"/>
            <w:shd w:val="clear" w:color="auto" w:fill="auto"/>
          </w:tcPr>
          <w:p w14:paraId="4E1159EC" w14:textId="77777777" w:rsidR="00DE3C92" w:rsidRPr="00A4272B" w:rsidRDefault="00DE3C92" w:rsidP="00DE3C92">
            <w:pPr>
              <w:spacing w:after="0"/>
              <w:rPr>
                <w:sz w:val="18"/>
                <w:szCs w:val="18"/>
                <w:lang w:val="en-US"/>
              </w:rPr>
            </w:pPr>
          </w:p>
        </w:tc>
        <w:tc>
          <w:tcPr>
            <w:tcW w:w="238" w:type="pct"/>
            <w:shd w:val="clear" w:color="auto" w:fill="auto"/>
          </w:tcPr>
          <w:p w14:paraId="0AB392F2" w14:textId="77777777" w:rsidR="00DE3C92" w:rsidRPr="00A4272B" w:rsidRDefault="00DE3C92" w:rsidP="00DE3C92">
            <w:pPr>
              <w:spacing w:after="0"/>
              <w:rPr>
                <w:sz w:val="18"/>
                <w:szCs w:val="18"/>
                <w:lang w:val="en-US"/>
              </w:rPr>
            </w:pPr>
          </w:p>
        </w:tc>
        <w:tc>
          <w:tcPr>
            <w:tcW w:w="238" w:type="pct"/>
            <w:shd w:val="clear" w:color="auto" w:fill="auto"/>
          </w:tcPr>
          <w:p w14:paraId="26190A15" w14:textId="77777777" w:rsidR="00DE3C92" w:rsidRPr="00A4272B" w:rsidRDefault="00DE3C92" w:rsidP="00DE3C92">
            <w:pPr>
              <w:spacing w:after="0"/>
              <w:rPr>
                <w:sz w:val="18"/>
                <w:szCs w:val="18"/>
                <w:lang w:val="en-US"/>
              </w:rPr>
            </w:pPr>
          </w:p>
        </w:tc>
        <w:tc>
          <w:tcPr>
            <w:tcW w:w="191" w:type="pct"/>
            <w:shd w:val="clear" w:color="auto" w:fill="auto"/>
          </w:tcPr>
          <w:p w14:paraId="29A49C00" w14:textId="77777777" w:rsidR="00DE3C92" w:rsidRPr="00A4272B" w:rsidRDefault="00DE3C92" w:rsidP="00DE3C92">
            <w:pPr>
              <w:spacing w:after="0"/>
              <w:rPr>
                <w:sz w:val="18"/>
                <w:szCs w:val="18"/>
                <w:lang w:val="en-US"/>
              </w:rPr>
            </w:pPr>
          </w:p>
        </w:tc>
        <w:tc>
          <w:tcPr>
            <w:tcW w:w="238" w:type="pct"/>
            <w:shd w:val="clear" w:color="auto" w:fill="auto"/>
            <w:noWrap/>
          </w:tcPr>
          <w:p w14:paraId="2B0173B5"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FF0000"/>
            <w:noWrap/>
          </w:tcPr>
          <w:p w14:paraId="71C0BA12" w14:textId="77777777" w:rsidR="00DE3C92" w:rsidRPr="00A4272B" w:rsidRDefault="00DE3C92" w:rsidP="00DE3C92">
            <w:pPr>
              <w:spacing w:after="0"/>
              <w:jc w:val="center"/>
              <w:rPr>
                <w:sz w:val="18"/>
                <w:szCs w:val="18"/>
                <w:lang w:val="en-US"/>
              </w:rPr>
            </w:pPr>
          </w:p>
        </w:tc>
        <w:tc>
          <w:tcPr>
            <w:tcW w:w="239" w:type="pct"/>
            <w:shd w:val="clear" w:color="auto" w:fill="auto"/>
            <w:noWrap/>
          </w:tcPr>
          <w:p w14:paraId="09AF4425" w14:textId="77777777" w:rsidR="00DE3C92" w:rsidRPr="00A4272B" w:rsidRDefault="00DE3C92" w:rsidP="00DE3C92">
            <w:pPr>
              <w:spacing w:after="0"/>
              <w:jc w:val="center"/>
              <w:rPr>
                <w:sz w:val="18"/>
                <w:szCs w:val="18"/>
                <w:lang w:val="en-US"/>
              </w:rPr>
            </w:pPr>
            <w:r w:rsidRPr="00A4272B">
              <w:rPr>
                <w:sz w:val="18"/>
                <w:szCs w:val="18"/>
                <w:lang w:val="en-US"/>
              </w:rPr>
              <w:t>0.5</w:t>
            </w:r>
          </w:p>
        </w:tc>
        <w:tc>
          <w:tcPr>
            <w:tcW w:w="190" w:type="pct"/>
            <w:shd w:val="clear" w:color="auto" w:fill="FF0000"/>
            <w:noWrap/>
            <w:vAlign w:val="bottom"/>
          </w:tcPr>
          <w:p w14:paraId="23D5FFCF"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63C35CCC" w14:textId="77777777" w:rsidR="00DE3C92" w:rsidRPr="00A4272B" w:rsidRDefault="00DE3C92" w:rsidP="00DE3C92">
            <w:pPr>
              <w:spacing w:after="0"/>
              <w:rPr>
                <w:sz w:val="18"/>
                <w:szCs w:val="18"/>
                <w:lang w:val="en-US"/>
              </w:rPr>
            </w:pPr>
            <w:r w:rsidRPr="00A4272B">
              <w:rPr>
                <w:sz w:val="18"/>
                <w:szCs w:val="18"/>
                <w:lang w:val="en-US"/>
              </w:rPr>
              <w:t xml:space="preserve">LC-MS/MS APCI </w:t>
            </w:r>
            <w:r w:rsidRPr="00A4272B">
              <w:rPr>
                <w:sz w:val="18"/>
                <w:szCs w:val="18"/>
                <w:vertAlign w:val="superscript"/>
                <w:lang w:val="en-US"/>
              </w:rPr>
              <w:t>2</w:t>
            </w:r>
          </w:p>
        </w:tc>
      </w:tr>
      <w:tr w:rsidR="00DE3C92" w:rsidRPr="00A4272B" w14:paraId="52C7321B" w14:textId="77777777" w:rsidTr="00DE3C92">
        <w:trPr>
          <w:trHeight w:val="285"/>
        </w:trPr>
        <w:tc>
          <w:tcPr>
            <w:tcW w:w="617" w:type="pct"/>
            <w:shd w:val="clear" w:color="auto" w:fill="auto"/>
            <w:noWrap/>
          </w:tcPr>
          <w:p w14:paraId="22197511" w14:textId="77777777" w:rsidR="00DE3C92" w:rsidRPr="00A4272B" w:rsidRDefault="00DE3C92" w:rsidP="00DE3C92">
            <w:pPr>
              <w:spacing w:after="0"/>
              <w:rPr>
                <w:sz w:val="18"/>
                <w:szCs w:val="18"/>
                <w:lang w:val="en-US"/>
              </w:rPr>
            </w:pPr>
            <w:r w:rsidRPr="00A4272B">
              <w:rPr>
                <w:sz w:val="18"/>
                <w:szCs w:val="18"/>
                <w:lang w:val="en-US"/>
              </w:rPr>
              <w:t>PFOS and other anionic PFASs</w:t>
            </w:r>
          </w:p>
        </w:tc>
        <w:tc>
          <w:tcPr>
            <w:tcW w:w="428" w:type="pct"/>
            <w:shd w:val="clear" w:color="auto" w:fill="auto"/>
            <w:noWrap/>
          </w:tcPr>
          <w:p w14:paraId="45ACE105" w14:textId="77777777" w:rsidR="00DE3C92" w:rsidRPr="00A4272B" w:rsidRDefault="00DE3C92" w:rsidP="00DE3C92">
            <w:pPr>
              <w:spacing w:after="0"/>
              <w:rPr>
                <w:sz w:val="18"/>
                <w:szCs w:val="18"/>
                <w:lang w:val="en-US"/>
              </w:rPr>
            </w:pPr>
            <w:r w:rsidRPr="00A4272B">
              <w:rPr>
                <w:sz w:val="18"/>
                <w:szCs w:val="18"/>
                <w:lang w:val="en-US"/>
              </w:rPr>
              <w:t>pg mL</w:t>
            </w:r>
            <w:r w:rsidRPr="00A4272B">
              <w:rPr>
                <w:sz w:val="18"/>
                <w:szCs w:val="18"/>
                <w:vertAlign w:val="superscript"/>
                <w:lang w:val="en-US"/>
              </w:rPr>
              <w:t>-1</w:t>
            </w:r>
          </w:p>
        </w:tc>
        <w:tc>
          <w:tcPr>
            <w:tcW w:w="239" w:type="pct"/>
            <w:shd w:val="clear" w:color="auto" w:fill="FF0000"/>
            <w:noWrap/>
          </w:tcPr>
          <w:p w14:paraId="14416079" w14:textId="77777777" w:rsidR="00DE3C92" w:rsidRPr="00A4272B" w:rsidRDefault="00DE3C92" w:rsidP="00DE3C92">
            <w:pPr>
              <w:spacing w:after="0"/>
              <w:jc w:val="center"/>
              <w:rPr>
                <w:sz w:val="18"/>
                <w:szCs w:val="18"/>
                <w:lang w:val="en-US"/>
              </w:rPr>
            </w:pPr>
          </w:p>
        </w:tc>
        <w:tc>
          <w:tcPr>
            <w:tcW w:w="239" w:type="pct"/>
            <w:shd w:val="clear" w:color="auto" w:fill="auto"/>
            <w:noWrap/>
          </w:tcPr>
          <w:p w14:paraId="2B1ECBC3"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577BCE75" w14:textId="77777777" w:rsidR="00DE3C92" w:rsidRPr="00A4272B" w:rsidRDefault="00DE3C92" w:rsidP="00DE3C92">
            <w:pPr>
              <w:spacing w:after="0"/>
              <w:jc w:val="center"/>
              <w:rPr>
                <w:sz w:val="18"/>
                <w:szCs w:val="18"/>
                <w:lang w:val="en-US"/>
              </w:rPr>
            </w:pPr>
          </w:p>
        </w:tc>
        <w:tc>
          <w:tcPr>
            <w:tcW w:w="491" w:type="pct"/>
            <w:shd w:val="clear" w:color="auto" w:fill="auto"/>
            <w:noWrap/>
          </w:tcPr>
          <w:p w14:paraId="43AC3772"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FF0000"/>
            <w:noWrap/>
          </w:tcPr>
          <w:p w14:paraId="40D7DB31" w14:textId="77777777" w:rsidR="00DE3C92" w:rsidRPr="00A4272B" w:rsidRDefault="00DE3C92" w:rsidP="00DE3C92">
            <w:pPr>
              <w:spacing w:after="0"/>
              <w:jc w:val="center"/>
              <w:rPr>
                <w:sz w:val="18"/>
                <w:szCs w:val="18"/>
                <w:lang w:val="en-US"/>
              </w:rPr>
            </w:pPr>
          </w:p>
        </w:tc>
        <w:tc>
          <w:tcPr>
            <w:tcW w:w="238" w:type="pct"/>
            <w:shd w:val="clear" w:color="auto" w:fill="auto"/>
            <w:noWrap/>
          </w:tcPr>
          <w:p w14:paraId="3400CB48"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1D8352E3" w14:textId="77777777" w:rsidR="00DE3C92" w:rsidRPr="00A4272B" w:rsidRDefault="00DE3C92" w:rsidP="00DE3C92">
            <w:pPr>
              <w:spacing w:after="0"/>
              <w:jc w:val="center"/>
              <w:rPr>
                <w:sz w:val="18"/>
                <w:szCs w:val="18"/>
                <w:lang w:val="en-US"/>
              </w:rPr>
            </w:pPr>
          </w:p>
        </w:tc>
        <w:tc>
          <w:tcPr>
            <w:tcW w:w="191" w:type="pct"/>
            <w:shd w:val="clear" w:color="auto" w:fill="auto"/>
          </w:tcPr>
          <w:p w14:paraId="520F9E1D" w14:textId="77777777" w:rsidR="00DE3C92" w:rsidRPr="00A4272B" w:rsidRDefault="00DE3C92" w:rsidP="00DE3C92">
            <w:pPr>
              <w:spacing w:after="0"/>
              <w:rPr>
                <w:sz w:val="18"/>
                <w:szCs w:val="18"/>
                <w:lang w:val="en-US"/>
              </w:rPr>
            </w:pPr>
            <w:r w:rsidRPr="00A4272B">
              <w:rPr>
                <w:rFonts w:eastAsia="SimSun"/>
                <w:sz w:val="18"/>
                <w:szCs w:val="18"/>
                <w:lang w:val="en-US" w:eastAsia="zh-CN"/>
              </w:rPr>
              <w:t>pg L</w:t>
            </w:r>
            <w:r w:rsidRPr="00A4272B">
              <w:rPr>
                <w:rFonts w:eastAsia="SimSun"/>
                <w:sz w:val="18"/>
                <w:szCs w:val="18"/>
                <w:vertAlign w:val="superscript"/>
                <w:lang w:val="en-US" w:eastAsia="zh-CN"/>
              </w:rPr>
              <w:t>-1</w:t>
            </w:r>
          </w:p>
        </w:tc>
        <w:tc>
          <w:tcPr>
            <w:tcW w:w="238" w:type="pct"/>
            <w:shd w:val="clear" w:color="auto" w:fill="FF0000"/>
          </w:tcPr>
          <w:p w14:paraId="3C319B99" w14:textId="77777777" w:rsidR="00DE3C92" w:rsidRPr="00A4272B" w:rsidRDefault="00DE3C92" w:rsidP="00DE3C92">
            <w:pPr>
              <w:spacing w:after="0"/>
              <w:rPr>
                <w:sz w:val="18"/>
                <w:szCs w:val="18"/>
                <w:lang w:val="en-US"/>
              </w:rPr>
            </w:pPr>
            <w:r w:rsidRPr="00A4272B">
              <w:rPr>
                <w:rFonts w:eastAsia="SimSun"/>
                <w:sz w:val="18"/>
                <w:szCs w:val="18"/>
                <w:lang w:val="en-US" w:eastAsia="zh-CN"/>
              </w:rPr>
              <w:t> </w:t>
            </w:r>
          </w:p>
        </w:tc>
        <w:tc>
          <w:tcPr>
            <w:tcW w:w="238" w:type="pct"/>
            <w:shd w:val="clear" w:color="auto" w:fill="auto"/>
          </w:tcPr>
          <w:p w14:paraId="562B06FC" w14:textId="77777777" w:rsidR="00DE3C92" w:rsidRPr="00A4272B" w:rsidRDefault="00DE3C92" w:rsidP="00DE3C92">
            <w:pPr>
              <w:spacing w:after="0"/>
              <w:rPr>
                <w:sz w:val="18"/>
                <w:szCs w:val="18"/>
                <w:lang w:val="en-US"/>
              </w:rPr>
            </w:pPr>
            <w:r w:rsidRPr="00A4272B">
              <w:rPr>
                <w:rFonts w:eastAsia="SimSun"/>
                <w:sz w:val="18"/>
                <w:szCs w:val="18"/>
                <w:lang w:val="en-US" w:eastAsia="zh-CN"/>
              </w:rPr>
              <w:t>5–10</w:t>
            </w:r>
          </w:p>
        </w:tc>
        <w:tc>
          <w:tcPr>
            <w:tcW w:w="191" w:type="pct"/>
            <w:shd w:val="clear" w:color="auto" w:fill="FF0000"/>
          </w:tcPr>
          <w:p w14:paraId="4BB7D98C" w14:textId="77777777" w:rsidR="00DE3C92" w:rsidRPr="00A4272B" w:rsidRDefault="00DE3C92" w:rsidP="00DE3C92">
            <w:pPr>
              <w:spacing w:after="0"/>
              <w:rPr>
                <w:sz w:val="18"/>
                <w:szCs w:val="18"/>
                <w:lang w:val="en-US"/>
              </w:rPr>
            </w:pPr>
            <w:r w:rsidRPr="00A4272B">
              <w:rPr>
                <w:rFonts w:eastAsia="SimSun"/>
                <w:sz w:val="18"/>
                <w:szCs w:val="18"/>
                <w:lang w:val="en-US" w:eastAsia="zh-CN"/>
              </w:rPr>
              <w:t> </w:t>
            </w:r>
          </w:p>
        </w:tc>
        <w:tc>
          <w:tcPr>
            <w:tcW w:w="238" w:type="pct"/>
            <w:shd w:val="clear" w:color="auto" w:fill="auto"/>
            <w:noWrap/>
          </w:tcPr>
          <w:p w14:paraId="6721AE31"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FF0000"/>
            <w:noWrap/>
          </w:tcPr>
          <w:p w14:paraId="122481F1" w14:textId="77777777" w:rsidR="00DE3C92" w:rsidRPr="00A4272B" w:rsidRDefault="00DE3C92" w:rsidP="00DE3C92">
            <w:pPr>
              <w:spacing w:after="0"/>
              <w:jc w:val="center"/>
              <w:rPr>
                <w:sz w:val="18"/>
                <w:szCs w:val="18"/>
                <w:lang w:val="en-US"/>
              </w:rPr>
            </w:pPr>
          </w:p>
        </w:tc>
        <w:tc>
          <w:tcPr>
            <w:tcW w:w="239" w:type="pct"/>
            <w:shd w:val="clear" w:color="auto" w:fill="auto"/>
            <w:noWrap/>
            <w:vAlign w:val="bottom"/>
          </w:tcPr>
          <w:p w14:paraId="1D99C2DC" w14:textId="77777777" w:rsidR="00DE3C92" w:rsidRPr="00A4272B" w:rsidRDefault="00DE3C92" w:rsidP="00DE3C92">
            <w:pPr>
              <w:spacing w:after="0"/>
              <w:jc w:val="center"/>
              <w:rPr>
                <w:sz w:val="18"/>
                <w:szCs w:val="18"/>
                <w:lang w:val="en-US"/>
              </w:rPr>
            </w:pPr>
            <w:r w:rsidRPr="00A4272B">
              <w:rPr>
                <w:sz w:val="18"/>
                <w:szCs w:val="18"/>
                <w:lang w:val="en-US"/>
              </w:rPr>
              <w:t>1</w:t>
            </w:r>
          </w:p>
        </w:tc>
        <w:tc>
          <w:tcPr>
            <w:tcW w:w="190" w:type="pct"/>
            <w:shd w:val="clear" w:color="auto" w:fill="FF0000"/>
            <w:noWrap/>
            <w:vAlign w:val="bottom"/>
          </w:tcPr>
          <w:p w14:paraId="2ED53043"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43A958F9" w14:textId="77777777" w:rsidR="00DE3C92" w:rsidRPr="00A4272B" w:rsidRDefault="00DE3C92" w:rsidP="00DE3C92">
            <w:pPr>
              <w:spacing w:after="0"/>
              <w:rPr>
                <w:sz w:val="18"/>
                <w:szCs w:val="18"/>
                <w:lang w:val="en-US"/>
              </w:rPr>
            </w:pPr>
            <w:r w:rsidRPr="00A4272B">
              <w:rPr>
                <w:sz w:val="18"/>
                <w:szCs w:val="18"/>
                <w:lang w:val="en-US"/>
              </w:rPr>
              <w:t>LC-MS/MS negative ESI</w:t>
            </w:r>
          </w:p>
        </w:tc>
      </w:tr>
      <w:tr w:rsidR="00DE3C92" w:rsidRPr="00A4272B" w14:paraId="51D560A8" w14:textId="77777777" w:rsidTr="00DE3C92">
        <w:trPr>
          <w:trHeight w:val="285"/>
        </w:trPr>
        <w:tc>
          <w:tcPr>
            <w:tcW w:w="617" w:type="pct"/>
            <w:shd w:val="clear" w:color="auto" w:fill="auto"/>
            <w:noWrap/>
          </w:tcPr>
          <w:p w14:paraId="3EDA13FE" w14:textId="77777777" w:rsidR="00DE3C92" w:rsidRPr="00A4272B" w:rsidRDefault="00DE3C92" w:rsidP="00DE3C92">
            <w:pPr>
              <w:spacing w:after="0"/>
              <w:rPr>
                <w:sz w:val="18"/>
                <w:szCs w:val="18"/>
                <w:lang w:val="en-US"/>
              </w:rPr>
            </w:pPr>
            <w:r w:rsidRPr="00A4272B">
              <w:rPr>
                <w:sz w:val="18"/>
                <w:szCs w:val="18"/>
                <w:lang w:val="en-US"/>
              </w:rPr>
              <w:t>Chlorinated paraffins</w:t>
            </w:r>
          </w:p>
        </w:tc>
        <w:tc>
          <w:tcPr>
            <w:tcW w:w="428" w:type="pct"/>
            <w:shd w:val="clear" w:color="auto" w:fill="auto"/>
            <w:noWrap/>
          </w:tcPr>
          <w:p w14:paraId="4F3DDD7A" w14:textId="77777777" w:rsidR="00DE3C92" w:rsidRPr="00A4272B" w:rsidRDefault="00DE3C92" w:rsidP="00DE3C92">
            <w:pPr>
              <w:spacing w:after="0"/>
              <w:rPr>
                <w:sz w:val="18"/>
                <w:szCs w:val="18"/>
                <w:lang w:val="en-US"/>
              </w:rPr>
            </w:pPr>
            <w:r w:rsidRPr="00A4272B">
              <w:rPr>
                <w:sz w:val="18"/>
                <w:szCs w:val="18"/>
                <w:lang w:val="en-US"/>
              </w:rPr>
              <w:t>ng g</w:t>
            </w:r>
            <w:r w:rsidRPr="00A4272B">
              <w:rPr>
                <w:sz w:val="18"/>
                <w:szCs w:val="18"/>
                <w:vertAlign w:val="superscript"/>
                <w:lang w:val="en-US"/>
              </w:rPr>
              <w:t>-1</w:t>
            </w:r>
            <w:r w:rsidRPr="00A4272B">
              <w:rPr>
                <w:sz w:val="18"/>
                <w:szCs w:val="18"/>
                <w:lang w:val="en-US"/>
              </w:rPr>
              <w:t xml:space="preserve"> fat</w:t>
            </w:r>
          </w:p>
        </w:tc>
        <w:tc>
          <w:tcPr>
            <w:tcW w:w="239" w:type="pct"/>
            <w:shd w:val="clear" w:color="auto" w:fill="FF0000"/>
            <w:noWrap/>
          </w:tcPr>
          <w:p w14:paraId="136661DF" w14:textId="77777777" w:rsidR="00DE3C92" w:rsidRPr="00A4272B" w:rsidRDefault="00DE3C92" w:rsidP="00DE3C92">
            <w:pPr>
              <w:spacing w:after="0"/>
              <w:jc w:val="center"/>
              <w:rPr>
                <w:sz w:val="18"/>
                <w:szCs w:val="18"/>
                <w:lang w:val="en-US"/>
              </w:rPr>
            </w:pPr>
          </w:p>
        </w:tc>
        <w:tc>
          <w:tcPr>
            <w:tcW w:w="239" w:type="pct"/>
            <w:shd w:val="clear" w:color="auto" w:fill="auto"/>
            <w:noWrap/>
          </w:tcPr>
          <w:p w14:paraId="59C5659A"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04D7AAA0" w14:textId="77777777" w:rsidR="00DE3C92" w:rsidRPr="00A4272B" w:rsidRDefault="00DE3C92" w:rsidP="00DE3C92">
            <w:pPr>
              <w:spacing w:after="0"/>
              <w:jc w:val="center"/>
              <w:rPr>
                <w:sz w:val="18"/>
                <w:szCs w:val="18"/>
                <w:lang w:val="en-US"/>
              </w:rPr>
            </w:pPr>
          </w:p>
        </w:tc>
        <w:tc>
          <w:tcPr>
            <w:tcW w:w="491" w:type="pct"/>
            <w:shd w:val="clear" w:color="auto" w:fill="auto"/>
            <w:noWrap/>
          </w:tcPr>
          <w:p w14:paraId="60B98242"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FF0000"/>
            <w:noWrap/>
          </w:tcPr>
          <w:p w14:paraId="47C6F86A" w14:textId="77777777" w:rsidR="00DE3C92" w:rsidRPr="00A4272B" w:rsidRDefault="00DE3C92" w:rsidP="00DE3C92">
            <w:pPr>
              <w:spacing w:after="0"/>
              <w:jc w:val="center"/>
              <w:rPr>
                <w:sz w:val="18"/>
                <w:szCs w:val="18"/>
                <w:lang w:val="en-US"/>
              </w:rPr>
            </w:pPr>
          </w:p>
        </w:tc>
        <w:tc>
          <w:tcPr>
            <w:tcW w:w="238" w:type="pct"/>
            <w:shd w:val="clear" w:color="auto" w:fill="auto"/>
            <w:noWrap/>
          </w:tcPr>
          <w:p w14:paraId="3734DD90"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0224BC1A" w14:textId="77777777" w:rsidR="00DE3C92" w:rsidRPr="00A4272B" w:rsidRDefault="00DE3C92" w:rsidP="00DE3C92">
            <w:pPr>
              <w:spacing w:after="0"/>
              <w:jc w:val="center"/>
              <w:rPr>
                <w:sz w:val="18"/>
                <w:szCs w:val="18"/>
                <w:lang w:val="en-US"/>
              </w:rPr>
            </w:pPr>
          </w:p>
        </w:tc>
        <w:tc>
          <w:tcPr>
            <w:tcW w:w="191" w:type="pct"/>
            <w:shd w:val="clear" w:color="auto" w:fill="auto"/>
          </w:tcPr>
          <w:p w14:paraId="5650DC4E" w14:textId="77777777" w:rsidR="00DE3C92" w:rsidRPr="00A4272B" w:rsidRDefault="00DE3C92" w:rsidP="00DE3C92">
            <w:pPr>
              <w:spacing w:after="0"/>
              <w:rPr>
                <w:sz w:val="18"/>
                <w:szCs w:val="18"/>
                <w:lang w:val="en-US"/>
              </w:rPr>
            </w:pPr>
          </w:p>
        </w:tc>
        <w:tc>
          <w:tcPr>
            <w:tcW w:w="238" w:type="pct"/>
            <w:shd w:val="clear" w:color="auto" w:fill="auto"/>
          </w:tcPr>
          <w:p w14:paraId="77207247" w14:textId="77777777" w:rsidR="00DE3C92" w:rsidRPr="00A4272B" w:rsidRDefault="00DE3C92" w:rsidP="00DE3C92">
            <w:pPr>
              <w:spacing w:after="0"/>
              <w:rPr>
                <w:sz w:val="18"/>
                <w:szCs w:val="18"/>
                <w:lang w:val="en-US"/>
              </w:rPr>
            </w:pPr>
          </w:p>
        </w:tc>
        <w:tc>
          <w:tcPr>
            <w:tcW w:w="238" w:type="pct"/>
            <w:shd w:val="clear" w:color="auto" w:fill="auto"/>
          </w:tcPr>
          <w:p w14:paraId="32CD0BC0" w14:textId="77777777" w:rsidR="00DE3C92" w:rsidRPr="00A4272B" w:rsidRDefault="00DE3C92" w:rsidP="00DE3C92">
            <w:pPr>
              <w:spacing w:after="0"/>
              <w:rPr>
                <w:sz w:val="18"/>
                <w:szCs w:val="18"/>
                <w:lang w:val="en-US"/>
              </w:rPr>
            </w:pPr>
          </w:p>
        </w:tc>
        <w:tc>
          <w:tcPr>
            <w:tcW w:w="191" w:type="pct"/>
            <w:shd w:val="clear" w:color="auto" w:fill="auto"/>
          </w:tcPr>
          <w:p w14:paraId="7F488542" w14:textId="77777777" w:rsidR="00DE3C92" w:rsidRPr="00A4272B" w:rsidRDefault="00DE3C92" w:rsidP="00DE3C92">
            <w:pPr>
              <w:spacing w:after="0"/>
              <w:rPr>
                <w:sz w:val="18"/>
                <w:szCs w:val="18"/>
                <w:lang w:val="en-US"/>
              </w:rPr>
            </w:pPr>
          </w:p>
        </w:tc>
        <w:tc>
          <w:tcPr>
            <w:tcW w:w="238" w:type="pct"/>
            <w:shd w:val="clear" w:color="auto" w:fill="auto"/>
            <w:noWrap/>
          </w:tcPr>
          <w:p w14:paraId="1C2D443E"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FF0000"/>
            <w:noWrap/>
          </w:tcPr>
          <w:p w14:paraId="0F9FBD64" w14:textId="77777777" w:rsidR="00DE3C92" w:rsidRPr="00A4272B" w:rsidRDefault="00DE3C92" w:rsidP="00DE3C92">
            <w:pPr>
              <w:spacing w:after="0"/>
              <w:jc w:val="center"/>
              <w:rPr>
                <w:sz w:val="18"/>
                <w:szCs w:val="18"/>
                <w:lang w:val="en-US"/>
              </w:rPr>
            </w:pPr>
          </w:p>
        </w:tc>
        <w:tc>
          <w:tcPr>
            <w:tcW w:w="239" w:type="pct"/>
            <w:shd w:val="clear" w:color="auto" w:fill="auto"/>
            <w:noWrap/>
            <w:vAlign w:val="bottom"/>
          </w:tcPr>
          <w:p w14:paraId="7E316803" w14:textId="77777777" w:rsidR="00DE3C92" w:rsidRPr="00A4272B" w:rsidRDefault="00DE3C92" w:rsidP="00DE3C92">
            <w:pPr>
              <w:spacing w:after="0"/>
              <w:jc w:val="center"/>
              <w:rPr>
                <w:sz w:val="18"/>
                <w:szCs w:val="18"/>
                <w:lang w:val="en-US"/>
              </w:rPr>
            </w:pPr>
          </w:p>
        </w:tc>
        <w:tc>
          <w:tcPr>
            <w:tcW w:w="190" w:type="pct"/>
            <w:shd w:val="clear" w:color="auto" w:fill="FF0000"/>
            <w:noWrap/>
            <w:vAlign w:val="bottom"/>
          </w:tcPr>
          <w:p w14:paraId="48702E41"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12AB5480" w14:textId="77777777" w:rsidR="00DE3C92" w:rsidRPr="00A4272B" w:rsidRDefault="00DE3C92" w:rsidP="00DE3C92">
            <w:pPr>
              <w:spacing w:after="0"/>
              <w:rPr>
                <w:sz w:val="18"/>
                <w:szCs w:val="18"/>
                <w:lang w:val="en-US"/>
              </w:rPr>
            </w:pPr>
          </w:p>
        </w:tc>
      </w:tr>
      <w:tr w:rsidR="00DE3C92" w:rsidRPr="00A4272B" w14:paraId="1CE1C06C" w14:textId="77777777" w:rsidTr="00DE3C92">
        <w:trPr>
          <w:trHeight w:val="285"/>
        </w:trPr>
        <w:tc>
          <w:tcPr>
            <w:tcW w:w="617" w:type="pct"/>
            <w:shd w:val="clear" w:color="auto" w:fill="auto"/>
            <w:noWrap/>
          </w:tcPr>
          <w:p w14:paraId="01E9E2AE" w14:textId="77777777" w:rsidR="00DE3C92" w:rsidRPr="00A4272B" w:rsidRDefault="00DE3C92" w:rsidP="00DE3C92">
            <w:pPr>
              <w:spacing w:after="0"/>
              <w:rPr>
                <w:sz w:val="18"/>
                <w:szCs w:val="18"/>
                <w:lang w:val="en-US"/>
              </w:rPr>
            </w:pPr>
            <w:r w:rsidRPr="00A4272B">
              <w:rPr>
                <w:sz w:val="18"/>
                <w:szCs w:val="18"/>
                <w:lang w:val="en-US"/>
              </w:rPr>
              <w:t>UV-328</w:t>
            </w:r>
          </w:p>
        </w:tc>
        <w:tc>
          <w:tcPr>
            <w:tcW w:w="428" w:type="pct"/>
            <w:shd w:val="clear" w:color="auto" w:fill="auto"/>
            <w:noWrap/>
          </w:tcPr>
          <w:p w14:paraId="04A9D1EE" w14:textId="77777777" w:rsidR="00DE3C92" w:rsidRPr="00A4272B" w:rsidRDefault="00DE3C92" w:rsidP="00DE3C92">
            <w:pPr>
              <w:spacing w:after="0"/>
              <w:rPr>
                <w:sz w:val="18"/>
                <w:szCs w:val="18"/>
                <w:lang w:val="en-US"/>
              </w:rPr>
            </w:pPr>
            <w:r w:rsidRPr="00A4272B">
              <w:rPr>
                <w:sz w:val="18"/>
                <w:szCs w:val="18"/>
                <w:lang w:val="en-US"/>
              </w:rPr>
              <w:t>ng g</w:t>
            </w:r>
            <w:r w:rsidRPr="00A4272B">
              <w:rPr>
                <w:sz w:val="18"/>
                <w:szCs w:val="18"/>
                <w:vertAlign w:val="superscript"/>
                <w:lang w:val="en-US"/>
              </w:rPr>
              <w:t>-1</w:t>
            </w:r>
            <w:r w:rsidRPr="00A4272B">
              <w:rPr>
                <w:sz w:val="18"/>
                <w:szCs w:val="18"/>
                <w:lang w:val="en-US"/>
              </w:rPr>
              <w:t xml:space="preserve"> fat</w:t>
            </w:r>
          </w:p>
        </w:tc>
        <w:tc>
          <w:tcPr>
            <w:tcW w:w="239" w:type="pct"/>
            <w:shd w:val="clear" w:color="auto" w:fill="FF0000"/>
            <w:noWrap/>
          </w:tcPr>
          <w:p w14:paraId="01E74B18" w14:textId="77777777" w:rsidR="00DE3C92" w:rsidRPr="00A4272B" w:rsidRDefault="00DE3C92" w:rsidP="00DE3C92">
            <w:pPr>
              <w:spacing w:after="0"/>
              <w:jc w:val="center"/>
              <w:rPr>
                <w:sz w:val="18"/>
                <w:szCs w:val="18"/>
                <w:lang w:val="en-US"/>
              </w:rPr>
            </w:pPr>
          </w:p>
        </w:tc>
        <w:tc>
          <w:tcPr>
            <w:tcW w:w="239" w:type="pct"/>
            <w:shd w:val="clear" w:color="auto" w:fill="auto"/>
            <w:noWrap/>
          </w:tcPr>
          <w:p w14:paraId="21388199" w14:textId="77777777" w:rsidR="00DE3C92" w:rsidRPr="00A4272B" w:rsidRDefault="00DE3C92" w:rsidP="00DE3C92">
            <w:pPr>
              <w:spacing w:after="0"/>
              <w:jc w:val="center"/>
              <w:rPr>
                <w:sz w:val="18"/>
                <w:szCs w:val="18"/>
                <w:lang w:val="en-US"/>
              </w:rPr>
            </w:pPr>
          </w:p>
        </w:tc>
        <w:tc>
          <w:tcPr>
            <w:tcW w:w="175" w:type="pct"/>
            <w:shd w:val="clear" w:color="auto" w:fill="FF0000"/>
            <w:noWrap/>
          </w:tcPr>
          <w:p w14:paraId="0FD08369" w14:textId="77777777" w:rsidR="00DE3C92" w:rsidRPr="00A4272B" w:rsidRDefault="00DE3C92" w:rsidP="00DE3C92">
            <w:pPr>
              <w:spacing w:after="0"/>
              <w:jc w:val="center"/>
              <w:rPr>
                <w:sz w:val="18"/>
                <w:szCs w:val="18"/>
                <w:lang w:val="en-US"/>
              </w:rPr>
            </w:pPr>
          </w:p>
        </w:tc>
        <w:tc>
          <w:tcPr>
            <w:tcW w:w="491" w:type="pct"/>
            <w:shd w:val="clear" w:color="auto" w:fill="auto"/>
            <w:noWrap/>
          </w:tcPr>
          <w:p w14:paraId="4D4E18E7" w14:textId="77777777" w:rsidR="00DE3C92" w:rsidRPr="00A4272B" w:rsidRDefault="00DE3C92" w:rsidP="00DE3C92">
            <w:pPr>
              <w:spacing w:after="0"/>
              <w:rPr>
                <w:sz w:val="18"/>
                <w:szCs w:val="18"/>
                <w:lang w:val="en-US"/>
              </w:rPr>
            </w:pPr>
            <w:r w:rsidRPr="00A4272B">
              <w:rPr>
                <w:sz w:val="18"/>
                <w:szCs w:val="18"/>
                <w:lang w:val="en-US"/>
              </w:rPr>
              <w:t>pg PUF</w:t>
            </w:r>
            <w:r w:rsidRPr="00A4272B">
              <w:rPr>
                <w:sz w:val="18"/>
                <w:szCs w:val="18"/>
                <w:vertAlign w:val="superscript"/>
                <w:lang w:val="en-US"/>
              </w:rPr>
              <w:t>-1</w:t>
            </w:r>
            <w:r w:rsidRPr="00A4272B">
              <w:rPr>
                <w:sz w:val="18"/>
                <w:szCs w:val="18"/>
                <w:lang w:val="en-US"/>
              </w:rPr>
              <w:t xml:space="preserve"> or fg m</w:t>
            </w:r>
            <w:r w:rsidRPr="00A4272B">
              <w:rPr>
                <w:sz w:val="18"/>
                <w:szCs w:val="18"/>
                <w:vertAlign w:val="superscript"/>
                <w:lang w:val="en-US"/>
              </w:rPr>
              <w:t>-3</w:t>
            </w:r>
          </w:p>
        </w:tc>
        <w:tc>
          <w:tcPr>
            <w:tcW w:w="239" w:type="pct"/>
            <w:shd w:val="clear" w:color="auto" w:fill="FF0000"/>
            <w:noWrap/>
          </w:tcPr>
          <w:p w14:paraId="481E33E1" w14:textId="77777777" w:rsidR="00DE3C92" w:rsidRPr="00A4272B" w:rsidRDefault="00DE3C92" w:rsidP="00DE3C92">
            <w:pPr>
              <w:spacing w:after="0"/>
              <w:jc w:val="center"/>
              <w:rPr>
                <w:sz w:val="18"/>
                <w:szCs w:val="18"/>
                <w:lang w:val="en-US"/>
              </w:rPr>
            </w:pPr>
          </w:p>
        </w:tc>
        <w:tc>
          <w:tcPr>
            <w:tcW w:w="238" w:type="pct"/>
            <w:shd w:val="clear" w:color="auto" w:fill="auto"/>
            <w:noWrap/>
          </w:tcPr>
          <w:p w14:paraId="49B91009" w14:textId="77777777" w:rsidR="00DE3C92" w:rsidRPr="00A4272B" w:rsidRDefault="00DE3C92" w:rsidP="00DE3C92">
            <w:pPr>
              <w:spacing w:after="0"/>
              <w:jc w:val="center"/>
              <w:rPr>
                <w:sz w:val="18"/>
                <w:szCs w:val="18"/>
                <w:lang w:val="en-US"/>
              </w:rPr>
            </w:pPr>
          </w:p>
        </w:tc>
        <w:tc>
          <w:tcPr>
            <w:tcW w:w="190" w:type="pct"/>
            <w:shd w:val="clear" w:color="auto" w:fill="FF0000"/>
            <w:noWrap/>
          </w:tcPr>
          <w:p w14:paraId="5BA9062E" w14:textId="77777777" w:rsidR="00DE3C92" w:rsidRPr="00A4272B" w:rsidRDefault="00DE3C92" w:rsidP="00DE3C92">
            <w:pPr>
              <w:spacing w:after="0"/>
              <w:jc w:val="center"/>
              <w:rPr>
                <w:sz w:val="18"/>
                <w:szCs w:val="18"/>
                <w:lang w:val="en-US"/>
              </w:rPr>
            </w:pPr>
          </w:p>
        </w:tc>
        <w:tc>
          <w:tcPr>
            <w:tcW w:w="191" w:type="pct"/>
            <w:shd w:val="clear" w:color="auto" w:fill="auto"/>
          </w:tcPr>
          <w:p w14:paraId="7E5EF58A" w14:textId="77777777" w:rsidR="00DE3C92" w:rsidRPr="00A4272B" w:rsidRDefault="00DE3C92" w:rsidP="00DE3C92">
            <w:pPr>
              <w:spacing w:after="0"/>
              <w:rPr>
                <w:sz w:val="18"/>
                <w:szCs w:val="18"/>
                <w:lang w:val="en-US"/>
              </w:rPr>
            </w:pPr>
            <w:r w:rsidRPr="00A4272B">
              <w:rPr>
                <w:rFonts w:eastAsia="SimSun"/>
                <w:sz w:val="18"/>
                <w:szCs w:val="18"/>
                <w:lang w:val="en-US" w:eastAsia="zh-CN"/>
              </w:rPr>
              <w:t>pg L</w:t>
            </w:r>
            <w:r w:rsidRPr="00A4272B">
              <w:rPr>
                <w:rFonts w:eastAsia="SimSun"/>
                <w:sz w:val="18"/>
                <w:szCs w:val="18"/>
                <w:vertAlign w:val="superscript"/>
                <w:lang w:val="en-US" w:eastAsia="zh-CN"/>
              </w:rPr>
              <w:t>-1</w:t>
            </w:r>
          </w:p>
        </w:tc>
        <w:tc>
          <w:tcPr>
            <w:tcW w:w="238" w:type="pct"/>
            <w:shd w:val="clear" w:color="auto" w:fill="FF0000"/>
          </w:tcPr>
          <w:p w14:paraId="1BFE9F61" w14:textId="77777777" w:rsidR="00DE3C92" w:rsidRPr="00A4272B" w:rsidRDefault="00DE3C92" w:rsidP="00DE3C92">
            <w:pPr>
              <w:spacing w:after="0"/>
              <w:rPr>
                <w:sz w:val="18"/>
                <w:szCs w:val="18"/>
                <w:lang w:val="en-US"/>
              </w:rPr>
            </w:pPr>
            <w:r w:rsidRPr="00A4272B">
              <w:rPr>
                <w:rFonts w:eastAsia="SimSun"/>
                <w:sz w:val="18"/>
                <w:szCs w:val="18"/>
                <w:lang w:val="en-US" w:eastAsia="zh-CN"/>
              </w:rPr>
              <w:t> </w:t>
            </w:r>
          </w:p>
        </w:tc>
        <w:tc>
          <w:tcPr>
            <w:tcW w:w="238" w:type="pct"/>
            <w:shd w:val="clear" w:color="auto" w:fill="auto"/>
          </w:tcPr>
          <w:p w14:paraId="1235039D" w14:textId="77777777" w:rsidR="00DE3C92" w:rsidRPr="00A4272B" w:rsidRDefault="00DE3C92" w:rsidP="00DE3C92">
            <w:pPr>
              <w:spacing w:after="0"/>
              <w:rPr>
                <w:sz w:val="18"/>
                <w:szCs w:val="18"/>
                <w:lang w:val="en-US"/>
              </w:rPr>
            </w:pPr>
            <w:r w:rsidRPr="00A4272B">
              <w:rPr>
                <w:rFonts w:eastAsia="SimSun"/>
                <w:sz w:val="18"/>
                <w:szCs w:val="18"/>
                <w:lang w:val="en-US" w:eastAsia="zh-CN"/>
              </w:rPr>
              <w:t>5–10</w:t>
            </w:r>
          </w:p>
        </w:tc>
        <w:tc>
          <w:tcPr>
            <w:tcW w:w="191" w:type="pct"/>
            <w:shd w:val="clear" w:color="auto" w:fill="FF0000"/>
          </w:tcPr>
          <w:p w14:paraId="16D85A6E" w14:textId="77777777" w:rsidR="00DE3C92" w:rsidRPr="00A4272B" w:rsidRDefault="00DE3C92" w:rsidP="00DE3C92">
            <w:pPr>
              <w:spacing w:after="0"/>
              <w:rPr>
                <w:sz w:val="18"/>
                <w:szCs w:val="18"/>
                <w:lang w:val="en-US"/>
              </w:rPr>
            </w:pPr>
            <w:r w:rsidRPr="00A4272B">
              <w:rPr>
                <w:rFonts w:eastAsia="SimSun"/>
                <w:sz w:val="18"/>
                <w:szCs w:val="18"/>
                <w:lang w:val="en-US" w:eastAsia="zh-CN"/>
              </w:rPr>
              <w:t> </w:t>
            </w:r>
          </w:p>
        </w:tc>
        <w:tc>
          <w:tcPr>
            <w:tcW w:w="238" w:type="pct"/>
            <w:shd w:val="clear" w:color="auto" w:fill="auto"/>
            <w:noWrap/>
          </w:tcPr>
          <w:p w14:paraId="0511F0E0" w14:textId="77777777" w:rsidR="00DE3C92" w:rsidRPr="00A4272B" w:rsidRDefault="00DE3C92" w:rsidP="00DE3C92">
            <w:pPr>
              <w:spacing w:after="0"/>
              <w:rPr>
                <w:sz w:val="18"/>
                <w:szCs w:val="18"/>
                <w:lang w:val="en-US"/>
              </w:rPr>
            </w:pPr>
            <w:r w:rsidRPr="00A4272B">
              <w:rPr>
                <w:sz w:val="18"/>
                <w:szCs w:val="18"/>
                <w:lang w:val="en-US"/>
              </w:rPr>
              <w:t>pg µL</w:t>
            </w:r>
            <w:r w:rsidRPr="00A4272B">
              <w:rPr>
                <w:sz w:val="18"/>
                <w:szCs w:val="18"/>
                <w:vertAlign w:val="superscript"/>
                <w:lang w:val="en-US"/>
              </w:rPr>
              <w:t>-1</w:t>
            </w:r>
          </w:p>
        </w:tc>
        <w:tc>
          <w:tcPr>
            <w:tcW w:w="238" w:type="pct"/>
            <w:shd w:val="clear" w:color="auto" w:fill="FF0000"/>
            <w:noWrap/>
          </w:tcPr>
          <w:p w14:paraId="1C527CB9" w14:textId="77777777" w:rsidR="00DE3C92" w:rsidRPr="00A4272B" w:rsidRDefault="00DE3C92" w:rsidP="00DE3C92">
            <w:pPr>
              <w:spacing w:after="0"/>
              <w:jc w:val="center"/>
              <w:rPr>
                <w:sz w:val="18"/>
                <w:szCs w:val="18"/>
                <w:lang w:val="en-US"/>
              </w:rPr>
            </w:pPr>
          </w:p>
        </w:tc>
        <w:tc>
          <w:tcPr>
            <w:tcW w:w="239" w:type="pct"/>
            <w:shd w:val="clear" w:color="auto" w:fill="auto"/>
            <w:noWrap/>
            <w:vAlign w:val="bottom"/>
          </w:tcPr>
          <w:p w14:paraId="2387734A" w14:textId="77777777" w:rsidR="00DE3C92" w:rsidRPr="00A4272B" w:rsidRDefault="00DE3C92" w:rsidP="00DE3C92">
            <w:pPr>
              <w:spacing w:after="0"/>
              <w:jc w:val="center"/>
              <w:rPr>
                <w:sz w:val="18"/>
                <w:szCs w:val="18"/>
                <w:lang w:val="en-US"/>
              </w:rPr>
            </w:pPr>
          </w:p>
        </w:tc>
        <w:tc>
          <w:tcPr>
            <w:tcW w:w="190" w:type="pct"/>
            <w:shd w:val="clear" w:color="auto" w:fill="FF0000"/>
            <w:noWrap/>
            <w:vAlign w:val="bottom"/>
          </w:tcPr>
          <w:p w14:paraId="1E5EAC8F" w14:textId="77777777" w:rsidR="00DE3C92" w:rsidRPr="00A4272B" w:rsidRDefault="00DE3C92" w:rsidP="00DE3C92">
            <w:pPr>
              <w:spacing w:after="0"/>
              <w:jc w:val="center"/>
              <w:rPr>
                <w:sz w:val="18"/>
                <w:szCs w:val="18"/>
                <w:lang w:val="en-US"/>
              </w:rPr>
            </w:pPr>
          </w:p>
        </w:tc>
        <w:tc>
          <w:tcPr>
            <w:tcW w:w="381" w:type="pct"/>
            <w:shd w:val="clear" w:color="auto" w:fill="auto"/>
            <w:noWrap/>
            <w:vAlign w:val="bottom"/>
          </w:tcPr>
          <w:p w14:paraId="310EB926" w14:textId="77777777" w:rsidR="00DE3C92" w:rsidRPr="00A4272B" w:rsidRDefault="00DE3C92" w:rsidP="00DE3C92">
            <w:pPr>
              <w:spacing w:after="0"/>
              <w:rPr>
                <w:sz w:val="18"/>
                <w:szCs w:val="18"/>
                <w:lang w:val="en-US"/>
              </w:rPr>
            </w:pPr>
          </w:p>
        </w:tc>
      </w:tr>
    </w:tbl>
    <w:p w14:paraId="2EF731EC" w14:textId="34DB979C" w:rsidR="00B02F39" w:rsidRPr="00A4272B" w:rsidRDefault="00B02F39" w:rsidP="00B02F39">
      <w:pPr>
        <w:autoSpaceDE w:val="0"/>
        <w:autoSpaceDN w:val="0"/>
        <w:adjustRightInd w:val="0"/>
        <w:spacing w:before="40" w:after="40"/>
        <w:rPr>
          <w:b/>
          <w:bCs/>
          <w:sz w:val="18"/>
          <w:szCs w:val="18"/>
          <w:lang w:val="en-US" w:eastAsia="ja-JP"/>
        </w:rPr>
      </w:pPr>
      <w:r w:rsidRPr="00A4272B">
        <w:rPr>
          <w:b/>
          <w:bCs/>
          <w:sz w:val="18"/>
          <w:szCs w:val="18"/>
          <w:lang w:val="en-US" w:eastAsia="ja-JP"/>
        </w:rPr>
        <w:t>Notes:</w:t>
      </w:r>
    </w:p>
    <w:p w14:paraId="0DC09EDE" w14:textId="77777777" w:rsidR="00B02F39" w:rsidRPr="00A4272B" w:rsidRDefault="00B02F39" w:rsidP="00B02F39">
      <w:pPr>
        <w:autoSpaceDE w:val="0"/>
        <w:autoSpaceDN w:val="0"/>
        <w:adjustRightInd w:val="0"/>
        <w:spacing w:before="40" w:after="40"/>
        <w:rPr>
          <w:sz w:val="18"/>
          <w:szCs w:val="18"/>
          <w:lang w:val="en-US" w:eastAsia="ja-JP"/>
        </w:rPr>
      </w:pPr>
      <w:r w:rsidRPr="00A4272B">
        <w:rPr>
          <w:sz w:val="18"/>
          <w:szCs w:val="18"/>
          <w:lang w:val="en-US" w:eastAsia="ja-JP"/>
        </w:rPr>
        <w:t>The red field indicates that this instrumentation, in combination with the specified matrix, is not recommended for use in the GMP.</w:t>
      </w:r>
    </w:p>
    <w:p w14:paraId="319B6B63" w14:textId="77777777" w:rsidR="00B02F39" w:rsidRPr="00A4272B" w:rsidRDefault="00B02F39" w:rsidP="00B02F39">
      <w:pPr>
        <w:autoSpaceDE w:val="0"/>
        <w:autoSpaceDN w:val="0"/>
        <w:adjustRightInd w:val="0"/>
        <w:spacing w:before="40" w:after="40"/>
        <w:rPr>
          <w:sz w:val="18"/>
          <w:szCs w:val="18"/>
          <w:lang w:val="en-US" w:eastAsia="ja-JP"/>
        </w:rPr>
      </w:pPr>
      <w:r w:rsidRPr="00A4272B">
        <w:rPr>
          <w:sz w:val="18"/>
          <w:szCs w:val="18"/>
          <w:lang w:val="en-US" w:eastAsia="ja-JP"/>
        </w:rPr>
        <w:t>Electron capture negative ion MS is the preferred mode for analyzing PBDEs and highly chlorinated OCs, including endosulfan, chlordane, and toxaphene.</w:t>
      </w:r>
    </w:p>
    <w:p w14:paraId="4BF46DE9" w14:textId="32738C68" w:rsidR="00F3536C" w:rsidRPr="00A4272B" w:rsidRDefault="00B02F39" w:rsidP="00B02F39">
      <w:pPr>
        <w:autoSpaceDE w:val="0"/>
        <w:autoSpaceDN w:val="0"/>
        <w:adjustRightInd w:val="0"/>
        <w:spacing w:before="40" w:after="40"/>
        <w:rPr>
          <w:sz w:val="18"/>
          <w:szCs w:val="18"/>
          <w:lang w:val="en-US" w:eastAsia="ja-JP"/>
        </w:rPr>
      </w:pPr>
      <w:r w:rsidRPr="00A4272B">
        <w:rPr>
          <w:sz w:val="18"/>
          <w:szCs w:val="18"/>
          <w:lang w:val="en-US" w:eastAsia="ja-JP"/>
        </w:rPr>
        <w:t>HBCD isomers can also be analyzed by LC-MS/MS in positive chemical ionization mode or, like PBDEs, by GC-MS with ECNI-MS.</w:t>
      </w:r>
    </w:p>
    <w:p w14:paraId="7B296845" w14:textId="77777777" w:rsidR="00AE1B58" w:rsidRPr="00A4272B" w:rsidRDefault="00AE1B58" w:rsidP="00182A00">
      <w:pPr>
        <w:rPr>
          <w:lang w:val="en-US"/>
        </w:rPr>
        <w:sectPr w:rsidR="00AE1B58" w:rsidRPr="00A4272B" w:rsidSect="0060600C">
          <w:headerReference w:type="first" r:id="rId57"/>
          <w:footerReference w:type="first" r:id="rId58"/>
          <w:type w:val="nextColumn"/>
          <w:pgSz w:w="16840" w:h="11907" w:orient="landscape" w:code="9"/>
          <w:pgMar w:top="907" w:right="994" w:bottom="1411" w:left="1411" w:header="533" w:footer="979" w:gutter="0"/>
          <w:cols w:space="720"/>
          <w:docGrid w:linePitch="360"/>
        </w:sectPr>
      </w:pPr>
      <w:bookmarkStart w:id="371" w:name="_Toc159831863"/>
    </w:p>
    <w:p w14:paraId="7E921D18" w14:textId="652E2EFB" w:rsidR="00F3536C" w:rsidRPr="00A4272B" w:rsidRDefault="00F761C6" w:rsidP="007A2A44">
      <w:pPr>
        <w:pStyle w:val="GMPHeading2"/>
        <w:tabs>
          <w:tab w:val="clear" w:pos="360"/>
          <w:tab w:val="clear" w:pos="450"/>
          <w:tab w:val="clear" w:pos="540"/>
          <w:tab w:val="clear" w:pos="630"/>
        </w:tabs>
        <w:rPr>
          <w:rFonts w:hint="eastAsia"/>
        </w:rPr>
      </w:pPr>
      <w:bookmarkStart w:id="372" w:name="_Toc187270514"/>
      <w:r w:rsidRPr="00A4272B">
        <w:lastRenderedPageBreak/>
        <w:t>5.4</w:t>
      </w:r>
      <w:r w:rsidRPr="00A4272B">
        <w:tab/>
      </w:r>
      <w:r w:rsidR="00F3536C" w:rsidRPr="00A4272B">
        <w:t>Data treatment</w:t>
      </w:r>
      <w:bookmarkEnd w:id="371"/>
      <w:bookmarkEnd w:id="372"/>
    </w:p>
    <w:p w14:paraId="4FCDBF8F" w14:textId="77777777" w:rsidR="00B02F39" w:rsidRPr="00A4272B" w:rsidRDefault="00B02F39" w:rsidP="00B02F39">
      <w:pPr>
        <w:autoSpaceDE w:val="0"/>
        <w:autoSpaceDN w:val="0"/>
        <w:adjustRightInd w:val="0"/>
        <w:rPr>
          <w:sz w:val="18"/>
          <w:szCs w:val="18"/>
          <w:lang w:val="en-US"/>
        </w:rPr>
      </w:pPr>
      <w:r w:rsidRPr="00A4272B">
        <w:rPr>
          <w:sz w:val="18"/>
          <w:szCs w:val="18"/>
          <w:lang w:val="en-US"/>
        </w:rPr>
        <w:t>A number of parameters must be reported alongside the analytical results. These include extraction and cleanup efficiency, as well as blank values; however, results should not be adjusted for these parameters. The uncertainty of the results should also be at least estimated—preferably determined—using data from inter- or intralaboratory comparisons.</w:t>
      </w:r>
    </w:p>
    <w:p w14:paraId="233AA984" w14:textId="77777777" w:rsidR="00B02F39" w:rsidRPr="00A4272B" w:rsidRDefault="00B02F39" w:rsidP="00B02F39">
      <w:pPr>
        <w:autoSpaceDE w:val="0"/>
        <w:autoSpaceDN w:val="0"/>
        <w:adjustRightInd w:val="0"/>
        <w:rPr>
          <w:sz w:val="18"/>
          <w:szCs w:val="18"/>
          <w:lang w:val="en-US"/>
        </w:rPr>
      </w:pPr>
      <w:r w:rsidRPr="00A4272B">
        <w:rPr>
          <w:sz w:val="18"/>
          <w:szCs w:val="18"/>
          <w:lang w:val="en-US"/>
        </w:rPr>
        <w:t>The lowest concentration at which a compound can be detected (limit of detection, LOD) is defined as the signal level equal to three times the noise. The limit of quantification (LOQ), or the lowest concentration that can be quantified, is 3.3 times the LOD. Compounds detected at levels between the LOD and LOQ may be reported as present or at an estimated concentration, but any result below the LOQ must be clearly marked as such. Results below the detection limit should be reported as "&lt;LOD" with an appropriate LOD value.</w:t>
      </w:r>
    </w:p>
    <w:p w14:paraId="1C85FB41" w14:textId="77777777" w:rsidR="00B02F39" w:rsidRPr="00A4272B" w:rsidRDefault="00B02F39" w:rsidP="00B02F39">
      <w:pPr>
        <w:autoSpaceDE w:val="0"/>
        <w:autoSpaceDN w:val="0"/>
        <w:adjustRightInd w:val="0"/>
        <w:rPr>
          <w:sz w:val="18"/>
          <w:szCs w:val="18"/>
          <w:lang w:val="en-US"/>
        </w:rPr>
      </w:pPr>
      <w:r w:rsidRPr="00A4272B">
        <w:rPr>
          <w:sz w:val="18"/>
          <w:szCs w:val="18"/>
          <w:lang w:val="en-US"/>
        </w:rPr>
        <w:t>There are also several statistical techniques for managing censored data when the true detection limit is known, such as using robust statistics like the median, which remains unaffected by values reported below the LOD.</w:t>
      </w:r>
    </w:p>
    <w:p w14:paraId="77FB3D9F" w14:textId="77777777" w:rsidR="00F3536C" w:rsidRPr="00A4272B" w:rsidRDefault="00F3536C" w:rsidP="00366AEE">
      <w:pPr>
        <w:autoSpaceDE w:val="0"/>
        <w:autoSpaceDN w:val="0"/>
        <w:adjustRightInd w:val="0"/>
        <w:rPr>
          <w:color w:val="000000"/>
          <w:sz w:val="22"/>
          <w:szCs w:val="22"/>
          <w:lang w:val="en-US"/>
        </w:rPr>
      </w:pPr>
      <w:r w:rsidRPr="00A4272B">
        <w:rPr>
          <w:noProof/>
          <w:szCs w:val="22"/>
          <w:lang w:val="en-US"/>
        </w:rPr>
        <w:drawing>
          <wp:inline distT="0" distB="0" distL="0" distR="0" wp14:anchorId="2F0AA5F8" wp14:editId="468DDFE1">
            <wp:extent cx="2533650" cy="3076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3650" cy="3076575"/>
                    </a:xfrm>
                    <a:prstGeom prst="rect">
                      <a:avLst/>
                    </a:prstGeom>
                    <a:noFill/>
                    <a:ln>
                      <a:noFill/>
                    </a:ln>
                  </pic:spPr>
                </pic:pic>
              </a:graphicData>
            </a:graphic>
          </wp:inline>
        </w:drawing>
      </w:r>
    </w:p>
    <w:p w14:paraId="7C77FE9C" w14:textId="05E3AE0D" w:rsidR="00F3536C" w:rsidRPr="00A4272B" w:rsidRDefault="00F3536C" w:rsidP="00366AEE">
      <w:pPr>
        <w:autoSpaceDE w:val="0"/>
        <w:autoSpaceDN w:val="0"/>
        <w:adjustRightInd w:val="0"/>
        <w:rPr>
          <w:b/>
          <w:bCs/>
          <w:color w:val="000000"/>
          <w:sz w:val="22"/>
          <w:szCs w:val="22"/>
          <w:lang w:val="en-US"/>
        </w:rPr>
      </w:pPr>
      <w:r w:rsidRPr="00A4272B">
        <w:rPr>
          <w:b/>
          <w:bCs/>
          <w:color w:val="000000"/>
          <w:lang w:val="en-US"/>
        </w:rPr>
        <w:t xml:space="preserve">Figure 5.2: </w:t>
      </w:r>
      <w:r w:rsidR="00B02F39" w:rsidRPr="00A4272B">
        <w:rPr>
          <w:b/>
          <w:bCs/>
          <w:color w:val="000000"/>
          <w:lang w:val="en-US"/>
        </w:rPr>
        <w:t>Example of substitution of concentrations reported as below the LOD by extrapolation from a regression analysis of concentrations within the same annual sample set that are above the LOD.</w:t>
      </w:r>
      <w:r w:rsidR="00B02F39" w:rsidRPr="00A4272B">
        <w:rPr>
          <w:color w:val="000000"/>
          <w:sz w:val="18"/>
          <w:szCs w:val="18"/>
          <w:lang w:val="en-US"/>
        </w:rPr>
        <w:t xml:space="preserve"> (A log-linear regression is fitted to values above the LOD. Circles represent concentrations above the LOD, triangles represent substituted values for concentrations reported below the LOD, and squares represent values set at LOD/2</w:t>
      </w:r>
      <w:r w:rsidRPr="00A4272B">
        <w:rPr>
          <w:color w:val="000000"/>
          <w:sz w:val="18"/>
          <w:szCs w:val="18"/>
          <w:lang w:val="en-US"/>
        </w:rPr>
        <w:t>.</w:t>
      </w:r>
      <w:r w:rsidR="00B02F39" w:rsidRPr="00A4272B">
        <w:rPr>
          <w:color w:val="000000"/>
          <w:sz w:val="18"/>
          <w:szCs w:val="18"/>
          <w:lang w:val="en-US"/>
        </w:rPr>
        <w:t>)</w:t>
      </w:r>
    </w:p>
    <w:p w14:paraId="23986CE9" w14:textId="77777777" w:rsidR="00B02F39" w:rsidRPr="00A4272B" w:rsidRDefault="00B02F39" w:rsidP="00B02F39">
      <w:pPr>
        <w:autoSpaceDE w:val="0"/>
        <w:autoSpaceDN w:val="0"/>
        <w:adjustRightInd w:val="0"/>
        <w:rPr>
          <w:color w:val="000000"/>
          <w:lang w:val="en-US"/>
        </w:rPr>
      </w:pPr>
      <w:r w:rsidRPr="00A4272B">
        <w:rPr>
          <w:color w:val="000000"/>
          <w:lang w:val="en-US"/>
        </w:rPr>
        <w:t>Another approach estimates each unknown concentration using empirical expected order statistics (Helsel and Hirsch, 1995). This method involves fitting a log-linear regression to the ranked detected concentrations and using this relationship to predict the values of those concentrations reported as below the detection limit (see Figure 5.2).</w:t>
      </w:r>
    </w:p>
    <w:p w14:paraId="2996FAF1" w14:textId="77777777" w:rsidR="00B02F39" w:rsidRPr="00A4272B" w:rsidRDefault="00B02F39" w:rsidP="00B02F39">
      <w:pPr>
        <w:autoSpaceDE w:val="0"/>
        <w:autoSpaceDN w:val="0"/>
        <w:adjustRightInd w:val="0"/>
        <w:rPr>
          <w:color w:val="000000"/>
          <w:lang w:val="en-US"/>
        </w:rPr>
      </w:pPr>
      <w:r w:rsidRPr="00A4272B">
        <w:rPr>
          <w:color w:val="000000"/>
          <w:lang w:val="en-US"/>
        </w:rPr>
        <w:t>Results may also be presented within an interval where the lower limit is based on non-quantifiable peaks set to zero, and the upper limit is based on values below the LOQ set as equal to the LOQ.</w:t>
      </w:r>
    </w:p>
    <w:p w14:paraId="4C9352A5" w14:textId="00C252D3" w:rsidR="00F3536C" w:rsidRPr="00A4272B" w:rsidRDefault="00B02F39" w:rsidP="00366AEE">
      <w:pPr>
        <w:autoSpaceDE w:val="0"/>
        <w:autoSpaceDN w:val="0"/>
        <w:adjustRightInd w:val="0"/>
        <w:rPr>
          <w:color w:val="000000"/>
          <w:lang w:val="en-US"/>
        </w:rPr>
      </w:pPr>
      <w:r w:rsidRPr="00A4272B">
        <w:rPr>
          <w:color w:val="000000"/>
          <w:lang w:val="en-US"/>
        </w:rPr>
        <w:t>When analyzing complex mixtures, such as PCBs, there is always a potential risk of co-eluting peaks in gas chromatograms, so known interferences should be clearly reported.</w:t>
      </w:r>
    </w:p>
    <w:p w14:paraId="4AD67190" w14:textId="5E04C799" w:rsidR="00F3536C" w:rsidRPr="00A4272B" w:rsidRDefault="00C931F7" w:rsidP="005546D3">
      <w:pPr>
        <w:pStyle w:val="GMPHeading2"/>
        <w:tabs>
          <w:tab w:val="clear" w:pos="360"/>
          <w:tab w:val="clear" w:pos="450"/>
          <w:tab w:val="clear" w:pos="540"/>
          <w:tab w:val="clear" w:pos="630"/>
        </w:tabs>
        <w:rPr>
          <w:rFonts w:hint="eastAsia"/>
        </w:rPr>
      </w:pPr>
      <w:bookmarkStart w:id="373" w:name="_Toc159831864"/>
      <w:bookmarkStart w:id="374" w:name="_Toc187270515"/>
      <w:r w:rsidRPr="00A4272B">
        <w:t>5.5</w:t>
      </w:r>
      <w:r w:rsidRPr="00A4272B">
        <w:tab/>
      </w:r>
      <w:r w:rsidR="00F3536C" w:rsidRPr="00A4272B">
        <w:t>Organization of quality control</w:t>
      </w:r>
      <w:bookmarkEnd w:id="373"/>
      <w:bookmarkEnd w:id="374"/>
    </w:p>
    <w:p w14:paraId="5FD4DD5D" w14:textId="77777777" w:rsidR="00B02F39" w:rsidRPr="00A4272B" w:rsidRDefault="00B02F39" w:rsidP="00B02F39">
      <w:pPr>
        <w:rPr>
          <w:lang w:val="en-US"/>
        </w:rPr>
      </w:pPr>
      <w:r w:rsidRPr="00A4272B">
        <w:rPr>
          <w:lang w:val="en-US"/>
        </w:rPr>
        <w:t>Quality assurance (QA) at all stages—from sampling through analysis to data reporting—is essential for ensuring comparability of data from multiple sources, both across and within regions. Inadequate data quality not only wastes resources but also risks undermining the effectiveness evaluation.</w:t>
      </w:r>
    </w:p>
    <w:p w14:paraId="043D194C" w14:textId="77777777" w:rsidR="00B02F39" w:rsidRPr="00A4272B" w:rsidRDefault="00B02F39" w:rsidP="00B02F39">
      <w:pPr>
        <w:rPr>
          <w:lang w:val="en-US"/>
        </w:rPr>
      </w:pPr>
      <w:r w:rsidRPr="00A4272B">
        <w:rPr>
          <w:lang w:val="en-US"/>
        </w:rPr>
        <w:t>The level of required data comparability can vary. For instance, adequate comparability across geographic areas is necessary for assessing spatial trends, while data from a single source may still be suitable for tracking temporal trends, provided any bias remains consistent over time.</w:t>
      </w:r>
    </w:p>
    <w:p w14:paraId="37002A4A" w14:textId="77777777" w:rsidR="00B02F39" w:rsidRPr="00A4272B" w:rsidRDefault="00B02F39" w:rsidP="00B02F39">
      <w:pPr>
        <w:rPr>
          <w:lang w:val="en-US"/>
        </w:rPr>
      </w:pPr>
      <w:r w:rsidRPr="00A4272B">
        <w:rPr>
          <w:lang w:val="en-US"/>
        </w:rPr>
        <w:t xml:space="preserve">For laboratory analysis, all laboratories involved in the GMP should implement an appropriate in-house QA/QC regime. This should include control charts based on regular analysis of internal reference materials and periodic analysis of </w:t>
      </w:r>
      <w:r w:rsidRPr="00A4272B">
        <w:rPr>
          <w:lang w:val="en-US"/>
        </w:rPr>
        <w:lastRenderedPageBreak/>
        <w:t>certified reference materials, where available. Providing access to reference materials for laboratories lacking them can also help build analytical capacity.</w:t>
      </w:r>
    </w:p>
    <w:p w14:paraId="1C631CC5" w14:textId="77777777" w:rsidR="00B02F39" w:rsidRPr="00A4272B" w:rsidRDefault="00B02F39" w:rsidP="00B02F39">
      <w:pPr>
        <w:rPr>
          <w:lang w:val="en-US"/>
        </w:rPr>
      </w:pPr>
      <w:r w:rsidRPr="00A4272B">
        <w:rPr>
          <w:lang w:val="en-US"/>
        </w:rPr>
        <w:t xml:space="preserve">For guidance, the </w:t>
      </w:r>
      <w:r w:rsidRPr="00A4272B">
        <w:rPr>
          <w:i/>
          <w:iCs/>
          <w:lang w:val="en-US"/>
        </w:rPr>
        <w:t>European Commission's Guidance Document on Analytical Quality Control and Method Validation Procedures for Pesticide Residues Analysis in Food and Feed</w:t>
      </w:r>
      <w:r w:rsidRPr="00A4272B">
        <w:rPr>
          <w:lang w:val="en-US"/>
        </w:rPr>
        <w:t xml:space="preserve"> (SANTE/11312/2021v2) offers a comprehensive overview of analytical quality control in pesticide analysis. Commission Regulation (EU) 2017/644 sets analytical criteria for controlling dioxins, dioxin-like PCBs, and non-dioxin-like PCBs in certain foodstuffs, including performance characteristics like trueness, intermediate precision, and acceptable differences between upper and lower bound TEQ calculations. This regulation also references a </w:t>
      </w:r>
      <w:r w:rsidRPr="00A4272B">
        <w:rPr>
          <w:i/>
          <w:iCs/>
          <w:lang w:val="en-US"/>
        </w:rPr>
        <w:t>Guidance Document on Measurement Uncertainty for Laboratories Performing PCDD/F and PCB Analysis Using Isotope Dilution Mass Spectrometry</w:t>
      </w:r>
      <w:r w:rsidRPr="00A4272B">
        <w:rPr>
          <w:lang w:val="en-US"/>
        </w:rPr>
        <w:t xml:space="preserve"> and a </w:t>
      </w:r>
      <w:r w:rsidRPr="00A4272B">
        <w:rPr>
          <w:i/>
          <w:iCs/>
          <w:lang w:val="en-US"/>
        </w:rPr>
        <w:t>Guidance Document on the Estimation of LOD and LOQ for Contaminants in Feed and Food</w:t>
      </w:r>
      <w:r w:rsidRPr="00A4272B">
        <w:rPr>
          <w:lang w:val="en-US"/>
        </w:rPr>
        <w:t xml:space="preserve">. Similarly, the </w:t>
      </w:r>
      <w:r w:rsidRPr="00A4272B">
        <w:rPr>
          <w:i/>
          <w:iCs/>
          <w:lang w:val="en-US"/>
        </w:rPr>
        <w:t>Guidance Document on the Analysis of Chlorinated Paraffins</w:t>
      </w:r>
      <w:r w:rsidRPr="00A4272B">
        <w:rPr>
          <w:lang w:val="en-US"/>
        </w:rPr>
        <w:t xml:space="preserve"> (EU, 2021) provides extensive guidance on sample preparation and quantification for food and feed, which can be valuable for other matrices and contaminants as well.</w:t>
      </w:r>
    </w:p>
    <w:p w14:paraId="21537AC6" w14:textId="2B47489D" w:rsidR="00B02F39" w:rsidRPr="00A4272B" w:rsidRDefault="00B02F39" w:rsidP="00B02F39">
      <w:pPr>
        <w:rPr>
          <w:lang w:val="en-US"/>
        </w:rPr>
      </w:pPr>
      <w:r w:rsidRPr="00A4272B">
        <w:rPr>
          <w:lang w:val="en-US"/>
        </w:rPr>
        <w:t xml:space="preserve">A core QA practice is regular participation in national, regional, or global intercomparisons (such as intercalibration exercises, ring-tests, and laboratory performance testing). Some monitoring </w:t>
      </w:r>
      <w:r w:rsidR="002A6D39" w:rsidRPr="00A4272B">
        <w:rPr>
          <w:lang w:val="en-US"/>
        </w:rPr>
        <w:t xml:space="preserve">programmes </w:t>
      </w:r>
      <w:r w:rsidRPr="00A4272B">
        <w:rPr>
          <w:lang w:val="en-US"/>
        </w:rPr>
        <w:t>require such participation. International intercomparisons help evaluate laboratory comparability, although they reflect performance only 'on the day.' Continuous laboratory performance testing schemes provide a more consistent measure of laboratory capabilities. Regular participation in intercalibration studies is recommended for GMP data generators, and national and regional laboratories aiming to develop analytical capacities are encouraged to conduct regular analyses and participate consistently in intercomparisons.</w:t>
      </w:r>
    </w:p>
    <w:p w14:paraId="1A99C32B" w14:textId="77777777" w:rsidR="00B02F39" w:rsidRPr="00A4272B" w:rsidRDefault="00B02F39" w:rsidP="00B02F39">
      <w:pPr>
        <w:rPr>
          <w:lang w:val="en-US"/>
        </w:rPr>
      </w:pPr>
      <w:r w:rsidRPr="00A4272B">
        <w:rPr>
          <w:lang w:val="en-US"/>
        </w:rPr>
        <w:t>Quality assurance and quality control (QA/QC) require special attention under the GMP. QA/QC recommendations are detailed throughout this document. Ensuring the quality of GMP-generated data may involve overarching activities such as:</w:t>
      </w:r>
    </w:p>
    <w:p w14:paraId="17E0F5CE" w14:textId="0AE16E1B" w:rsidR="00B02F39" w:rsidRPr="00A4272B" w:rsidRDefault="00B02F39">
      <w:pPr>
        <w:numPr>
          <w:ilvl w:val="0"/>
          <w:numId w:val="68"/>
        </w:numPr>
        <w:rPr>
          <w:lang w:val="en-US"/>
        </w:rPr>
      </w:pPr>
      <w:r w:rsidRPr="00A4272B">
        <w:rPr>
          <w:lang w:val="en-US"/>
        </w:rPr>
        <w:t>Distributing suitable analytical standards and reference materials;</w:t>
      </w:r>
    </w:p>
    <w:p w14:paraId="2C42A79E" w14:textId="76833149" w:rsidR="00B02F39" w:rsidRPr="00A4272B" w:rsidRDefault="00B02F39">
      <w:pPr>
        <w:numPr>
          <w:ilvl w:val="0"/>
          <w:numId w:val="68"/>
        </w:numPr>
        <w:rPr>
          <w:lang w:val="en-US"/>
        </w:rPr>
      </w:pPr>
      <w:r w:rsidRPr="00A4272B">
        <w:rPr>
          <w:lang w:val="en-US"/>
        </w:rPr>
        <w:t>Requiring participation of laboratories in internationally recognized intercalibration and laboratory performance testing schemes;</w:t>
      </w:r>
    </w:p>
    <w:p w14:paraId="142532B1" w14:textId="75EBA7EC" w:rsidR="00B02F39" w:rsidRPr="00A4272B" w:rsidRDefault="00B02F39">
      <w:pPr>
        <w:numPr>
          <w:ilvl w:val="0"/>
          <w:numId w:val="68"/>
        </w:numPr>
        <w:rPr>
          <w:lang w:val="en-US"/>
        </w:rPr>
      </w:pPr>
      <w:r w:rsidRPr="00A4272B">
        <w:rPr>
          <w:lang w:val="en-US"/>
        </w:rPr>
        <w:t>Organizing new intercalibrations or laboratory performance tests as needed; and</w:t>
      </w:r>
    </w:p>
    <w:p w14:paraId="5F49831C" w14:textId="0E92B299" w:rsidR="00B02F39" w:rsidRPr="00A4272B" w:rsidRDefault="00B02F39">
      <w:pPr>
        <w:numPr>
          <w:ilvl w:val="0"/>
          <w:numId w:val="68"/>
        </w:numPr>
        <w:rPr>
          <w:lang w:val="en-US"/>
        </w:rPr>
      </w:pPr>
      <w:r w:rsidRPr="00A4272B">
        <w:rPr>
          <w:lang w:val="en-US"/>
        </w:rPr>
        <w:t>Producing new or necessary reference materials where required.</w:t>
      </w:r>
    </w:p>
    <w:p w14:paraId="50D80E6C" w14:textId="77777777" w:rsidR="00CE6222" w:rsidRPr="00A4272B" w:rsidRDefault="00CE6222" w:rsidP="00004F7F">
      <w:pPr>
        <w:pStyle w:val="GMPHeading2"/>
        <w:tabs>
          <w:tab w:val="clear" w:pos="360"/>
          <w:tab w:val="clear" w:pos="450"/>
          <w:tab w:val="clear" w:pos="540"/>
          <w:tab w:val="clear" w:pos="630"/>
        </w:tabs>
        <w:rPr>
          <w:rFonts w:hint="eastAsia"/>
        </w:rPr>
      </w:pPr>
      <w:bookmarkStart w:id="375" w:name="_Toc187270516"/>
      <w:r w:rsidRPr="00A4272B">
        <w:t>5.6</w:t>
      </w:r>
      <w:r w:rsidRPr="00A4272B">
        <w:tab/>
        <w:t>Other references</w:t>
      </w:r>
      <w:bookmarkEnd w:id="375"/>
    </w:p>
    <w:p w14:paraId="0BAE2047" w14:textId="79771BF2" w:rsidR="00CE6222" w:rsidRPr="00A4272B" w:rsidRDefault="00CE6222" w:rsidP="00CE6222">
      <w:pPr>
        <w:rPr>
          <w:lang w:val="en-US"/>
        </w:rPr>
      </w:pPr>
      <w:r w:rsidRPr="00A4272B">
        <w:rPr>
          <w:lang w:val="en-US"/>
        </w:rPr>
        <w:t>In addition to the methodologies outlined in this document, several other references provide valuable guidance on analytical methodologies for POPs. These include the Standard Operating Procedures (SOPs) available under UNEP's GMP dashboard,</w:t>
      </w:r>
      <w:r w:rsidRPr="00A4272B">
        <w:rPr>
          <w:rStyle w:val="FootnoteReference"/>
          <w:lang w:val="en-US"/>
        </w:rPr>
        <w:footnoteReference w:id="18"/>
      </w:r>
      <w:r w:rsidRPr="00A4272B">
        <w:rPr>
          <w:lang w:val="en-US"/>
        </w:rPr>
        <w:t xml:space="preserve"> the Guidance on Sampling, Screening, and Analysis of POPs developed by the Stockholm Convention Secretariat,</w:t>
      </w:r>
      <w:r w:rsidRPr="00A4272B">
        <w:rPr>
          <w:rStyle w:val="FootnoteReference"/>
          <w:lang w:val="en-US"/>
        </w:rPr>
        <w:footnoteReference w:id="19"/>
      </w:r>
      <w:r w:rsidRPr="00A4272B">
        <w:rPr>
          <w:lang w:val="en-US"/>
        </w:rPr>
        <w:t xml:space="preserve"> </w:t>
      </w:r>
      <w:r w:rsidR="00D57E89" w:rsidRPr="00A4272B">
        <w:rPr>
          <w:lang w:val="en-US"/>
        </w:rPr>
        <w:t xml:space="preserve">the guidance documents developed by the network of the European Union Reference Laboratory (EURL) for halogenated POPs </w:t>
      </w:r>
      <w:r w:rsidR="00607425" w:rsidRPr="00A4272B">
        <w:rPr>
          <w:lang w:val="en-US"/>
        </w:rPr>
        <w:t>in</w:t>
      </w:r>
      <w:r w:rsidR="00D57E89" w:rsidRPr="00A4272B">
        <w:rPr>
          <w:lang w:val="en-US"/>
        </w:rPr>
        <w:t xml:space="preserve"> Feed and food, </w:t>
      </w:r>
      <w:r w:rsidR="00D57E89" w:rsidRPr="00A4272B">
        <w:rPr>
          <w:rStyle w:val="FootnoteReference"/>
          <w:lang w:val="en-US"/>
        </w:rPr>
        <w:footnoteReference w:id="20"/>
      </w:r>
      <w:r w:rsidR="00D57E89" w:rsidRPr="00A4272B">
        <w:rPr>
          <w:lang w:val="en-US"/>
        </w:rPr>
        <w:t xml:space="preserve"> </w:t>
      </w:r>
      <w:r w:rsidRPr="00A4272B">
        <w:rPr>
          <w:lang w:val="en-US"/>
        </w:rPr>
        <w:t>and resources from the European Union's Partnership for Chemicals Risk Assessment (PARC).</w:t>
      </w:r>
      <w:r w:rsidRPr="00A4272B">
        <w:rPr>
          <w:rStyle w:val="FootnoteReference"/>
          <w:lang w:val="en-US"/>
        </w:rPr>
        <w:footnoteReference w:id="21"/>
      </w:r>
      <w:r w:rsidRPr="00A4272B">
        <w:rPr>
          <w:lang w:val="en-US"/>
        </w:rPr>
        <w:t xml:space="preserve"> Furthermore, the OECD's Working Party on Exposure Assessment and its dedicated subgroup offer additional frameworks and tools relevant to exposure and analytical assessments. These references collectively enhance the capacity for robust, harmonized analysis and monitoring of POPs at regional and global levels.</w:t>
      </w:r>
    </w:p>
    <w:p w14:paraId="049ACAB0" w14:textId="77777777" w:rsidR="00C931F7" w:rsidRPr="00A4272B" w:rsidRDefault="00C931F7" w:rsidP="00B02F39">
      <w:pPr>
        <w:rPr>
          <w:rFonts w:ascii="Times New Roman Bold" w:hAnsi="Times New Roman Bold" w:hint="eastAsia"/>
          <w:kern w:val="32"/>
          <w:sz w:val="32"/>
          <w:szCs w:val="30"/>
          <w:lang w:val="en-US" w:eastAsia="x-none"/>
        </w:rPr>
      </w:pPr>
      <w:r w:rsidRPr="00A4272B">
        <w:rPr>
          <w:lang w:val="en-US"/>
        </w:rPr>
        <w:br w:type="page"/>
      </w:r>
    </w:p>
    <w:p w14:paraId="332227B4" w14:textId="2D855957" w:rsidR="00F3536C" w:rsidRPr="00A4272B" w:rsidRDefault="00C931F7" w:rsidP="002A04E0">
      <w:pPr>
        <w:pStyle w:val="GMPHeading1"/>
        <w:rPr>
          <w:rFonts w:hint="eastAsia"/>
        </w:rPr>
      </w:pPr>
      <w:bookmarkStart w:id="376" w:name="_Toc187270517"/>
      <w:r w:rsidRPr="00A4272B">
        <w:lastRenderedPageBreak/>
        <w:t>6.</w:t>
      </w:r>
      <w:r w:rsidRPr="00A4272B">
        <w:tab/>
      </w:r>
      <w:r w:rsidR="00F3536C" w:rsidRPr="00A4272B">
        <w:t xml:space="preserve">Data </w:t>
      </w:r>
      <w:r w:rsidR="009C7F35" w:rsidRPr="00A4272B">
        <w:t>h</w:t>
      </w:r>
      <w:r w:rsidR="00F3536C" w:rsidRPr="00A4272B">
        <w:t>andling</w:t>
      </w:r>
      <w:bookmarkEnd w:id="376"/>
      <w:r w:rsidR="00F3536C" w:rsidRPr="00A4272B">
        <w:t xml:space="preserve"> </w:t>
      </w:r>
    </w:p>
    <w:p w14:paraId="4059E38E" w14:textId="1BD46F73" w:rsidR="00F3536C" w:rsidRPr="00A4272B" w:rsidRDefault="00C931F7" w:rsidP="007F1523">
      <w:pPr>
        <w:pStyle w:val="GMPHeading2"/>
        <w:tabs>
          <w:tab w:val="clear" w:pos="360"/>
          <w:tab w:val="clear" w:pos="450"/>
          <w:tab w:val="clear" w:pos="540"/>
          <w:tab w:val="clear" w:pos="630"/>
        </w:tabs>
        <w:rPr>
          <w:rFonts w:hint="eastAsia"/>
        </w:rPr>
      </w:pPr>
      <w:bookmarkStart w:id="377" w:name="_Toc187270518"/>
      <w:r w:rsidRPr="00A4272B">
        <w:t>6.1</w:t>
      </w:r>
      <w:r w:rsidRPr="00A4272B">
        <w:tab/>
      </w:r>
      <w:r w:rsidR="00F3536C" w:rsidRPr="00A4272B">
        <w:t>Objectives and priorities</w:t>
      </w:r>
      <w:bookmarkEnd w:id="377"/>
    </w:p>
    <w:p w14:paraId="1D0C5400" w14:textId="77777777" w:rsidR="00055A28" w:rsidRPr="00A4272B" w:rsidRDefault="00055A28" w:rsidP="00055A28">
      <w:pPr>
        <w:rPr>
          <w:color w:val="000000"/>
          <w:u w:color="000000"/>
          <w:lang w:val="en-US"/>
        </w:rPr>
      </w:pPr>
      <w:r w:rsidRPr="00A4272B">
        <w:rPr>
          <w:color w:val="000000"/>
          <w:u w:color="000000"/>
          <w:lang w:val="en-US"/>
        </w:rPr>
        <w:t>Data handling under the Global Monitoring Plan (GMP) is managed by the Regional Organization Groups (ROGs) and the Global Coordination Group (GCG), as specified in Chapter 1 of this guidance. The objective of the GMP is to track changes in POP concentrations over time and identify global trends in POPs monitoring, supporting the effectiveness evaluation of the Stockholm Convention as outlined in Article 16.</w:t>
      </w:r>
    </w:p>
    <w:p w14:paraId="662E12EC" w14:textId="77777777" w:rsidR="00055A28" w:rsidRPr="00A4272B" w:rsidRDefault="00055A28" w:rsidP="00055A28">
      <w:pPr>
        <w:rPr>
          <w:color w:val="000000"/>
          <w:u w:color="000000"/>
          <w:lang w:val="en-US"/>
        </w:rPr>
      </w:pPr>
      <w:r w:rsidRPr="00A4272B">
        <w:rPr>
          <w:color w:val="000000"/>
          <w:u w:color="000000"/>
          <w:lang w:val="en-US"/>
        </w:rPr>
        <w:t>The data generated and provided to the GMP must be comparable, validated, harmonized, and capable of revealing trends in emissions or exposure to contaminants of concern across various regions. To facilitate this, the GMP Data Warehouse (GMP DWH), an electronic platform with a multilevel data repository, analytical tools, and visualization capabilities, has been developed and made available to the ROGs since 2014. The warehouse is continuously updated to meet evolving data requirements and processing needs.</w:t>
      </w:r>
    </w:p>
    <w:p w14:paraId="50D963F8" w14:textId="77777777" w:rsidR="00055A28" w:rsidRPr="00A4272B" w:rsidRDefault="00055A28" w:rsidP="00055A28">
      <w:pPr>
        <w:rPr>
          <w:color w:val="000000"/>
          <w:u w:color="000000"/>
          <w:lang w:val="en-US"/>
        </w:rPr>
      </w:pPr>
      <w:r w:rsidRPr="00A4272B">
        <w:rPr>
          <w:color w:val="000000"/>
          <w:u w:color="000000"/>
          <w:lang w:val="en-US"/>
        </w:rPr>
        <w:t>The primary objective of the GMP DWH is to assist the ROGs by providing a harmonized data management system for compiling, processing, storing, and presenting regional data. The GMP DWH supports data input and management, aiding the ROGs and the GCG in producing regional and global monitoring reports, respectively. The design, functionalities, and processes of the GMP DWH have been discussed and agreed upon by the GCG.</w:t>
      </w:r>
    </w:p>
    <w:p w14:paraId="3E48B7DC" w14:textId="60A2EC95" w:rsidR="00055A28" w:rsidRPr="00A4272B" w:rsidRDefault="00055A28" w:rsidP="00055A28">
      <w:pPr>
        <w:rPr>
          <w:color w:val="000000"/>
          <w:u w:color="000000"/>
          <w:lang w:val="en-US"/>
        </w:rPr>
      </w:pPr>
      <w:r w:rsidRPr="00A4272B">
        <w:rPr>
          <w:color w:val="000000"/>
          <w:u w:color="000000"/>
          <w:lang w:val="en-US"/>
        </w:rPr>
        <w:t>The GMP DWH includes a data management console with interactive online data capture, handling, approval, and visualization module. Through this module, ROGs can access compiled data and metadata to review and develop monitoring reports. Once reports are approved, the datasets are also made available to other researchers for statistical analysis and modeling.</w:t>
      </w:r>
    </w:p>
    <w:p w14:paraId="65C5B4FF" w14:textId="77777777" w:rsidR="00055A28" w:rsidRPr="00A4272B" w:rsidRDefault="00055A28" w:rsidP="00055A28">
      <w:pPr>
        <w:rPr>
          <w:color w:val="000000"/>
          <w:u w:color="000000"/>
          <w:lang w:val="en-US"/>
        </w:rPr>
      </w:pPr>
      <w:r w:rsidRPr="00A4272B">
        <w:rPr>
          <w:color w:val="000000"/>
          <w:u w:color="000000"/>
          <w:lang w:val="en-US"/>
        </w:rPr>
        <w:t>The data evaluation process within the data management console includes harmonization and validation by the ROGs, ensuring comparability of samples, particularly in terms of site type, matrix, sampling method, time span, and sampling frequency. The data warehouse also provides visualization tools and resources for statistical and trend analysis. Further details on statistical principles and methods used in the GMP DWH are provided in Chapter 3.</w:t>
      </w:r>
    </w:p>
    <w:p w14:paraId="20449AEF" w14:textId="2744E4C7" w:rsidR="00F3536C" w:rsidRPr="00A4272B" w:rsidRDefault="00256C7B" w:rsidP="004E72FA">
      <w:pPr>
        <w:pStyle w:val="GMPHeading2"/>
        <w:tabs>
          <w:tab w:val="clear" w:pos="360"/>
          <w:tab w:val="clear" w:pos="450"/>
          <w:tab w:val="clear" w:pos="540"/>
          <w:tab w:val="clear" w:pos="630"/>
        </w:tabs>
        <w:rPr>
          <w:rFonts w:hint="eastAsia"/>
        </w:rPr>
      </w:pPr>
      <w:bookmarkStart w:id="378" w:name="_Toc187270519"/>
      <w:r w:rsidRPr="00A4272B">
        <w:t>6.2</w:t>
      </w:r>
      <w:r w:rsidRPr="00A4272B">
        <w:tab/>
      </w:r>
      <w:r w:rsidR="00F3536C" w:rsidRPr="00A4272B">
        <w:t>Data policy</w:t>
      </w:r>
      <w:bookmarkEnd w:id="378"/>
    </w:p>
    <w:p w14:paraId="02F89506" w14:textId="005733CC" w:rsidR="00F3536C" w:rsidRPr="00A4272B" w:rsidRDefault="001F665D" w:rsidP="00817D9F">
      <w:pPr>
        <w:pStyle w:val="Heading3"/>
        <w:rPr>
          <w:rFonts w:hint="eastAsia"/>
        </w:rPr>
      </w:pPr>
      <w:bookmarkStart w:id="379" w:name="_Toc535584383"/>
      <w:bookmarkStart w:id="380" w:name="_Toc531682"/>
      <w:bookmarkStart w:id="381" w:name="_Toc532202"/>
      <w:bookmarkStart w:id="382" w:name="_Toc532415"/>
      <w:bookmarkStart w:id="383" w:name="_Toc1467908"/>
      <w:bookmarkStart w:id="384" w:name="_Toc1468081"/>
      <w:bookmarkStart w:id="385" w:name="_Toc1483965"/>
      <w:bookmarkStart w:id="386" w:name="_Toc65306509"/>
      <w:bookmarkStart w:id="387" w:name="_Toc187270520"/>
      <w:r w:rsidRPr="00A4272B">
        <w:t>6</w:t>
      </w:r>
      <w:r w:rsidR="00F3536C" w:rsidRPr="00A4272B">
        <w:t>.2.1</w:t>
      </w:r>
      <w:r w:rsidR="00F3536C" w:rsidRPr="00A4272B">
        <w:tab/>
        <w:t>Terminology</w:t>
      </w:r>
      <w:bookmarkEnd w:id="379"/>
      <w:bookmarkEnd w:id="380"/>
      <w:bookmarkEnd w:id="381"/>
      <w:bookmarkEnd w:id="382"/>
      <w:bookmarkEnd w:id="383"/>
      <w:bookmarkEnd w:id="384"/>
      <w:bookmarkEnd w:id="385"/>
      <w:bookmarkEnd w:id="386"/>
      <w:bookmarkEnd w:id="387"/>
      <w:r w:rsidR="00F3536C" w:rsidRPr="00A4272B">
        <w:t xml:space="preserve"> </w:t>
      </w:r>
    </w:p>
    <w:p w14:paraId="10CD0453" w14:textId="77777777" w:rsidR="00055A28" w:rsidRPr="00A4272B" w:rsidRDefault="00055A28" w:rsidP="00055A28">
      <w:pPr>
        <w:pStyle w:val="Text0"/>
        <w:spacing w:after="120"/>
      </w:pPr>
      <w:r w:rsidRPr="00A4272B">
        <w:t>To ensure consistency, it is essential to define some basic terms and concepts used in this document so that they are uniformly understood by all users:</w:t>
      </w:r>
    </w:p>
    <w:p w14:paraId="242BAA10" w14:textId="68C71EF7" w:rsidR="00055A28" w:rsidRPr="00A4272B" w:rsidRDefault="00055A28">
      <w:pPr>
        <w:pStyle w:val="Text0"/>
        <w:numPr>
          <w:ilvl w:val="0"/>
          <w:numId w:val="113"/>
        </w:numPr>
        <w:spacing w:after="120"/>
      </w:pPr>
      <w:r w:rsidRPr="00A4272B">
        <w:rPr>
          <w:b/>
          <w:bCs/>
        </w:rPr>
        <w:t xml:space="preserve">Primary GMP </w:t>
      </w:r>
      <w:r w:rsidR="0028349A" w:rsidRPr="00A4272B">
        <w:rPr>
          <w:b/>
          <w:bCs/>
        </w:rPr>
        <w:t>d</w:t>
      </w:r>
      <w:r w:rsidRPr="00A4272B">
        <w:rPr>
          <w:b/>
          <w:bCs/>
        </w:rPr>
        <w:t>ata</w:t>
      </w:r>
      <w:r w:rsidRPr="00A4272B">
        <w:t xml:space="preserve">: These are the results of POPs concentration measurements in samples of core matrices collected for the GMP or other </w:t>
      </w:r>
      <w:r w:rsidR="002A6D39" w:rsidRPr="00A4272B">
        <w:t xml:space="preserve">programmes </w:t>
      </w:r>
      <w:r w:rsidRPr="00A4272B">
        <w:t>compatible with GMP goals. This includes both POPs measurements in specific samples and related covariates (e.g., biological data) necessary for interpreting the POPs data meaningfully, as well as sampling location and timin</w:t>
      </w:r>
      <w:r w:rsidR="003F50B4" w:rsidRPr="00A4272B">
        <w:t>g;</w:t>
      </w:r>
    </w:p>
    <w:p w14:paraId="3A27ED59" w14:textId="7A4F331B" w:rsidR="00055A28" w:rsidRPr="00A4272B" w:rsidRDefault="00055A28">
      <w:pPr>
        <w:pStyle w:val="Text0"/>
        <w:numPr>
          <w:ilvl w:val="0"/>
          <w:numId w:val="113"/>
        </w:numPr>
        <w:spacing w:after="120"/>
      </w:pPr>
      <w:r w:rsidRPr="00A4272B">
        <w:rPr>
          <w:b/>
          <w:bCs/>
        </w:rPr>
        <w:t xml:space="preserve">GMP </w:t>
      </w:r>
      <w:r w:rsidR="0028349A" w:rsidRPr="00A4272B">
        <w:rPr>
          <w:b/>
          <w:bCs/>
        </w:rPr>
        <w:t>m</w:t>
      </w:r>
      <w:r w:rsidRPr="00A4272B">
        <w:rPr>
          <w:b/>
          <w:bCs/>
        </w:rPr>
        <w:t>etadata</w:t>
      </w:r>
      <w:r w:rsidRPr="00A4272B">
        <w:t xml:space="preserve">: These are supplementary data that describe the primary GMP data, such as information on methodologies used (e.g., for sampling and analysis), the laboratories responsible for specific analyses, or the design and implementation of </w:t>
      </w:r>
      <w:r w:rsidR="002A6D39" w:rsidRPr="00A4272B">
        <w:t xml:space="preserve">programmes </w:t>
      </w:r>
      <w:r w:rsidRPr="00A4272B">
        <w:t xml:space="preserve">contributing to the GMP. Summary information on </w:t>
      </w:r>
      <w:r w:rsidR="00AF4A1F" w:rsidRPr="00A4272B">
        <w:t>programmes,</w:t>
      </w:r>
      <w:r w:rsidRPr="00A4272B">
        <w:t xml:space="preserve"> </w:t>
      </w:r>
      <w:r w:rsidR="00AF4A1F" w:rsidRPr="00A4272B">
        <w:t>monitored chemicals</w:t>
      </w:r>
      <w:r w:rsidRPr="00A4272B">
        <w:t>, data availability, and data structure can be found in the GMP DWH and is available for direct inclusion in regional/global reports</w:t>
      </w:r>
      <w:r w:rsidR="003F50B4" w:rsidRPr="00A4272B">
        <w:t>;</w:t>
      </w:r>
    </w:p>
    <w:p w14:paraId="28C93864" w14:textId="67EC70FF" w:rsidR="00055A28" w:rsidRPr="00A4272B" w:rsidRDefault="00055A28">
      <w:pPr>
        <w:pStyle w:val="Text0"/>
        <w:numPr>
          <w:ilvl w:val="0"/>
          <w:numId w:val="113"/>
        </w:numPr>
        <w:spacing w:after="120"/>
      </w:pPr>
      <w:r w:rsidRPr="00A4272B">
        <w:rPr>
          <w:b/>
          <w:bCs/>
        </w:rPr>
        <w:t xml:space="preserve">Supplementary </w:t>
      </w:r>
      <w:r w:rsidR="0028349A" w:rsidRPr="00A4272B">
        <w:rPr>
          <w:b/>
          <w:bCs/>
        </w:rPr>
        <w:t>d</w:t>
      </w:r>
      <w:r w:rsidRPr="00A4272B">
        <w:rPr>
          <w:b/>
          <w:bCs/>
        </w:rPr>
        <w:t>ata</w:t>
      </w:r>
      <w:r w:rsidRPr="00A4272B">
        <w:t>: Additional data or information accepted for use in the Stockholm Convention evaluation process</w:t>
      </w:r>
      <w:r w:rsidR="00FB5803" w:rsidRPr="00A4272B">
        <w:t xml:space="preserve"> as agreed by the regional organization group</w:t>
      </w:r>
      <w:r w:rsidRPr="00A4272B">
        <w:t>. This may include information and data from published sources (e.g., peer-reviewed literature), modeling results that aid data interpretation, or relevant research findings (e.g., process studies, food-web studies). Supplementary data play a vital role in the Stockholm Convention evaluation, especially in regions where data management infrastructure is still under development.</w:t>
      </w:r>
    </w:p>
    <w:p w14:paraId="4A850BA0" w14:textId="77777777" w:rsidR="00055A28" w:rsidRPr="00A4272B" w:rsidRDefault="00055A28" w:rsidP="00055A28">
      <w:pPr>
        <w:pStyle w:val="Text0"/>
        <w:spacing w:after="120"/>
      </w:pPr>
      <w:r w:rsidRPr="00A4272B">
        <w:t>Primary GMP data (and supplementary data with monitoring results from published sources, for example) can be further divided into:</w:t>
      </w:r>
    </w:p>
    <w:p w14:paraId="6D1BD4E9" w14:textId="31149277" w:rsidR="00055A28" w:rsidRPr="00A4272B" w:rsidRDefault="00055A28">
      <w:pPr>
        <w:pStyle w:val="Text0"/>
        <w:numPr>
          <w:ilvl w:val="0"/>
          <w:numId w:val="114"/>
        </w:numPr>
        <w:spacing w:after="120"/>
      </w:pPr>
      <w:r w:rsidRPr="00A4272B">
        <w:rPr>
          <w:b/>
          <w:bCs/>
        </w:rPr>
        <w:t xml:space="preserve">Un-aggregated </w:t>
      </w:r>
      <w:r w:rsidR="0028349A" w:rsidRPr="00A4272B">
        <w:rPr>
          <w:b/>
          <w:bCs/>
        </w:rPr>
        <w:t>d</w:t>
      </w:r>
      <w:r w:rsidRPr="00A4272B">
        <w:rPr>
          <w:b/>
          <w:bCs/>
        </w:rPr>
        <w:t>ata</w:t>
      </w:r>
      <w:r w:rsidRPr="00A4272B">
        <w:t>: Individual measurement values for samples, such as the concentration of PCB153 in air at a specific location and time</w:t>
      </w:r>
      <w:r w:rsidR="003F50B4" w:rsidRPr="00A4272B">
        <w:t>;</w:t>
      </w:r>
    </w:p>
    <w:p w14:paraId="5FC3DC0A" w14:textId="291D105A" w:rsidR="00055A28" w:rsidRPr="00A4272B" w:rsidRDefault="00055A28">
      <w:pPr>
        <w:pStyle w:val="Text0"/>
        <w:numPr>
          <w:ilvl w:val="0"/>
          <w:numId w:val="114"/>
        </w:numPr>
        <w:spacing w:after="120"/>
      </w:pPr>
      <w:r w:rsidRPr="00A4272B">
        <w:rPr>
          <w:b/>
          <w:bCs/>
        </w:rPr>
        <w:t xml:space="preserve">Aggregated </w:t>
      </w:r>
      <w:r w:rsidR="0028349A" w:rsidRPr="00A4272B">
        <w:rPr>
          <w:b/>
          <w:bCs/>
        </w:rPr>
        <w:t>d</w:t>
      </w:r>
      <w:r w:rsidRPr="00A4272B">
        <w:rPr>
          <w:b/>
          <w:bCs/>
        </w:rPr>
        <w:t>ata</w:t>
      </w:r>
      <w:r w:rsidRPr="00A4272B">
        <w:t>: Statistically summarized data, such as averages that represent multiple individual sample measurements. (Refer to Chapter 3 for details on performing data aggregation.)</w:t>
      </w:r>
    </w:p>
    <w:p w14:paraId="41EE3F9B" w14:textId="1A764E4E" w:rsidR="00F3536C" w:rsidRPr="00A4272B" w:rsidRDefault="001F665D" w:rsidP="00817D9F">
      <w:pPr>
        <w:pStyle w:val="Heading3"/>
        <w:rPr>
          <w:rFonts w:hint="eastAsia"/>
        </w:rPr>
      </w:pPr>
      <w:bookmarkStart w:id="388" w:name="_Toc535584384"/>
      <w:bookmarkStart w:id="389" w:name="_Toc531683"/>
      <w:bookmarkStart w:id="390" w:name="_Toc532203"/>
      <w:bookmarkStart w:id="391" w:name="_Toc532416"/>
      <w:bookmarkStart w:id="392" w:name="_Toc1467909"/>
      <w:bookmarkStart w:id="393" w:name="_Toc1468082"/>
      <w:bookmarkStart w:id="394" w:name="_Toc1483966"/>
      <w:bookmarkStart w:id="395" w:name="_Toc65306510"/>
      <w:bookmarkStart w:id="396" w:name="_Toc187270521"/>
      <w:r w:rsidRPr="00A4272B">
        <w:lastRenderedPageBreak/>
        <w:t>6</w:t>
      </w:r>
      <w:r w:rsidR="00F3536C" w:rsidRPr="00A4272B">
        <w:t>.2.2</w:t>
      </w:r>
      <w:r w:rsidR="00F3536C" w:rsidRPr="00A4272B">
        <w:tab/>
        <w:t>Data policy</w:t>
      </w:r>
      <w:bookmarkEnd w:id="388"/>
      <w:bookmarkEnd w:id="389"/>
      <w:bookmarkEnd w:id="390"/>
      <w:bookmarkEnd w:id="391"/>
      <w:bookmarkEnd w:id="392"/>
      <w:bookmarkEnd w:id="393"/>
      <w:bookmarkEnd w:id="394"/>
      <w:bookmarkEnd w:id="395"/>
      <w:bookmarkEnd w:id="396"/>
    </w:p>
    <w:p w14:paraId="73B34277" w14:textId="77777777" w:rsidR="00055A28" w:rsidRPr="00A4272B" w:rsidRDefault="00055A28" w:rsidP="00055A28">
      <w:pPr>
        <w:rPr>
          <w:color w:val="000000"/>
          <w:u w:color="000000"/>
          <w:lang w:val="en-US"/>
        </w:rPr>
      </w:pPr>
      <w:r w:rsidRPr="00A4272B">
        <w:rPr>
          <w:color w:val="000000"/>
          <w:u w:color="000000"/>
          <w:lang w:val="en-US"/>
        </w:rPr>
        <w:t xml:space="preserve">The GMP data handling process promotes transparency, both in terms of the data itself and its treatment and analysis. Detailed descriptions of data handling and processing are provided in the GMP Data Warehouse (DWH) user guides available at </w:t>
      </w:r>
      <w:hyperlink r:id="rId60" w:tgtFrame="_new" w:history="1">
        <w:r w:rsidRPr="00A4272B">
          <w:rPr>
            <w:rStyle w:val="Hyperlink"/>
            <w:lang w:val="en-US"/>
          </w:rPr>
          <w:t>www.pops-gmp.org</w:t>
        </w:r>
      </w:hyperlink>
      <w:r w:rsidRPr="00A4272B">
        <w:rPr>
          <w:color w:val="000000"/>
          <w:u w:color="000000"/>
          <w:lang w:val="en-US"/>
        </w:rPr>
        <w:t>.</w:t>
      </w:r>
    </w:p>
    <w:p w14:paraId="3F09D4C1" w14:textId="77777777" w:rsidR="00055A28" w:rsidRPr="00A4272B" w:rsidRDefault="00055A28" w:rsidP="00055A28">
      <w:pPr>
        <w:rPr>
          <w:color w:val="000000"/>
          <w:u w:color="000000"/>
          <w:lang w:val="en-US"/>
        </w:rPr>
      </w:pPr>
      <w:r w:rsidRPr="00A4272B">
        <w:rPr>
          <w:color w:val="000000"/>
          <w:u w:color="000000"/>
          <w:lang w:val="en-US"/>
        </w:rPr>
        <w:t>The objective of the GMP data policy is to ensure access to the most relevant and up-to-date information available for evaluations under the Stockholm Convention. All GMP data presented in the data warehouse are endorsed by the respective countries through the data collection process carried out by the Regional Organization Groups (ROGs).</w:t>
      </w:r>
    </w:p>
    <w:p w14:paraId="7733BDF6" w14:textId="77777777" w:rsidR="00055A28" w:rsidRPr="00A4272B" w:rsidRDefault="00055A28" w:rsidP="00055A28">
      <w:pPr>
        <w:rPr>
          <w:color w:val="000000"/>
          <w:u w:color="000000"/>
          <w:lang w:val="en-US"/>
        </w:rPr>
      </w:pPr>
      <w:r w:rsidRPr="00A4272B">
        <w:rPr>
          <w:color w:val="000000"/>
          <w:u w:color="000000"/>
          <w:lang w:val="en-US"/>
        </w:rPr>
        <w:t>When considering public access to data, distinctions are made between un-aggregated data, aggregated data, and high-level metadata, with the sensitivity of public access generally decreasing as follows: un-aggregated data &gt; aggregated data &gt; high-level metadata. High-level metadata are typically not subject to access restrictions.</w:t>
      </w:r>
    </w:p>
    <w:p w14:paraId="170B7C02" w14:textId="77777777" w:rsidR="00055A28" w:rsidRPr="00A4272B" w:rsidRDefault="00055A28" w:rsidP="00055A28">
      <w:pPr>
        <w:rPr>
          <w:color w:val="000000"/>
          <w:u w:color="000000"/>
          <w:lang w:val="en-US"/>
        </w:rPr>
      </w:pPr>
      <w:r w:rsidRPr="00A4272B">
        <w:rPr>
          <w:color w:val="000000"/>
          <w:u w:color="000000"/>
          <w:lang w:val="en-US"/>
        </w:rPr>
        <w:t>Some of the data generated under the GMP will be publicly available shortly after generation. Other data may be subject to restrictions, such as a publication moratorium, to allow scientists responsible for the data to publish their findings before the data is disclosed.</w:t>
      </w:r>
    </w:p>
    <w:p w14:paraId="2EA11319" w14:textId="77777777" w:rsidR="00055A28" w:rsidRPr="00A4272B" w:rsidRDefault="00055A28" w:rsidP="00055A28">
      <w:pPr>
        <w:rPr>
          <w:color w:val="000000"/>
          <w:u w:color="000000"/>
          <w:lang w:val="en-US"/>
        </w:rPr>
      </w:pPr>
      <w:r w:rsidRPr="00A4272B">
        <w:rPr>
          <w:color w:val="000000"/>
          <w:u w:color="000000"/>
          <w:lang w:val="en-US"/>
        </w:rPr>
        <w:t>The use of GMP data for Stockholm Convention evaluations should respect data ownership rights. Therefore, data owners must be fully informed on how their data will be used, which portions will be made public, and the timing of any disclosures, to ensure their consent. Some countries may also require that GMP data concerning their territory receive explicit endorsement. Proper acknowledgment and citation of data sources are essential components of the data policy.</w:t>
      </w:r>
    </w:p>
    <w:p w14:paraId="74666CA9" w14:textId="77777777" w:rsidR="00055A28" w:rsidRPr="00A4272B" w:rsidRDefault="00055A28" w:rsidP="00055A28">
      <w:pPr>
        <w:rPr>
          <w:color w:val="000000"/>
          <w:u w:color="000000"/>
          <w:lang w:val="en-US"/>
        </w:rPr>
      </w:pPr>
      <w:r w:rsidRPr="00A4272B">
        <w:rPr>
          <w:color w:val="000000"/>
          <w:u w:color="000000"/>
          <w:lang w:val="en-US"/>
        </w:rPr>
        <w:t>To facilitate these requirements, all data provided from the GMP should:</w:t>
      </w:r>
    </w:p>
    <w:p w14:paraId="186393A5" w14:textId="6B08282C" w:rsidR="00055A28" w:rsidRPr="00A4272B" w:rsidRDefault="00055A28">
      <w:pPr>
        <w:numPr>
          <w:ilvl w:val="0"/>
          <w:numId w:val="121"/>
        </w:numPr>
        <w:rPr>
          <w:color w:val="000000"/>
          <w:u w:color="000000"/>
          <w:lang w:val="en-US"/>
        </w:rPr>
      </w:pPr>
      <w:r w:rsidRPr="00A4272B">
        <w:rPr>
          <w:color w:val="000000"/>
          <w:u w:color="000000"/>
          <w:lang w:val="en-US"/>
        </w:rPr>
        <w:t>Identify the data owners (who may differ from the data providers)</w:t>
      </w:r>
      <w:r w:rsidR="003F50B4" w:rsidRPr="00A4272B">
        <w:rPr>
          <w:color w:val="000000"/>
          <w:u w:color="000000"/>
          <w:lang w:val="en-US"/>
        </w:rPr>
        <w:t>;</w:t>
      </w:r>
    </w:p>
    <w:p w14:paraId="3F23EB58" w14:textId="403BC890" w:rsidR="00055A28" w:rsidRPr="00A4272B" w:rsidRDefault="00055A28">
      <w:pPr>
        <w:numPr>
          <w:ilvl w:val="0"/>
          <w:numId w:val="121"/>
        </w:numPr>
        <w:rPr>
          <w:color w:val="000000"/>
          <w:u w:color="000000"/>
          <w:lang w:val="en-US"/>
        </w:rPr>
      </w:pPr>
      <w:r w:rsidRPr="00A4272B">
        <w:rPr>
          <w:color w:val="000000"/>
          <w:u w:color="000000"/>
          <w:lang w:val="en-US"/>
        </w:rPr>
        <w:t>Clearly state any conditions or restrictions on public accessibility as specified by the data owners</w:t>
      </w:r>
      <w:r w:rsidR="003F50B4" w:rsidRPr="00A4272B">
        <w:rPr>
          <w:color w:val="000000"/>
          <w:u w:color="000000"/>
          <w:lang w:val="en-US"/>
        </w:rPr>
        <w:t>;</w:t>
      </w:r>
    </w:p>
    <w:p w14:paraId="600876F8" w14:textId="77777777" w:rsidR="00055A28" w:rsidRPr="00A4272B" w:rsidRDefault="00055A28">
      <w:pPr>
        <w:numPr>
          <w:ilvl w:val="0"/>
          <w:numId w:val="121"/>
        </w:numPr>
        <w:rPr>
          <w:color w:val="000000"/>
          <w:u w:color="000000"/>
          <w:lang w:val="en-US"/>
        </w:rPr>
      </w:pPr>
      <w:r w:rsidRPr="00A4272B">
        <w:rPr>
          <w:color w:val="000000"/>
          <w:u w:color="000000"/>
          <w:lang w:val="en-US"/>
        </w:rPr>
        <w:t>Include the required citation or acknowledgment for data use as specified by the data owners.</w:t>
      </w:r>
    </w:p>
    <w:p w14:paraId="1AC08F74" w14:textId="65F5373A" w:rsidR="00F3536C" w:rsidRPr="00A4272B" w:rsidRDefault="00256C7B" w:rsidP="009322C4">
      <w:pPr>
        <w:pStyle w:val="GMPHeading2"/>
        <w:tabs>
          <w:tab w:val="clear" w:pos="360"/>
          <w:tab w:val="clear" w:pos="450"/>
          <w:tab w:val="clear" w:pos="540"/>
          <w:tab w:val="clear" w:pos="630"/>
        </w:tabs>
        <w:rPr>
          <w:rFonts w:hint="eastAsia"/>
        </w:rPr>
      </w:pPr>
      <w:bookmarkStart w:id="397" w:name="_Toc187270522"/>
      <w:r w:rsidRPr="00A4272B">
        <w:t>6.3</w:t>
      </w:r>
      <w:r w:rsidRPr="00A4272B">
        <w:tab/>
      </w:r>
      <w:r w:rsidR="00F3536C" w:rsidRPr="00A4272B">
        <w:t>Data quality</w:t>
      </w:r>
      <w:bookmarkEnd w:id="397"/>
    </w:p>
    <w:p w14:paraId="5E122F1D" w14:textId="77777777" w:rsidR="00055A28" w:rsidRPr="00A4272B" w:rsidRDefault="00055A28" w:rsidP="00055A28">
      <w:pPr>
        <w:pStyle w:val="Text0"/>
        <w:spacing w:after="120"/>
      </w:pPr>
      <w:r w:rsidRPr="00A4272B">
        <w:t>Criteria for evaluating monitoring activities that could contribute to the Stockholm Convention Global Monitoring Plan (GMP) are outlined in Annex I of the Implementation of the Global Monitoring Plan for Effectiveness Evaluation, as amended after the fourth meeting of the Conference of the Parties to the Stockholm Convention (UNEP/POPS/COP.6/INF/31/Add.2). All data submitted for consideration under the GMP are evaluated and validated by the Regional Organization Groups (ROGs) for inclusion in regional monitoring reports.</w:t>
      </w:r>
    </w:p>
    <w:p w14:paraId="7AA64D8A" w14:textId="77777777" w:rsidR="00055A28" w:rsidRPr="00A4272B" w:rsidRDefault="00055A28" w:rsidP="00055A28">
      <w:pPr>
        <w:pStyle w:val="Text0"/>
        <w:spacing w:after="120"/>
      </w:pPr>
      <w:r w:rsidRPr="00A4272B">
        <w:t>Data quality requirements are standardized across all regions, with the aim of building capacity where necessary to meet the criteria outlined in the GMP implementation plan.</w:t>
      </w:r>
    </w:p>
    <w:p w14:paraId="58F99773" w14:textId="77777777" w:rsidR="00055A28" w:rsidRPr="00A4272B" w:rsidRDefault="00055A28" w:rsidP="00055A28">
      <w:pPr>
        <w:pStyle w:val="Text0"/>
        <w:spacing w:after="120"/>
      </w:pPr>
      <w:r w:rsidRPr="00A4272B">
        <w:t>In addition to quality assurance/quality control (QA/QC) measures focused on data accuracy, QA/QC protocols must be in place to maintain quality during the data exchange process. Data compilation and reporting involve several steps where errors could be introduced, including data entry, application of algorithms for data transformation, and data communication. This is particularly relevant when data are transferred beyond those most familiar with it—the individuals responsible for data collection and generation—who are best positioned to detect discrepancies. To ensure data integrity, it is recommended that:</w:t>
      </w:r>
    </w:p>
    <w:p w14:paraId="7A33FB67" w14:textId="374DBB25" w:rsidR="00055A28" w:rsidRPr="00A4272B" w:rsidRDefault="00055A28">
      <w:pPr>
        <w:pStyle w:val="Text0"/>
        <w:numPr>
          <w:ilvl w:val="0"/>
          <w:numId w:val="122"/>
        </w:numPr>
        <w:spacing w:after="120"/>
      </w:pPr>
      <w:r w:rsidRPr="00A4272B">
        <w:rPr>
          <w:b/>
          <w:bCs/>
        </w:rPr>
        <w:t>An appropriate chain of custody</w:t>
      </w:r>
      <w:r w:rsidRPr="00A4272B">
        <w:t xml:space="preserve"> is established from the data originator to the data quality review panel, kept as short as possible</w:t>
      </w:r>
      <w:r w:rsidR="003F50B4" w:rsidRPr="00A4272B">
        <w:t>;</w:t>
      </w:r>
    </w:p>
    <w:p w14:paraId="37409C73" w14:textId="77777777" w:rsidR="00055A28" w:rsidRPr="00A4272B" w:rsidRDefault="00055A28">
      <w:pPr>
        <w:pStyle w:val="Text0"/>
        <w:numPr>
          <w:ilvl w:val="0"/>
          <w:numId w:val="122"/>
        </w:numPr>
        <w:spacing w:after="120"/>
      </w:pPr>
      <w:r w:rsidRPr="00A4272B">
        <w:rPr>
          <w:b/>
          <w:bCs/>
        </w:rPr>
        <w:t>Sign-offs at each transfer point</w:t>
      </w:r>
      <w:r w:rsidRPr="00A4272B">
        <w:t xml:space="preserve"> in the chain are required, with those responsible for delivering and receiving the data confirming correct and accurate transfer. In practice, this includes:</w:t>
      </w:r>
    </w:p>
    <w:p w14:paraId="44BEAF55" w14:textId="00177D1E" w:rsidR="00055A28" w:rsidRPr="00A4272B" w:rsidRDefault="00055A28">
      <w:pPr>
        <w:pStyle w:val="Text0"/>
        <w:numPr>
          <w:ilvl w:val="1"/>
          <w:numId w:val="123"/>
        </w:numPr>
        <w:spacing w:after="120"/>
      </w:pPr>
      <w:r w:rsidRPr="00A4272B">
        <w:t>Data recipients confirming that received data meet the required delivery specifications</w:t>
      </w:r>
      <w:r w:rsidR="003F50B4" w:rsidRPr="00A4272B">
        <w:t>;</w:t>
      </w:r>
    </w:p>
    <w:p w14:paraId="62593BA0" w14:textId="28F6B545" w:rsidR="00055A28" w:rsidRPr="00A4272B" w:rsidRDefault="00055A28">
      <w:pPr>
        <w:pStyle w:val="Text0"/>
        <w:numPr>
          <w:ilvl w:val="1"/>
          <w:numId w:val="123"/>
        </w:numPr>
        <w:spacing w:after="120"/>
      </w:pPr>
      <w:r w:rsidRPr="00A4272B">
        <w:t>Data recipients preparing summary products (maps, summary statistics, etc.) that highlight potential errors or discrepancies introduced during transfer and sharing these with the data originator</w:t>
      </w:r>
      <w:r w:rsidR="003F50B4" w:rsidRPr="00A4272B">
        <w:t>;</w:t>
      </w:r>
    </w:p>
    <w:p w14:paraId="14514A9C" w14:textId="77777777" w:rsidR="00055A28" w:rsidRPr="00A4272B" w:rsidRDefault="00055A28">
      <w:pPr>
        <w:pStyle w:val="Text0"/>
        <w:numPr>
          <w:ilvl w:val="1"/>
          <w:numId w:val="123"/>
        </w:numPr>
        <w:spacing w:after="120"/>
      </w:pPr>
      <w:r w:rsidRPr="00A4272B">
        <w:t>Data originators reviewing these summary products to confirm the accuracy of transferred data.</w:t>
      </w:r>
    </w:p>
    <w:p w14:paraId="0DA80237" w14:textId="77777777" w:rsidR="00055A28" w:rsidRPr="00A4272B" w:rsidRDefault="00055A28" w:rsidP="00055A28">
      <w:pPr>
        <w:pStyle w:val="Text0"/>
        <w:spacing w:after="120"/>
      </w:pPr>
      <w:r w:rsidRPr="00A4272B">
        <w:t>Ultimately, any GMP data evaluations or products should be returned to the data sources for their review and confirmation.</w:t>
      </w:r>
    </w:p>
    <w:p w14:paraId="2DC759D3" w14:textId="45E5F396" w:rsidR="00F3536C" w:rsidRPr="00A4272B" w:rsidRDefault="00256C7B" w:rsidP="00597D77">
      <w:pPr>
        <w:pStyle w:val="GMPHeading2"/>
        <w:tabs>
          <w:tab w:val="clear" w:pos="360"/>
          <w:tab w:val="clear" w:pos="450"/>
          <w:tab w:val="clear" w:pos="540"/>
          <w:tab w:val="clear" w:pos="630"/>
        </w:tabs>
        <w:rPr>
          <w:rFonts w:hint="eastAsia"/>
        </w:rPr>
      </w:pPr>
      <w:bookmarkStart w:id="398" w:name="_Toc187270523"/>
      <w:r w:rsidRPr="00A4272B">
        <w:lastRenderedPageBreak/>
        <w:t>6.4</w:t>
      </w:r>
      <w:r w:rsidRPr="00A4272B">
        <w:tab/>
      </w:r>
      <w:r w:rsidR="00F3536C" w:rsidRPr="00A4272B">
        <w:t>Data flow and storage facilities</w:t>
      </w:r>
      <w:bookmarkEnd w:id="398"/>
    </w:p>
    <w:p w14:paraId="53CDB92F" w14:textId="6180FA40" w:rsidR="00F3536C" w:rsidRPr="00A4272B" w:rsidRDefault="001F665D" w:rsidP="00817D9F">
      <w:pPr>
        <w:pStyle w:val="Heading3"/>
        <w:rPr>
          <w:rFonts w:hint="eastAsia"/>
        </w:rPr>
      </w:pPr>
      <w:bookmarkStart w:id="399" w:name="_Toc535584392"/>
      <w:bookmarkStart w:id="400" w:name="_Toc531686"/>
      <w:bookmarkStart w:id="401" w:name="_Toc532206"/>
      <w:bookmarkStart w:id="402" w:name="_Toc532419"/>
      <w:bookmarkStart w:id="403" w:name="_Toc1467912"/>
      <w:bookmarkStart w:id="404" w:name="_Toc1468085"/>
      <w:bookmarkStart w:id="405" w:name="_Toc1483969"/>
      <w:bookmarkStart w:id="406" w:name="_Toc65306513"/>
      <w:bookmarkStart w:id="407" w:name="_Toc187270524"/>
      <w:r w:rsidRPr="00A4272B">
        <w:t>6</w:t>
      </w:r>
      <w:r w:rsidR="00F3536C" w:rsidRPr="00A4272B">
        <w:t>.4.1</w:t>
      </w:r>
      <w:r w:rsidR="00F3536C" w:rsidRPr="00A4272B">
        <w:tab/>
        <w:t>Scope</w:t>
      </w:r>
      <w:bookmarkEnd w:id="399"/>
      <w:bookmarkEnd w:id="400"/>
      <w:bookmarkEnd w:id="401"/>
      <w:bookmarkEnd w:id="402"/>
      <w:bookmarkEnd w:id="403"/>
      <w:bookmarkEnd w:id="404"/>
      <w:bookmarkEnd w:id="405"/>
      <w:bookmarkEnd w:id="406"/>
      <w:bookmarkEnd w:id="407"/>
    </w:p>
    <w:p w14:paraId="6C2EE00E" w14:textId="77777777" w:rsidR="00055A28" w:rsidRPr="00A4272B" w:rsidRDefault="00055A28" w:rsidP="00055A28">
      <w:pPr>
        <w:pStyle w:val="Text0"/>
        <w:spacing w:after="120"/>
      </w:pPr>
      <w:bookmarkStart w:id="408" w:name="_mhaj"/>
      <w:bookmarkStart w:id="409" w:name="szc72q"/>
      <w:bookmarkEnd w:id="408"/>
      <w:r w:rsidRPr="00A4272B">
        <w:t>The scope of the GMP Data Warehouse (DWH) aligns with the current list of chemicals under the Stockholm Convention, as well as candidate POPs proposed for listing.</w:t>
      </w:r>
    </w:p>
    <w:p w14:paraId="5D565CAA" w14:textId="76AA8E94" w:rsidR="00055A28" w:rsidRPr="00A4272B" w:rsidRDefault="00055A28" w:rsidP="00055A28">
      <w:pPr>
        <w:pStyle w:val="Text0"/>
        <w:spacing w:after="120"/>
      </w:pPr>
      <w:r w:rsidRPr="00A4272B">
        <w:t xml:space="preserve">The primary goal of the Global Monitoring Plan data strategy is to compile un-aggregated primary GMP data from all past GMP data collection campaigns. Un-aggregated data </w:t>
      </w:r>
      <w:r w:rsidR="00CE6222" w:rsidRPr="00A4272B">
        <w:t>allows</w:t>
      </w:r>
      <w:r w:rsidRPr="00A4272B">
        <w:t xml:space="preserve"> for transparent and consistent data processing according to standardized assessment methodologies (see Chapter 3 for details). Retaining un-aggregated primary GMP data offers the greatest flexibility for recalculation or re-analysis if assessment methodologies are modified or enhanced in the future.</w:t>
      </w:r>
    </w:p>
    <w:p w14:paraId="552DCF08" w14:textId="77777777" w:rsidR="00055A28" w:rsidRPr="00A4272B" w:rsidRDefault="00055A28" w:rsidP="00055A28">
      <w:pPr>
        <w:pStyle w:val="Text0"/>
        <w:spacing w:after="120"/>
      </w:pPr>
      <w:r w:rsidRPr="00A4272B">
        <w:t>Aggregated data, by contrast, offer limited potential for re-analysis or for integration with data from other sources. Most data derived from supplementary information will be aggregated, except in cases where un-aggregated data are available from data centers or archives.</w:t>
      </w:r>
    </w:p>
    <w:p w14:paraId="596C479D" w14:textId="53B7C1DA" w:rsidR="00055A28" w:rsidRPr="00A4272B" w:rsidRDefault="00055A28" w:rsidP="00055A28">
      <w:pPr>
        <w:pStyle w:val="Text0"/>
        <w:spacing w:after="120"/>
      </w:pPr>
      <w:r w:rsidRPr="00A4272B">
        <w:t xml:space="preserve">GMP metadata that detail the methodologies used for generating primary GMP data—as well as results from laboratory intercalibration and testing schemes—should accompany the primary GMP data. These metadata should also be submitted to data centers and </w:t>
      </w:r>
      <w:r w:rsidR="00CE6222" w:rsidRPr="00A4272B">
        <w:t>ROGs and</w:t>
      </w:r>
      <w:r w:rsidRPr="00A4272B">
        <w:t xml:space="preserve"> made available in a suitable format for data assessment groups (e.g., ROGs or other relevant experts). Intercalibration or performance testing results are often reported by organizers under undisclosed laboratory codes, so laboratories should report their specific performance results along with their measurement data to ensure data accuracy and accountability.</w:t>
      </w:r>
    </w:p>
    <w:p w14:paraId="1382C792" w14:textId="178DF018" w:rsidR="00F3536C" w:rsidRPr="00A4272B" w:rsidRDefault="001F665D" w:rsidP="00817D9F">
      <w:pPr>
        <w:pStyle w:val="Heading3"/>
        <w:rPr>
          <w:rFonts w:hint="eastAsia"/>
        </w:rPr>
      </w:pPr>
      <w:bookmarkStart w:id="410" w:name="_Toc535584393"/>
      <w:bookmarkStart w:id="411" w:name="_Toc531687"/>
      <w:bookmarkStart w:id="412" w:name="_Toc532207"/>
      <w:bookmarkStart w:id="413" w:name="_Toc532420"/>
      <w:bookmarkStart w:id="414" w:name="_Toc1467913"/>
      <w:bookmarkStart w:id="415" w:name="_Toc1468086"/>
      <w:bookmarkStart w:id="416" w:name="_Toc1483970"/>
      <w:bookmarkStart w:id="417" w:name="_Toc65306514"/>
      <w:bookmarkStart w:id="418" w:name="_Toc187270525"/>
      <w:bookmarkEnd w:id="409"/>
      <w:r w:rsidRPr="00A4272B">
        <w:t>6</w:t>
      </w:r>
      <w:r w:rsidR="00F3536C" w:rsidRPr="00A4272B">
        <w:t>.4.2</w:t>
      </w:r>
      <w:r w:rsidR="00F3536C" w:rsidRPr="00A4272B">
        <w:tab/>
        <w:t>GMP data storage (compilation and archiving)</w:t>
      </w:r>
      <w:bookmarkEnd w:id="410"/>
      <w:bookmarkEnd w:id="411"/>
      <w:bookmarkEnd w:id="412"/>
      <w:bookmarkEnd w:id="413"/>
      <w:bookmarkEnd w:id="414"/>
      <w:bookmarkEnd w:id="415"/>
      <w:bookmarkEnd w:id="416"/>
      <w:bookmarkEnd w:id="417"/>
      <w:bookmarkEnd w:id="418"/>
    </w:p>
    <w:p w14:paraId="5CF1FBAB" w14:textId="5F6C0737" w:rsidR="00055A28" w:rsidRPr="00A4272B" w:rsidRDefault="00055A28" w:rsidP="00055A28">
      <w:pPr>
        <w:pStyle w:val="Text0"/>
        <w:spacing w:after="120"/>
      </w:pPr>
      <w:r w:rsidRPr="00A4272B">
        <w:t xml:space="preserve">The Global Monitoring Plan Data Warehouse (GMP DWH) is an online platform developed for </w:t>
      </w:r>
      <w:r w:rsidR="00AF4A1F" w:rsidRPr="00A4272B">
        <w:t>collection</w:t>
      </w:r>
      <w:r w:rsidRPr="00A4272B">
        <w:t>, management, long-term storage, validation, and visualization of data on persistent organic pollutants (POPs) under the Stockholm Convention.</w:t>
      </w:r>
    </w:p>
    <w:p w14:paraId="4A50AAE5" w14:textId="77777777" w:rsidR="00055A28" w:rsidRPr="00A4272B" w:rsidRDefault="00055A28" w:rsidP="00055A28">
      <w:pPr>
        <w:pStyle w:val="Text0"/>
        <w:spacing w:after="120"/>
      </w:pPr>
      <w:r w:rsidRPr="00A4272B">
        <w:t xml:space="preserve">The GMP DWH and all associated tools are accessible through a web-based user interface. To get started, visit the web portal at </w:t>
      </w:r>
      <w:hyperlink r:id="rId61" w:tgtFrame="_new" w:history="1">
        <w:r w:rsidRPr="00A4272B">
          <w:rPr>
            <w:rStyle w:val="Hyperlink"/>
            <w:lang w:val="en-US"/>
          </w:rPr>
          <w:t>www.pops-gmp.org</w:t>
        </w:r>
      </w:hyperlink>
      <w:r w:rsidRPr="00A4272B">
        <w:t>, where the data warehouse’s user interface is embedded, along with all necessary documentation, user guides, and links to the data warehouse’s modules.</w:t>
      </w:r>
    </w:p>
    <w:p w14:paraId="13B8F533" w14:textId="77777777" w:rsidR="00055A28" w:rsidRPr="00A4272B" w:rsidRDefault="00055A28" w:rsidP="00055A28">
      <w:pPr>
        <w:pStyle w:val="Text0"/>
        <w:spacing w:after="120"/>
      </w:pPr>
      <w:r w:rsidRPr="00A4272B">
        <w:t>The GMP Data Warehouse comprises several key modules:</w:t>
      </w:r>
    </w:p>
    <w:p w14:paraId="39A36F7B" w14:textId="77777777" w:rsidR="00055A28" w:rsidRPr="00A4272B" w:rsidRDefault="00055A28">
      <w:pPr>
        <w:pStyle w:val="Text0"/>
        <w:numPr>
          <w:ilvl w:val="0"/>
          <w:numId w:val="115"/>
        </w:numPr>
        <w:spacing w:after="120"/>
      </w:pPr>
      <w:r w:rsidRPr="00A4272B">
        <w:rPr>
          <w:b/>
          <w:bCs/>
        </w:rPr>
        <w:t>Data Repository:</w:t>
      </w:r>
    </w:p>
    <w:p w14:paraId="4DF8A63D" w14:textId="0E4C29BF" w:rsidR="00055A28" w:rsidRPr="00A4272B" w:rsidRDefault="00055A28">
      <w:pPr>
        <w:pStyle w:val="Text0"/>
        <w:numPr>
          <w:ilvl w:val="1"/>
          <w:numId w:val="124"/>
        </w:numPr>
        <w:spacing w:after="120"/>
      </w:pPr>
      <w:r w:rsidRPr="00A4272B">
        <w:t>Un-aggregated data repository</w:t>
      </w:r>
      <w:r w:rsidR="003F50B4" w:rsidRPr="00A4272B">
        <w:t>;</w:t>
      </w:r>
    </w:p>
    <w:p w14:paraId="570E42DB" w14:textId="1AEA4727" w:rsidR="00055A28" w:rsidRPr="00A4272B" w:rsidRDefault="00055A28">
      <w:pPr>
        <w:pStyle w:val="Text0"/>
        <w:numPr>
          <w:ilvl w:val="1"/>
          <w:numId w:val="124"/>
        </w:numPr>
        <w:spacing w:after="120"/>
      </w:pPr>
      <w:r w:rsidRPr="00A4272B">
        <w:t>Aggregated data repository</w:t>
      </w:r>
      <w:r w:rsidR="003F50B4" w:rsidRPr="00A4272B">
        <w:t>;</w:t>
      </w:r>
    </w:p>
    <w:p w14:paraId="5927BD73" w14:textId="28B85094" w:rsidR="00055A28" w:rsidRPr="00A4272B" w:rsidRDefault="00055A28">
      <w:pPr>
        <w:pStyle w:val="Text0"/>
        <w:numPr>
          <w:ilvl w:val="1"/>
          <w:numId w:val="124"/>
        </w:numPr>
        <w:spacing w:after="120"/>
      </w:pPr>
      <w:r w:rsidRPr="00A4272B">
        <w:t>Data access management</w:t>
      </w:r>
      <w:r w:rsidR="003F50B4" w:rsidRPr="00A4272B">
        <w:t>;</w:t>
      </w:r>
    </w:p>
    <w:p w14:paraId="649BC236" w14:textId="41F7F417" w:rsidR="00055A28" w:rsidRPr="00A4272B" w:rsidRDefault="00055A28">
      <w:pPr>
        <w:pStyle w:val="Text0"/>
        <w:numPr>
          <w:ilvl w:val="1"/>
          <w:numId w:val="124"/>
        </w:numPr>
        <w:spacing w:after="120"/>
      </w:pPr>
      <w:r w:rsidRPr="00A4272B">
        <w:t>Sampling site management</w:t>
      </w:r>
      <w:r w:rsidR="003F50B4" w:rsidRPr="00A4272B">
        <w:t>;</w:t>
      </w:r>
    </w:p>
    <w:p w14:paraId="46767EDD" w14:textId="605BE447" w:rsidR="00055A28" w:rsidRPr="00A4272B" w:rsidRDefault="00055A28">
      <w:pPr>
        <w:pStyle w:val="Text0"/>
        <w:numPr>
          <w:ilvl w:val="1"/>
          <w:numId w:val="124"/>
        </w:numPr>
        <w:spacing w:after="120"/>
      </w:pPr>
      <w:r w:rsidRPr="00A4272B">
        <w:t>Data imports</w:t>
      </w:r>
      <w:r w:rsidR="003F50B4" w:rsidRPr="00A4272B">
        <w:t>;</w:t>
      </w:r>
    </w:p>
    <w:p w14:paraId="4AEDB7AE" w14:textId="40517466" w:rsidR="00055A28" w:rsidRPr="00A4272B" w:rsidRDefault="00055A28">
      <w:pPr>
        <w:pStyle w:val="Text0"/>
        <w:numPr>
          <w:ilvl w:val="1"/>
          <w:numId w:val="124"/>
        </w:numPr>
        <w:spacing w:after="120"/>
      </w:pPr>
      <w:r w:rsidRPr="00A4272B">
        <w:t>Automated validations</w:t>
      </w:r>
      <w:r w:rsidR="003F50B4" w:rsidRPr="00A4272B">
        <w:t>;</w:t>
      </w:r>
    </w:p>
    <w:p w14:paraId="1CAC6E6C" w14:textId="0FEB4985" w:rsidR="00055A28" w:rsidRPr="00A4272B" w:rsidRDefault="00055A28">
      <w:pPr>
        <w:pStyle w:val="Text0"/>
        <w:numPr>
          <w:ilvl w:val="1"/>
          <w:numId w:val="124"/>
        </w:numPr>
        <w:spacing w:after="120"/>
      </w:pPr>
      <w:r w:rsidRPr="00A4272B">
        <w:t>Data management</w:t>
      </w:r>
      <w:r w:rsidR="003F50B4" w:rsidRPr="00A4272B">
        <w:t>;</w:t>
      </w:r>
    </w:p>
    <w:p w14:paraId="1E14E167" w14:textId="50702C56" w:rsidR="00055A28" w:rsidRPr="00A4272B" w:rsidRDefault="00055A28">
      <w:pPr>
        <w:pStyle w:val="Text0"/>
        <w:numPr>
          <w:ilvl w:val="1"/>
          <w:numId w:val="124"/>
        </w:numPr>
        <w:spacing w:after="120"/>
      </w:pPr>
      <w:r w:rsidRPr="00A4272B">
        <w:t>Automated aggregation</w:t>
      </w:r>
      <w:r w:rsidR="003F50B4" w:rsidRPr="00A4272B">
        <w:t>;</w:t>
      </w:r>
    </w:p>
    <w:p w14:paraId="221800CA" w14:textId="77777777" w:rsidR="00055A28" w:rsidRPr="00A4272B" w:rsidRDefault="00055A28">
      <w:pPr>
        <w:pStyle w:val="Text0"/>
        <w:numPr>
          <w:ilvl w:val="0"/>
          <w:numId w:val="115"/>
        </w:numPr>
        <w:spacing w:after="120"/>
      </w:pPr>
      <w:r w:rsidRPr="00A4272B">
        <w:rPr>
          <w:b/>
          <w:bCs/>
        </w:rPr>
        <w:t>Data Visualization:</w:t>
      </w:r>
    </w:p>
    <w:p w14:paraId="0DE30D18" w14:textId="7A61C1D8" w:rsidR="00055A28" w:rsidRPr="00A4272B" w:rsidRDefault="00055A28">
      <w:pPr>
        <w:pStyle w:val="Text0"/>
        <w:numPr>
          <w:ilvl w:val="1"/>
          <w:numId w:val="125"/>
        </w:numPr>
        <w:spacing w:after="120"/>
      </w:pPr>
      <w:r w:rsidRPr="00A4272B">
        <w:t>Spatial distribution</w:t>
      </w:r>
      <w:r w:rsidR="003F50B4" w:rsidRPr="00A4272B">
        <w:t>;</w:t>
      </w:r>
    </w:p>
    <w:p w14:paraId="5A79FEAD" w14:textId="13567D2C" w:rsidR="00055A28" w:rsidRPr="00A4272B" w:rsidRDefault="00055A28">
      <w:pPr>
        <w:pStyle w:val="Text0"/>
        <w:numPr>
          <w:ilvl w:val="1"/>
          <w:numId w:val="125"/>
        </w:numPr>
        <w:spacing w:after="120"/>
      </w:pPr>
      <w:r w:rsidRPr="00A4272B">
        <w:t>Data availability</w:t>
      </w:r>
      <w:r w:rsidR="003F50B4" w:rsidRPr="00A4272B">
        <w:t>;</w:t>
      </w:r>
    </w:p>
    <w:p w14:paraId="152C0C17" w14:textId="780CC4A4" w:rsidR="00055A28" w:rsidRPr="00A4272B" w:rsidRDefault="00055A28">
      <w:pPr>
        <w:pStyle w:val="Text0"/>
        <w:numPr>
          <w:ilvl w:val="1"/>
          <w:numId w:val="125"/>
        </w:numPr>
        <w:spacing w:after="120"/>
      </w:pPr>
      <w:r w:rsidRPr="00A4272B">
        <w:t>Summary statistics</w:t>
      </w:r>
      <w:r w:rsidR="003F50B4" w:rsidRPr="00A4272B">
        <w:t>;</w:t>
      </w:r>
    </w:p>
    <w:p w14:paraId="55D88EA5" w14:textId="1CE0C89B" w:rsidR="00055A28" w:rsidRPr="00A4272B" w:rsidRDefault="00055A28">
      <w:pPr>
        <w:pStyle w:val="Text0"/>
        <w:numPr>
          <w:ilvl w:val="1"/>
          <w:numId w:val="125"/>
        </w:numPr>
        <w:spacing w:after="120"/>
      </w:pPr>
      <w:r w:rsidRPr="00A4272B">
        <w:t>Time series analysis</w:t>
      </w:r>
      <w:r w:rsidR="003F50B4" w:rsidRPr="00A4272B">
        <w:t>;</w:t>
      </w:r>
    </w:p>
    <w:p w14:paraId="6FE523EF" w14:textId="0D51A8AC" w:rsidR="00055A28" w:rsidRPr="00A4272B" w:rsidRDefault="00055A28">
      <w:pPr>
        <w:pStyle w:val="Text0"/>
        <w:numPr>
          <w:ilvl w:val="1"/>
          <w:numId w:val="125"/>
        </w:numPr>
        <w:spacing w:after="120"/>
      </w:pPr>
      <w:r w:rsidRPr="00A4272B">
        <w:t>Data exports/reports</w:t>
      </w:r>
      <w:r w:rsidR="003F50B4" w:rsidRPr="00A4272B">
        <w:t>;</w:t>
      </w:r>
    </w:p>
    <w:p w14:paraId="44A0796A" w14:textId="10C08230" w:rsidR="00055A28" w:rsidRPr="00A4272B" w:rsidRDefault="00055A28">
      <w:pPr>
        <w:pStyle w:val="Text0"/>
        <w:numPr>
          <w:ilvl w:val="0"/>
          <w:numId w:val="115"/>
        </w:numPr>
        <w:spacing w:after="120"/>
      </w:pPr>
      <w:r w:rsidRPr="00A4272B">
        <w:rPr>
          <w:b/>
          <w:bCs/>
        </w:rPr>
        <w:t>Information Web Portal</w:t>
      </w:r>
      <w:r w:rsidR="003F50B4" w:rsidRPr="00A4272B">
        <w:rPr>
          <w:b/>
          <w:bCs/>
        </w:rPr>
        <w:t>;</w:t>
      </w:r>
    </w:p>
    <w:p w14:paraId="5B5EBF6F" w14:textId="444F2BA7" w:rsidR="00055A28" w:rsidRPr="00A4272B" w:rsidRDefault="00055A28">
      <w:pPr>
        <w:pStyle w:val="Text0"/>
        <w:numPr>
          <w:ilvl w:val="0"/>
          <w:numId w:val="115"/>
        </w:numPr>
        <w:spacing w:after="120"/>
      </w:pPr>
      <w:r w:rsidRPr="00A4272B">
        <w:rPr>
          <w:b/>
          <w:bCs/>
        </w:rPr>
        <w:t>Documentation</w:t>
      </w:r>
      <w:r w:rsidR="003F50B4" w:rsidRPr="00A4272B">
        <w:rPr>
          <w:b/>
          <w:bCs/>
        </w:rPr>
        <w:t>.</w:t>
      </w:r>
    </w:p>
    <w:p w14:paraId="5CE2DCB0" w14:textId="77777777" w:rsidR="00055A28" w:rsidRPr="00A4272B" w:rsidRDefault="00055A28" w:rsidP="00055A28">
      <w:pPr>
        <w:pStyle w:val="Text0"/>
        <w:spacing w:after="120"/>
      </w:pPr>
      <w:r w:rsidRPr="00A4272B">
        <w:lastRenderedPageBreak/>
        <w:t>The primary purpose of the GMP DWH is to ensure transparency in data handling, providing accessible data and results that support conclusions on the sufficiency and effectiveness of evaluations. Additionally, the GMP DWH functions as a central data repository, maintaining metadata on GMP implementation across regions, along with information and documentation required for data quality assessments, such as laboratory performance records.</w:t>
      </w:r>
    </w:p>
    <w:p w14:paraId="1A2EE268" w14:textId="77777777" w:rsidR="00F3536C" w:rsidRPr="00A4272B" w:rsidRDefault="00F3536C" w:rsidP="008E02BE">
      <w:pPr>
        <w:pStyle w:val="Text0"/>
        <w:tabs>
          <w:tab w:val="left" w:pos="1247"/>
        </w:tabs>
        <w:spacing w:after="120"/>
        <w:rPr>
          <w:noProof/>
          <w:sz w:val="22"/>
          <w:szCs w:val="22"/>
        </w:rPr>
      </w:pPr>
      <w:r w:rsidRPr="00A4272B">
        <w:rPr>
          <w:noProof/>
        </w:rPr>
        <w:drawing>
          <wp:inline distT="0" distB="0" distL="0" distR="0" wp14:anchorId="4BD28AD6" wp14:editId="43132F28">
            <wp:extent cx="5935133" cy="4359932"/>
            <wp:effectExtent l="0" t="0" r="8890" b="2540"/>
            <wp:docPr id="8" name="Picture 8" descr="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37874" cy="4361946"/>
                    </a:xfrm>
                    <a:prstGeom prst="rect">
                      <a:avLst/>
                    </a:prstGeom>
                  </pic:spPr>
                </pic:pic>
              </a:graphicData>
            </a:graphic>
          </wp:inline>
        </w:drawing>
      </w:r>
    </w:p>
    <w:p w14:paraId="13B082CE" w14:textId="62EA005A" w:rsidR="00F3536C" w:rsidRPr="00A4272B" w:rsidRDefault="00F3536C" w:rsidP="008E02BE">
      <w:pPr>
        <w:pStyle w:val="Text0"/>
        <w:tabs>
          <w:tab w:val="left" w:pos="1247"/>
        </w:tabs>
        <w:spacing w:after="120"/>
        <w:rPr>
          <w:b/>
          <w:noProof/>
        </w:rPr>
      </w:pPr>
      <w:r w:rsidRPr="00A4272B">
        <w:rPr>
          <w:b/>
          <w:noProof/>
        </w:rPr>
        <w:t>Figure 6.1: GMP Data Warehouse scheme</w:t>
      </w:r>
      <w:r w:rsidR="0085333B" w:rsidRPr="00A4272B">
        <w:rPr>
          <w:b/>
          <w:noProof/>
        </w:rPr>
        <w:t>.</w:t>
      </w:r>
    </w:p>
    <w:p w14:paraId="7596D633" w14:textId="35C6865E" w:rsidR="00F3536C" w:rsidRPr="00A4272B" w:rsidRDefault="001F665D" w:rsidP="00817D9F">
      <w:pPr>
        <w:pStyle w:val="Heading3"/>
        <w:rPr>
          <w:rFonts w:hint="eastAsia"/>
        </w:rPr>
      </w:pPr>
      <w:bookmarkStart w:id="419" w:name="_Toc535584394"/>
      <w:bookmarkStart w:id="420" w:name="_Toc531688"/>
      <w:bookmarkStart w:id="421" w:name="_Toc532208"/>
      <w:bookmarkStart w:id="422" w:name="_Toc532421"/>
      <w:bookmarkStart w:id="423" w:name="_Toc1467914"/>
      <w:bookmarkStart w:id="424" w:name="_Toc1468087"/>
      <w:bookmarkStart w:id="425" w:name="_Toc1483971"/>
      <w:bookmarkStart w:id="426" w:name="_Toc65306515"/>
      <w:bookmarkStart w:id="427" w:name="_Toc187270526"/>
      <w:r w:rsidRPr="00A4272B">
        <w:t>6</w:t>
      </w:r>
      <w:r w:rsidR="00F3536C" w:rsidRPr="00A4272B">
        <w:t>.4.3</w:t>
      </w:r>
      <w:r w:rsidR="00F3536C" w:rsidRPr="00A4272B">
        <w:tab/>
        <w:t>Data reporting scheme/flow</w:t>
      </w:r>
      <w:bookmarkEnd w:id="419"/>
      <w:bookmarkEnd w:id="420"/>
      <w:bookmarkEnd w:id="421"/>
      <w:bookmarkEnd w:id="422"/>
      <w:bookmarkEnd w:id="423"/>
      <w:bookmarkEnd w:id="424"/>
      <w:bookmarkEnd w:id="425"/>
      <w:bookmarkEnd w:id="426"/>
      <w:bookmarkEnd w:id="427"/>
    </w:p>
    <w:p w14:paraId="35FEBB59" w14:textId="77777777" w:rsidR="00055A28" w:rsidRPr="00A4272B" w:rsidRDefault="00055A28" w:rsidP="00055A28">
      <w:pPr>
        <w:pStyle w:val="Text0"/>
        <w:spacing w:after="120"/>
      </w:pPr>
      <w:r w:rsidRPr="00A4272B">
        <w:t>The sequence of stages for data collection and reporting is summarized as follows:</w:t>
      </w:r>
    </w:p>
    <w:p w14:paraId="0866094C" w14:textId="7374073C" w:rsidR="00055A28" w:rsidRPr="00A4272B" w:rsidRDefault="00055A28">
      <w:pPr>
        <w:pStyle w:val="Text0"/>
        <w:numPr>
          <w:ilvl w:val="0"/>
          <w:numId w:val="116"/>
        </w:numPr>
        <w:spacing w:after="120"/>
      </w:pPr>
      <w:r w:rsidRPr="00A4272B">
        <w:rPr>
          <w:b/>
          <w:bCs/>
        </w:rPr>
        <w:t xml:space="preserve">Data </w:t>
      </w:r>
      <w:r w:rsidR="00AF4A1F" w:rsidRPr="00A4272B">
        <w:rPr>
          <w:b/>
          <w:bCs/>
        </w:rPr>
        <w:t>p</w:t>
      </w:r>
      <w:r w:rsidRPr="00A4272B">
        <w:rPr>
          <w:b/>
          <w:bCs/>
        </w:rPr>
        <w:t>roviders</w:t>
      </w:r>
      <w:r w:rsidRPr="00A4272B">
        <w:t xml:space="preserve">: Institutions that operate or manage individual monitoring </w:t>
      </w:r>
      <w:r w:rsidR="002A6D39" w:rsidRPr="00A4272B">
        <w:t xml:space="preserve">programmes </w:t>
      </w:r>
      <w:r w:rsidRPr="00A4272B">
        <w:t>(or are the data owners) generate information and submit both un-aggregated and aggregated data, along with metadata, to the GMP Data Warehouse management console. The GMP DWH functions as a regional data center for individual Regional Organization Groups (ROGs)</w:t>
      </w:r>
      <w:r w:rsidR="003F50B4" w:rsidRPr="00A4272B">
        <w:t>;</w:t>
      </w:r>
    </w:p>
    <w:p w14:paraId="4D7F526B" w14:textId="0E61EE43" w:rsidR="00055A28" w:rsidRPr="00A4272B" w:rsidRDefault="00055A28">
      <w:pPr>
        <w:pStyle w:val="Text0"/>
        <w:numPr>
          <w:ilvl w:val="0"/>
          <w:numId w:val="116"/>
        </w:numPr>
        <w:spacing w:after="120"/>
      </w:pPr>
      <w:r w:rsidRPr="00A4272B">
        <w:rPr>
          <w:b/>
          <w:bCs/>
        </w:rPr>
        <w:t xml:space="preserve">Regional </w:t>
      </w:r>
      <w:r w:rsidR="00AF4A1F" w:rsidRPr="00A4272B">
        <w:rPr>
          <w:b/>
          <w:bCs/>
        </w:rPr>
        <w:t>r</w:t>
      </w:r>
      <w:r w:rsidRPr="00A4272B">
        <w:rPr>
          <w:b/>
          <w:bCs/>
        </w:rPr>
        <w:t xml:space="preserve">eport </w:t>
      </w:r>
      <w:r w:rsidR="00AF4A1F" w:rsidRPr="00A4272B">
        <w:rPr>
          <w:b/>
          <w:bCs/>
        </w:rPr>
        <w:t>p</w:t>
      </w:r>
      <w:r w:rsidRPr="00A4272B">
        <w:rPr>
          <w:b/>
          <w:bCs/>
        </w:rPr>
        <w:t>reparation</w:t>
      </w:r>
      <w:r w:rsidRPr="00A4272B">
        <w:t>: Using the GMP DWH’s presentation and communication tools, ROG members compile individual regional reports based on data products derived from the collected data and relevant supplementary sources</w:t>
      </w:r>
      <w:r w:rsidR="003F50B4" w:rsidRPr="00A4272B">
        <w:t>;</w:t>
      </w:r>
    </w:p>
    <w:p w14:paraId="2889BA59" w14:textId="58E0F77A" w:rsidR="00055A28" w:rsidRPr="00A4272B" w:rsidRDefault="00055A28">
      <w:pPr>
        <w:pStyle w:val="Text0"/>
        <w:numPr>
          <w:ilvl w:val="0"/>
          <w:numId w:val="116"/>
        </w:numPr>
        <w:spacing w:after="120"/>
      </w:pPr>
      <w:r w:rsidRPr="00A4272B">
        <w:rPr>
          <w:b/>
          <w:bCs/>
        </w:rPr>
        <w:t xml:space="preserve">Global </w:t>
      </w:r>
      <w:r w:rsidR="00AF4A1F" w:rsidRPr="00A4272B">
        <w:rPr>
          <w:b/>
          <w:bCs/>
        </w:rPr>
        <w:t>r</w:t>
      </w:r>
      <w:r w:rsidRPr="00A4272B">
        <w:rPr>
          <w:b/>
          <w:bCs/>
        </w:rPr>
        <w:t xml:space="preserve">eport </w:t>
      </w:r>
      <w:r w:rsidR="00AF4A1F" w:rsidRPr="00A4272B">
        <w:rPr>
          <w:b/>
          <w:bCs/>
        </w:rPr>
        <w:t>p</w:t>
      </w:r>
      <w:r w:rsidRPr="00A4272B">
        <w:rPr>
          <w:b/>
          <w:bCs/>
        </w:rPr>
        <w:t>reparation</w:t>
      </w:r>
      <w:r w:rsidRPr="00A4272B">
        <w:t>: The Global Coordination Group (GCG) prepares the Global Report, drawing on the outcomes of the regional reports and data services in the GMP DWH, and submits it to the Conference of the Parties (COP) for consideration.</w:t>
      </w:r>
    </w:p>
    <w:p w14:paraId="01B4FB21" w14:textId="3828BA3D" w:rsidR="00F3536C" w:rsidRPr="00A4272B" w:rsidRDefault="001F665D" w:rsidP="00817D9F">
      <w:pPr>
        <w:pStyle w:val="Heading3"/>
        <w:rPr>
          <w:rFonts w:hint="eastAsia"/>
        </w:rPr>
      </w:pPr>
      <w:bookmarkStart w:id="428" w:name="_Toc535584396"/>
      <w:bookmarkStart w:id="429" w:name="_Toc531689"/>
      <w:bookmarkStart w:id="430" w:name="_Toc532209"/>
      <w:bookmarkStart w:id="431" w:name="_Toc532422"/>
      <w:bookmarkStart w:id="432" w:name="_Toc1467915"/>
      <w:bookmarkStart w:id="433" w:name="_Toc1468088"/>
      <w:bookmarkStart w:id="434" w:name="_Toc1483972"/>
      <w:bookmarkStart w:id="435" w:name="_Toc65306516"/>
      <w:bookmarkStart w:id="436" w:name="_Toc187270527"/>
      <w:r w:rsidRPr="00A4272B">
        <w:t>6</w:t>
      </w:r>
      <w:r w:rsidR="00F3536C" w:rsidRPr="00A4272B">
        <w:t>.4.4</w:t>
      </w:r>
      <w:r w:rsidR="00F3536C" w:rsidRPr="00A4272B">
        <w:tab/>
        <w:t>Data continuity</w:t>
      </w:r>
      <w:bookmarkEnd w:id="428"/>
      <w:bookmarkEnd w:id="429"/>
      <w:bookmarkEnd w:id="430"/>
      <w:bookmarkEnd w:id="431"/>
      <w:bookmarkEnd w:id="432"/>
      <w:bookmarkEnd w:id="433"/>
      <w:bookmarkEnd w:id="434"/>
      <w:bookmarkEnd w:id="435"/>
      <w:bookmarkEnd w:id="436"/>
    </w:p>
    <w:p w14:paraId="568A6B86" w14:textId="77777777" w:rsidR="00055A28" w:rsidRPr="00A4272B" w:rsidRDefault="00055A28" w:rsidP="00055A28">
      <w:pPr>
        <w:pStyle w:val="Text0"/>
        <w:tabs>
          <w:tab w:val="left" w:pos="1247"/>
        </w:tabs>
        <w:spacing w:after="120"/>
        <w:rPr>
          <w:u w:val="single" w:color="FFFFFF"/>
        </w:rPr>
      </w:pPr>
      <w:r w:rsidRPr="00A4272B">
        <w:rPr>
          <w:u w:val="single" w:color="FFFFFF"/>
        </w:rPr>
        <w:t>Since the overarching goal of the GMP is to provide comparable, harmonized, and conclusive information on long-term trends in persistent organic pollutant (POP) concentrations in the environment, data must be collected in a way that enables meaningful trend interpretation.</w:t>
      </w:r>
    </w:p>
    <w:p w14:paraId="174BD4DD" w14:textId="77777777" w:rsidR="00055A28" w:rsidRPr="00A4272B" w:rsidRDefault="00055A28" w:rsidP="00055A28">
      <w:pPr>
        <w:pStyle w:val="Text0"/>
        <w:tabs>
          <w:tab w:val="left" w:pos="1247"/>
        </w:tabs>
        <w:spacing w:after="120"/>
        <w:rPr>
          <w:u w:val="single" w:color="FFFFFF"/>
        </w:rPr>
      </w:pPr>
      <w:r w:rsidRPr="00A4272B">
        <w:rPr>
          <w:u w:val="single" w:color="FFFFFF"/>
        </w:rPr>
        <w:lastRenderedPageBreak/>
        <w:t>Before each data collection phase under the Global Monitoring Plan (e.g., in 2014 or 2018), both un-aggregated and aggregated data from previous GMP phases are copied to the GMP Data Warehouse—each phase includes all previously reported GMP data.</w:t>
      </w:r>
    </w:p>
    <w:p w14:paraId="5331EC50" w14:textId="34735C19" w:rsidR="00055A28" w:rsidRPr="00A4272B" w:rsidRDefault="00055A28">
      <w:pPr>
        <w:pStyle w:val="Text0"/>
        <w:numPr>
          <w:ilvl w:val="0"/>
          <w:numId w:val="126"/>
        </w:numPr>
        <w:tabs>
          <w:tab w:val="left" w:pos="1247"/>
        </w:tabs>
        <w:spacing w:after="120"/>
        <w:rPr>
          <w:u w:val="single" w:color="FFFFFF"/>
        </w:rPr>
      </w:pPr>
      <w:r w:rsidRPr="00A4272B">
        <w:rPr>
          <w:u w:val="single" w:color="FFFFFF"/>
        </w:rPr>
        <w:t>Data should be linked to established sampling sites using their unique identifiers whenever possible</w:t>
      </w:r>
      <w:r w:rsidR="003F50B4" w:rsidRPr="00A4272B">
        <w:rPr>
          <w:u w:val="single" w:color="FFFFFF"/>
        </w:rPr>
        <w:t>;</w:t>
      </w:r>
    </w:p>
    <w:p w14:paraId="3D43A496" w14:textId="6024D2FF" w:rsidR="00055A28" w:rsidRPr="00A4272B" w:rsidRDefault="00055A28">
      <w:pPr>
        <w:pStyle w:val="Text0"/>
        <w:numPr>
          <w:ilvl w:val="0"/>
          <w:numId w:val="126"/>
        </w:numPr>
        <w:tabs>
          <w:tab w:val="left" w:pos="1247"/>
        </w:tabs>
        <w:spacing w:after="120"/>
        <w:rPr>
          <w:u w:val="single" w:color="FFFFFF"/>
        </w:rPr>
      </w:pPr>
      <w:r w:rsidRPr="00A4272B">
        <w:rPr>
          <w:u w:val="single" w:color="FFFFFF"/>
        </w:rPr>
        <w:t>Both un-aggregated and aggregated data should build upon previously collected data from earlier GMP phases</w:t>
      </w:r>
      <w:r w:rsidR="003F50B4" w:rsidRPr="00A4272B">
        <w:rPr>
          <w:u w:val="single" w:color="FFFFFF"/>
        </w:rPr>
        <w:t>;</w:t>
      </w:r>
    </w:p>
    <w:p w14:paraId="670DDB11" w14:textId="77777777" w:rsidR="00055A28" w:rsidRPr="00A4272B" w:rsidRDefault="00055A28">
      <w:pPr>
        <w:pStyle w:val="Text0"/>
        <w:numPr>
          <w:ilvl w:val="0"/>
          <w:numId w:val="126"/>
        </w:numPr>
        <w:tabs>
          <w:tab w:val="left" w:pos="1247"/>
        </w:tabs>
        <w:spacing w:after="120"/>
        <w:rPr>
          <w:u w:val="single" w:color="FFFFFF"/>
        </w:rPr>
      </w:pPr>
      <w:r w:rsidRPr="00A4272B">
        <w:rPr>
          <w:u w:val="single" w:color="FFFFFF"/>
        </w:rPr>
        <w:t>The GMP DWH also verifies data continuity during data input.</w:t>
      </w:r>
    </w:p>
    <w:p w14:paraId="50C5FFFE" w14:textId="6B3E40AD" w:rsidR="00F3536C" w:rsidRPr="00A4272B" w:rsidRDefault="001F665D" w:rsidP="00817D9F">
      <w:pPr>
        <w:pStyle w:val="Heading3"/>
        <w:rPr>
          <w:rFonts w:hint="eastAsia"/>
        </w:rPr>
      </w:pPr>
      <w:bookmarkStart w:id="437" w:name="_Toc535584397"/>
      <w:bookmarkStart w:id="438" w:name="_Toc531690"/>
      <w:bookmarkStart w:id="439" w:name="_Toc532210"/>
      <w:bookmarkStart w:id="440" w:name="_Toc532423"/>
      <w:bookmarkStart w:id="441" w:name="_Toc1467916"/>
      <w:bookmarkStart w:id="442" w:name="_Toc1468089"/>
      <w:bookmarkStart w:id="443" w:name="_Toc1483973"/>
      <w:bookmarkStart w:id="444" w:name="_Toc65306517"/>
      <w:bookmarkStart w:id="445" w:name="_Toc187270528"/>
      <w:r w:rsidRPr="00A4272B">
        <w:t>6</w:t>
      </w:r>
      <w:r w:rsidR="00F3536C" w:rsidRPr="00A4272B">
        <w:t>.4.5</w:t>
      </w:r>
      <w:r w:rsidR="0085333B" w:rsidRPr="00A4272B">
        <w:tab/>
      </w:r>
      <w:r w:rsidR="00F3536C" w:rsidRPr="00A4272B">
        <w:t>Standardized data exchange</w:t>
      </w:r>
      <w:bookmarkEnd w:id="437"/>
      <w:bookmarkEnd w:id="438"/>
      <w:bookmarkEnd w:id="439"/>
      <w:bookmarkEnd w:id="440"/>
      <w:bookmarkEnd w:id="441"/>
      <w:bookmarkEnd w:id="442"/>
      <w:bookmarkEnd w:id="443"/>
      <w:bookmarkEnd w:id="444"/>
      <w:bookmarkEnd w:id="445"/>
    </w:p>
    <w:p w14:paraId="316BD73D" w14:textId="1BB3CF2B" w:rsidR="00D568F3" w:rsidRPr="00A4272B" w:rsidRDefault="00D568F3" w:rsidP="00D568F3">
      <w:pPr>
        <w:pStyle w:val="Text0"/>
        <w:spacing w:after="120"/>
        <w:rPr>
          <w:rFonts w:cs="Times New Roman"/>
          <w:u w:val="single" w:color="FFFFFF"/>
        </w:rPr>
      </w:pPr>
      <w:r w:rsidRPr="00A4272B">
        <w:rPr>
          <w:rFonts w:cs="Times New Roman"/>
          <w:u w:val="single" w:color="FFFFFF"/>
        </w:rPr>
        <w:t xml:space="preserve">The GMP Data Warehouse (GMP DWH) is designed to facilitate the reliable collection of data on POPs concentrations across core matrices: air, human milk, human blood, and water. While large, established environmental monitoring </w:t>
      </w:r>
      <w:r w:rsidR="002A6D39" w:rsidRPr="00A4272B">
        <w:rPr>
          <w:rFonts w:cs="Times New Roman"/>
          <w:u w:val="single" w:color="FFFFFF"/>
        </w:rPr>
        <w:t xml:space="preserve">programmes </w:t>
      </w:r>
      <w:r w:rsidRPr="00A4272B">
        <w:rPr>
          <w:rFonts w:cs="Times New Roman"/>
          <w:u w:val="single" w:color="FFFFFF"/>
        </w:rPr>
        <w:t>are preferred as data sources, national projects may also provide valuable POPs data.</w:t>
      </w:r>
    </w:p>
    <w:p w14:paraId="112D0E23" w14:textId="5631566E" w:rsidR="00D568F3" w:rsidRPr="00A4272B" w:rsidRDefault="00D568F3" w:rsidP="00D568F3">
      <w:pPr>
        <w:pStyle w:val="Text0"/>
        <w:spacing w:after="120"/>
        <w:rPr>
          <w:rFonts w:cs="Times New Roman"/>
          <w:u w:val="single" w:color="FFFFFF"/>
        </w:rPr>
      </w:pPr>
      <w:r w:rsidRPr="00A4272B">
        <w:rPr>
          <w:rFonts w:cs="Times New Roman"/>
          <w:u w:val="single" w:color="FFFFFF"/>
        </w:rPr>
        <w:t xml:space="preserve">Due to the varied objectives and methodologies across monitoring </w:t>
      </w:r>
      <w:r w:rsidR="00AF4A1F" w:rsidRPr="00A4272B">
        <w:rPr>
          <w:rFonts w:cs="Times New Roman"/>
          <w:u w:val="single" w:color="FFFFFF"/>
        </w:rPr>
        <w:t>programmes,</w:t>
      </w:r>
      <w:r w:rsidRPr="00A4272B">
        <w:rPr>
          <w:rFonts w:cs="Times New Roman"/>
          <w:u w:val="single" w:color="FFFFFF"/>
        </w:rPr>
        <w:t xml:space="preserve"> data collection within GMP phases presents a high degree of heterogeneity. To address this, the GMP DWH requires a standardized format for data input and has defined processes to ensure consistent data handling and outputs for all POPs data and metadata.</w:t>
      </w:r>
    </w:p>
    <w:p w14:paraId="0884196E" w14:textId="77777777" w:rsidR="00D568F3" w:rsidRPr="00A4272B" w:rsidRDefault="00D568F3" w:rsidP="00D568F3">
      <w:pPr>
        <w:pStyle w:val="Text0"/>
        <w:spacing w:after="120"/>
        <w:rPr>
          <w:rFonts w:cs="Times New Roman"/>
          <w:u w:val="single" w:color="FFFFFF"/>
        </w:rPr>
      </w:pPr>
      <w:r w:rsidRPr="00A4272B">
        <w:rPr>
          <w:rFonts w:cs="Times New Roman"/>
          <w:u w:val="single" w:color="FFFFFF"/>
        </w:rPr>
        <w:t>Data reporting to the GMP DWH is designed to be technically feasible and convenient, minimizing potential errors and ensuring that all reporting requirements are met. Below is an outline of the key components.</w:t>
      </w:r>
    </w:p>
    <w:p w14:paraId="4ED033BA" w14:textId="77777777" w:rsidR="00D568F3" w:rsidRPr="00A4272B" w:rsidRDefault="00D568F3" w:rsidP="00817D9F">
      <w:pPr>
        <w:pStyle w:val="Heading4"/>
        <w:rPr>
          <w:rFonts w:hint="eastAsia"/>
          <w:u w:color="FFFFFF"/>
        </w:rPr>
      </w:pPr>
      <w:r w:rsidRPr="00A4272B">
        <w:rPr>
          <w:u w:color="FFFFFF"/>
        </w:rPr>
        <w:t>Data Structure</w:t>
      </w:r>
    </w:p>
    <w:p w14:paraId="245D4B33" w14:textId="77777777" w:rsidR="00D568F3" w:rsidRPr="00A4272B" w:rsidRDefault="00D568F3" w:rsidP="00D568F3">
      <w:pPr>
        <w:pStyle w:val="Text0"/>
        <w:spacing w:after="120"/>
        <w:rPr>
          <w:rFonts w:cs="Times New Roman"/>
          <w:u w:val="single" w:color="FFFFFF"/>
        </w:rPr>
      </w:pPr>
      <w:r w:rsidRPr="00A4272B">
        <w:rPr>
          <w:rFonts w:cs="Times New Roman"/>
          <w:u w:val="single" w:color="FFFFFF"/>
        </w:rPr>
        <w:t>Each of the four data collection branches (organized by core matrix) contains three core data structures. While these structures share a common foundation, each branch has slight variations based on the matrix's specific nature. The main data structures are:</w:t>
      </w:r>
    </w:p>
    <w:p w14:paraId="2A1ABB32" w14:textId="353AE973" w:rsidR="00D568F3" w:rsidRPr="00A4272B" w:rsidRDefault="00D568F3">
      <w:pPr>
        <w:pStyle w:val="Text0"/>
        <w:numPr>
          <w:ilvl w:val="0"/>
          <w:numId w:val="127"/>
        </w:numPr>
        <w:spacing w:after="120"/>
        <w:rPr>
          <w:rFonts w:cs="Times New Roman"/>
          <w:u w:val="single" w:color="FFFFFF"/>
        </w:rPr>
      </w:pPr>
      <w:r w:rsidRPr="00A4272B">
        <w:rPr>
          <w:rFonts w:cs="Times New Roman"/>
          <w:b/>
          <w:bCs/>
          <w:u w:val="single" w:color="FFFFFF"/>
        </w:rPr>
        <w:t>Site:</w:t>
      </w:r>
      <w:r w:rsidRPr="00A4272B">
        <w:rPr>
          <w:rFonts w:cs="Times New Roman"/>
          <w:u w:val="single" w:color="FFFFFF"/>
        </w:rPr>
        <w:t xml:space="preserve"> Represents the sampling location, which may be a single point or a broader area. Each site has a unique ID and name, defined by geographic coordinates. Additional attributes, which vary by matrix, help categorize each site</w:t>
      </w:r>
      <w:r w:rsidR="003F50B4" w:rsidRPr="00A4272B">
        <w:rPr>
          <w:rFonts w:cs="Times New Roman"/>
          <w:u w:val="single" w:color="FFFFFF"/>
        </w:rPr>
        <w:t>;</w:t>
      </w:r>
    </w:p>
    <w:p w14:paraId="5E8C3492" w14:textId="00353205" w:rsidR="00D568F3" w:rsidRPr="00A4272B" w:rsidRDefault="00D568F3">
      <w:pPr>
        <w:pStyle w:val="Text0"/>
        <w:numPr>
          <w:ilvl w:val="0"/>
          <w:numId w:val="127"/>
        </w:numPr>
        <w:spacing w:after="120"/>
        <w:rPr>
          <w:rFonts w:cs="Times New Roman"/>
          <w:u w:val="single" w:color="FFFFFF"/>
        </w:rPr>
      </w:pPr>
      <w:r w:rsidRPr="00A4272B">
        <w:rPr>
          <w:rFonts w:cs="Times New Roman"/>
          <w:b/>
          <w:bCs/>
          <w:u w:val="single" w:color="FFFFFF"/>
        </w:rPr>
        <w:t xml:space="preserve">Sampling </w:t>
      </w:r>
      <w:r w:rsidR="001166B6" w:rsidRPr="00A4272B">
        <w:rPr>
          <w:rFonts w:cs="Times New Roman"/>
          <w:b/>
          <w:bCs/>
          <w:u w:val="single" w:color="FFFFFF"/>
        </w:rPr>
        <w:t>a</w:t>
      </w:r>
      <w:r w:rsidRPr="00A4272B">
        <w:rPr>
          <w:rFonts w:cs="Times New Roman"/>
          <w:b/>
          <w:bCs/>
          <w:u w:val="single" w:color="FFFFFF"/>
        </w:rPr>
        <w:t>ttributes:</w:t>
      </w:r>
      <w:r w:rsidRPr="00A4272B">
        <w:rPr>
          <w:rFonts w:cs="Times New Roman"/>
          <w:u w:val="single" w:color="FFFFFF"/>
        </w:rPr>
        <w:t xml:space="preserve"> Provide details about the sample (or all samples in the case of aggregated data). Some attributes, such as the year or monitoring </w:t>
      </w:r>
      <w:r w:rsidR="00AF4A1F" w:rsidRPr="00A4272B">
        <w:rPr>
          <w:rFonts w:cs="Times New Roman"/>
          <w:u w:val="single" w:color="FFFFFF"/>
        </w:rPr>
        <w:t>programme,</w:t>
      </w:r>
      <w:r w:rsidRPr="00A4272B">
        <w:rPr>
          <w:rFonts w:cs="Times New Roman"/>
          <w:u w:val="single" w:color="FFFFFF"/>
        </w:rPr>
        <w:t xml:space="preserve"> are consistent across all matrices. Others, like sampling method for air or blood source for human blood, vary by matrix</w:t>
      </w:r>
      <w:r w:rsidR="003F50B4" w:rsidRPr="00A4272B">
        <w:rPr>
          <w:rFonts w:cs="Times New Roman"/>
          <w:u w:val="single" w:color="FFFFFF"/>
        </w:rPr>
        <w:t>;</w:t>
      </w:r>
    </w:p>
    <w:p w14:paraId="43C9A2D9" w14:textId="77777777" w:rsidR="00D568F3" w:rsidRPr="00A4272B" w:rsidRDefault="00D568F3">
      <w:pPr>
        <w:pStyle w:val="Text0"/>
        <w:numPr>
          <w:ilvl w:val="0"/>
          <w:numId w:val="127"/>
        </w:numPr>
        <w:spacing w:after="120"/>
        <w:rPr>
          <w:rFonts w:cs="Times New Roman"/>
          <w:u w:val="single" w:color="FFFFFF"/>
        </w:rPr>
      </w:pPr>
      <w:r w:rsidRPr="00A4272B">
        <w:rPr>
          <w:rFonts w:cs="Times New Roman"/>
          <w:b/>
          <w:bCs/>
          <w:u w:val="single" w:color="FFFFFF"/>
        </w:rPr>
        <w:t>Measurement:</w:t>
      </w:r>
      <w:r w:rsidRPr="00A4272B">
        <w:rPr>
          <w:rFonts w:cs="Times New Roman"/>
          <w:u w:val="single" w:color="FFFFFF"/>
        </w:rPr>
        <w:t xml:space="preserve"> Reflects the concentration of a specific chemical parameter. For aggregated data, measurements are expressed as summary statistics (e.g., minimum, maximum, mean, median, number of values) and include additional information like the method for handling limits of quantification (LOQ). For un-aggregated data, each measurement represents an individual concentration value.</w:t>
      </w:r>
    </w:p>
    <w:p w14:paraId="48582C37" w14:textId="2E9D6C0A" w:rsidR="001166B6" w:rsidRPr="00A4272B" w:rsidRDefault="001166B6" w:rsidP="001166B6">
      <w:pPr>
        <w:pStyle w:val="Text0"/>
        <w:spacing w:after="120"/>
        <w:rPr>
          <w:rFonts w:cs="Times New Roman"/>
          <w:u w:val="single" w:color="FFFFFF"/>
        </w:rPr>
      </w:pPr>
      <w:r w:rsidRPr="00A4272B">
        <w:rPr>
          <w:rFonts w:cs="Times New Roman"/>
          <w:u w:val="single" w:color="FFFFFF"/>
        </w:rPr>
        <w:t xml:space="preserve">Please refer to </w:t>
      </w:r>
      <w:r w:rsidR="0049031C" w:rsidRPr="00A4272B">
        <w:rPr>
          <w:rFonts w:cs="Times New Roman"/>
          <w:u w:val="single" w:color="FFFFFF"/>
        </w:rPr>
        <w:t>a</w:t>
      </w:r>
      <w:r w:rsidRPr="00A4272B">
        <w:rPr>
          <w:rFonts w:cs="Times New Roman"/>
          <w:u w:val="single" w:color="FFFFFF"/>
        </w:rPr>
        <w:t>ppendix VI for the list of codes related to the data structure.</w:t>
      </w:r>
    </w:p>
    <w:p w14:paraId="2979488F" w14:textId="77777777" w:rsidR="00D568F3" w:rsidRPr="00A4272B" w:rsidRDefault="00D568F3" w:rsidP="00817D9F">
      <w:pPr>
        <w:pStyle w:val="Heading4"/>
        <w:rPr>
          <w:rFonts w:hint="eastAsia"/>
          <w:u w:color="FFFFFF"/>
        </w:rPr>
      </w:pPr>
      <w:r w:rsidRPr="00A4272B">
        <w:rPr>
          <w:u w:color="FFFFFF"/>
        </w:rPr>
        <w:t>Data Hierarchy</w:t>
      </w:r>
    </w:p>
    <w:p w14:paraId="2CE154BE" w14:textId="77777777" w:rsidR="00D568F3" w:rsidRPr="00A4272B" w:rsidRDefault="00D568F3" w:rsidP="00D568F3">
      <w:pPr>
        <w:pStyle w:val="Text0"/>
        <w:spacing w:after="120"/>
        <w:rPr>
          <w:rFonts w:cs="Times New Roman"/>
          <w:u w:val="single" w:color="FFFFFF"/>
        </w:rPr>
      </w:pPr>
      <w:r w:rsidRPr="00A4272B">
        <w:rPr>
          <w:rFonts w:cs="Times New Roman"/>
          <w:u w:val="single" w:color="FFFFFF"/>
        </w:rPr>
        <w:t>The data structures for Site, Sampling Attributes, and Measurement create a three-level hierarchy, as shown in the illustrative Figure 6.2 below.</w:t>
      </w:r>
    </w:p>
    <w:p w14:paraId="1C9FF98A" w14:textId="77777777" w:rsidR="00F3536C" w:rsidRPr="00A4272B" w:rsidRDefault="00F3536C" w:rsidP="008E02BE">
      <w:pPr>
        <w:pStyle w:val="Text0"/>
        <w:spacing w:after="120"/>
        <w:rPr>
          <w:rFonts w:ascii="Times" w:eastAsia="Times" w:hAnsi="Times" w:cs="Times"/>
          <w:i/>
          <w:iCs/>
          <w:smallCaps/>
          <w:strike/>
          <w:color w:val="FFFFFF"/>
          <w:sz w:val="22"/>
          <w:szCs w:val="22"/>
          <w:u w:val="single" w:color="FFFFFF"/>
          <w:shd w:val="clear" w:color="auto" w:fill="000000"/>
        </w:rPr>
      </w:pPr>
      <w:r w:rsidRPr="00A4272B">
        <w:rPr>
          <w:noProof/>
        </w:rPr>
        <w:drawing>
          <wp:inline distT="0" distB="0" distL="0" distR="0" wp14:anchorId="1486B34B" wp14:editId="4324574B">
            <wp:extent cx="3726873" cy="2022704"/>
            <wp:effectExtent l="0" t="0" r="6985" b="0"/>
            <wp:docPr id="7" name="Picture 7" descr="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42986" cy="2031449"/>
                    </a:xfrm>
                    <a:prstGeom prst="rect">
                      <a:avLst/>
                    </a:prstGeom>
                  </pic:spPr>
                </pic:pic>
              </a:graphicData>
            </a:graphic>
          </wp:inline>
        </w:drawing>
      </w:r>
    </w:p>
    <w:p w14:paraId="49E86481" w14:textId="2D22458B" w:rsidR="00F3536C" w:rsidRPr="00A4272B" w:rsidRDefault="00F3536C" w:rsidP="008E02BE">
      <w:pPr>
        <w:pStyle w:val="Text0"/>
        <w:spacing w:after="120"/>
        <w:rPr>
          <w:rFonts w:cs="Times New Roman"/>
          <w:b/>
          <w:u w:color="FFFFFF"/>
        </w:rPr>
      </w:pPr>
      <w:r w:rsidRPr="00A4272B">
        <w:rPr>
          <w:rFonts w:cs="Times New Roman"/>
          <w:b/>
          <w:u w:color="FFFFFF"/>
        </w:rPr>
        <w:t>Figure 6.2: Data hierarchy</w:t>
      </w:r>
      <w:r w:rsidR="000F2B0A" w:rsidRPr="00A4272B">
        <w:rPr>
          <w:rFonts w:cs="Times New Roman"/>
          <w:b/>
          <w:u w:color="FFFFFF"/>
        </w:rPr>
        <w:t>.</w:t>
      </w:r>
    </w:p>
    <w:p w14:paraId="7364724A" w14:textId="77777777" w:rsidR="00F3536C" w:rsidRPr="00A4272B" w:rsidRDefault="00F3536C" w:rsidP="0085333B">
      <w:pPr>
        <w:pStyle w:val="Text0"/>
        <w:spacing w:after="120"/>
        <w:jc w:val="both"/>
        <w:rPr>
          <w:rFonts w:ascii="Times" w:eastAsia="Times" w:hAnsi="Times" w:cs="Times"/>
          <w:i/>
          <w:iCs/>
          <w:smallCaps/>
          <w:strike/>
          <w:color w:val="FFFFFF"/>
          <w:sz w:val="22"/>
          <w:szCs w:val="22"/>
          <w:u w:val="single" w:color="FFFFFF"/>
          <w:shd w:val="clear" w:color="auto" w:fill="000000"/>
        </w:rPr>
      </w:pPr>
      <w:r w:rsidRPr="00A4272B">
        <w:rPr>
          <w:noProof/>
        </w:rPr>
        <w:lastRenderedPageBreak/>
        <w:drawing>
          <wp:inline distT="0" distB="0" distL="0" distR="0" wp14:anchorId="1FD9C98F" wp14:editId="2F7C566C">
            <wp:extent cx="6029325" cy="4838698"/>
            <wp:effectExtent l="0" t="0" r="9525" b="0"/>
            <wp:docPr id="6" name="Picture 6" descr="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4">
                      <a:extLst>
                        <a:ext uri="{28A0092B-C50C-407E-A947-70E740481C1C}">
                          <a14:useLocalDpi xmlns:a14="http://schemas.microsoft.com/office/drawing/2010/main" val="0"/>
                        </a:ext>
                      </a:extLst>
                    </a:blip>
                    <a:stretch>
                      <a:fillRect/>
                    </a:stretch>
                  </pic:blipFill>
                  <pic:spPr>
                    <a:xfrm>
                      <a:off x="0" y="0"/>
                      <a:ext cx="6029325" cy="4838698"/>
                    </a:xfrm>
                    <a:prstGeom prst="rect">
                      <a:avLst/>
                    </a:prstGeom>
                  </pic:spPr>
                </pic:pic>
              </a:graphicData>
            </a:graphic>
          </wp:inline>
        </w:drawing>
      </w:r>
    </w:p>
    <w:p w14:paraId="6F818162" w14:textId="3643287A" w:rsidR="00F3536C" w:rsidRPr="00A4272B" w:rsidRDefault="00F3536C" w:rsidP="008E02BE">
      <w:pPr>
        <w:pStyle w:val="Text0"/>
        <w:spacing w:after="120"/>
        <w:rPr>
          <w:rFonts w:eastAsia="Times" w:cs="Times New Roman"/>
          <w:b/>
          <w:u w:color="FFFFFF"/>
        </w:rPr>
      </w:pPr>
      <w:r w:rsidRPr="00A4272B">
        <w:rPr>
          <w:rFonts w:cs="Times New Roman"/>
          <w:b/>
          <w:u w:color="FFFFFF"/>
        </w:rPr>
        <w:t>Figure 6.3: Data import process</w:t>
      </w:r>
      <w:r w:rsidR="000F2B0A" w:rsidRPr="00A4272B">
        <w:rPr>
          <w:rFonts w:cs="Times New Roman"/>
          <w:b/>
          <w:u w:color="FFFFFF"/>
        </w:rPr>
        <w:t>.</w:t>
      </w:r>
    </w:p>
    <w:p w14:paraId="3ADF7007" w14:textId="77777777" w:rsidR="00D568F3" w:rsidRPr="00A4272B" w:rsidRDefault="00D568F3" w:rsidP="00D568F3">
      <w:pPr>
        <w:pStyle w:val="Text0"/>
        <w:spacing w:after="120"/>
        <w:rPr>
          <w:u w:color="FFFFFF"/>
        </w:rPr>
      </w:pPr>
      <w:r w:rsidRPr="00A4272B">
        <w:rPr>
          <w:u w:color="FFFFFF"/>
        </w:rPr>
        <w:t>The data structure encompasses essential parameters that must be reported in a standardized, parametric format. Key elements include geographic identification, reporting time, a “measurement – value – unit” chain, and the definition of any data aggregation (if applicable).</w:t>
      </w:r>
    </w:p>
    <w:p w14:paraId="28D9836D" w14:textId="77777777" w:rsidR="00D568F3" w:rsidRPr="00A4272B" w:rsidRDefault="00D568F3" w:rsidP="00D568F3">
      <w:pPr>
        <w:pStyle w:val="Text0"/>
        <w:spacing w:after="120"/>
        <w:rPr>
          <w:u w:color="FFFFFF"/>
        </w:rPr>
      </w:pPr>
      <w:r w:rsidRPr="00A4272B">
        <w:rPr>
          <w:u w:color="FFFFFF"/>
        </w:rPr>
        <w:t>The following are the critical data fields and required information items in the GMP Data Warehouse (DWH):</w:t>
      </w:r>
    </w:p>
    <w:p w14:paraId="3B93BFFE" w14:textId="4EF8881B" w:rsidR="00D568F3" w:rsidRPr="00A4272B" w:rsidRDefault="00D568F3">
      <w:pPr>
        <w:pStyle w:val="Text0"/>
        <w:numPr>
          <w:ilvl w:val="0"/>
          <w:numId w:val="128"/>
        </w:numPr>
        <w:spacing w:after="120"/>
        <w:rPr>
          <w:u w:color="FFFFFF"/>
        </w:rPr>
      </w:pPr>
      <w:r w:rsidRPr="00A4272B">
        <w:rPr>
          <w:u w:color="FFFFFF"/>
        </w:rPr>
        <w:t>Contact information for the data administrator responsible for data entry</w:t>
      </w:r>
      <w:r w:rsidR="003F50B4" w:rsidRPr="00A4272B">
        <w:rPr>
          <w:u w:color="FFFFFF"/>
        </w:rPr>
        <w:t>;</w:t>
      </w:r>
    </w:p>
    <w:p w14:paraId="2E39537C" w14:textId="2F8A5717" w:rsidR="00D568F3" w:rsidRPr="00A4272B" w:rsidRDefault="00D568F3">
      <w:pPr>
        <w:pStyle w:val="Text0"/>
        <w:numPr>
          <w:ilvl w:val="0"/>
          <w:numId w:val="128"/>
        </w:numPr>
        <w:spacing w:after="120"/>
        <w:rPr>
          <w:u w:color="FFFFFF"/>
        </w:rPr>
      </w:pPr>
      <w:r w:rsidRPr="00A4272B">
        <w:rPr>
          <w:u w:color="FFFFFF"/>
        </w:rPr>
        <w:t>Site identification and indication of any spatial aggregation (if used)</w:t>
      </w:r>
      <w:r w:rsidR="003F50B4" w:rsidRPr="00A4272B">
        <w:rPr>
          <w:u w:color="FFFFFF"/>
        </w:rPr>
        <w:t>;</w:t>
      </w:r>
    </w:p>
    <w:p w14:paraId="68447836" w14:textId="693BDAAE" w:rsidR="00D568F3" w:rsidRPr="00A4272B" w:rsidRDefault="00D568F3">
      <w:pPr>
        <w:pStyle w:val="Text0"/>
        <w:numPr>
          <w:ilvl w:val="0"/>
          <w:numId w:val="128"/>
        </w:numPr>
        <w:spacing w:after="120"/>
        <w:rPr>
          <w:u w:color="FFFFFF"/>
        </w:rPr>
      </w:pPr>
      <w:r w:rsidRPr="00A4272B">
        <w:rPr>
          <w:u w:color="FFFFFF"/>
        </w:rPr>
        <w:t>Predefined set of chemicals reported (POPs)</w:t>
      </w:r>
      <w:r w:rsidR="003F50B4" w:rsidRPr="00A4272B">
        <w:rPr>
          <w:u w:color="FFFFFF"/>
        </w:rPr>
        <w:t>;</w:t>
      </w:r>
    </w:p>
    <w:p w14:paraId="25C4AA5A" w14:textId="3841306F" w:rsidR="00D568F3" w:rsidRPr="00A4272B" w:rsidRDefault="00D568F3">
      <w:pPr>
        <w:pStyle w:val="Text0"/>
        <w:numPr>
          <w:ilvl w:val="0"/>
          <w:numId w:val="128"/>
        </w:numPr>
        <w:spacing w:after="120"/>
        <w:rPr>
          <w:u w:color="FFFFFF"/>
        </w:rPr>
      </w:pPr>
      <w:r w:rsidRPr="00A4272B">
        <w:rPr>
          <w:u w:color="FFFFFF"/>
        </w:rPr>
        <w:t>Description of the analytical method, including the corresponding limit of quantification (LOQ)</w:t>
      </w:r>
      <w:r w:rsidR="003F50B4" w:rsidRPr="00A4272B">
        <w:rPr>
          <w:u w:color="FFFFFF"/>
        </w:rPr>
        <w:t>;</w:t>
      </w:r>
    </w:p>
    <w:p w14:paraId="04C80668" w14:textId="37EBE964" w:rsidR="00D568F3" w:rsidRPr="00A4272B" w:rsidRDefault="00D568F3">
      <w:pPr>
        <w:pStyle w:val="Text0"/>
        <w:numPr>
          <w:ilvl w:val="0"/>
          <w:numId w:val="128"/>
        </w:numPr>
        <w:spacing w:after="120"/>
        <w:rPr>
          <w:u w:color="FFFFFF"/>
        </w:rPr>
      </w:pPr>
      <w:r w:rsidRPr="00A4272B">
        <w:rPr>
          <w:u w:color="FFFFFF"/>
        </w:rPr>
        <w:t>Units for reported concentration values</w:t>
      </w:r>
      <w:r w:rsidR="003F50B4" w:rsidRPr="00A4272B">
        <w:rPr>
          <w:u w:color="FFFFFF"/>
        </w:rPr>
        <w:t>;</w:t>
      </w:r>
    </w:p>
    <w:p w14:paraId="08AA70BE" w14:textId="70657DB6" w:rsidR="00D568F3" w:rsidRPr="00A4272B" w:rsidRDefault="00D568F3">
      <w:pPr>
        <w:pStyle w:val="Text0"/>
        <w:numPr>
          <w:ilvl w:val="0"/>
          <w:numId w:val="128"/>
        </w:numPr>
        <w:spacing w:after="120"/>
        <w:rPr>
          <w:u w:color="FFFFFF"/>
        </w:rPr>
      </w:pPr>
      <w:r w:rsidRPr="00A4272B">
        <w:rPr>
          <w:u w:color="FFFFFF"/>
        </w:rPr>
        <w:t>Description of any time aggregation (if used)</w:t>
      </w:r>
      <w:r w:rsidR="003F50B4" w:rsidRPr="00A4272B">
        <w:rPr>
          <w:u w:color="FFFFFF"/>
        </w:rPr>
        <w:t>;</w:t>
      </w:r>
    </w:p>
    <w:p w14:paraId="0DB3DBE7" w14:textId="48F5E256" w:rsidR="00D568F3" w:rsidRPr="00A4272B" w:rsidRDefault="00D568F3">
      <w:pPr>
        <w:pStyle w:val="Text0"/>
        <w:numPr>
          <w:ilvl w:val="0"/>
          <w:numId w:val="128"/>
        </w:numPr>
        <w:spacing w:after="120"/>
        <w:rPr>
          <w:u w:color="FFFFFF"/>
        </w:rPr>
      </w:pPr>
      <w:r w:rsidRPr="00A4272B">
        <w:rPr>
          <w:u w:color="FFFFFF"/>
        </w:rPr>
        <w:t>Definition of variability (required for aggregated data)</w:t>
      </w:r>
      <w:r w:rsidR="003F50B4" w:rsidRPr="00A4272B">
        <w:rPr>
          <w:u w:color="FFFFFF"/>
        </w:rPr>
        <w:t>.</w:t>
      </w:r>
    </w:p>
    <w:p w14:paraId="4807ED35" w14:textId="77777777" w:rsidR="00D568F3" w:rsidRPr="00A4272B" w:rsidRDefault="00D568F3" w:rsidP="00D568F3">
      <w:pPr>
        <w:pStyle w:val="Text0"/>
        <w:spacing w:after="120"/>
        <w:rPr>
          <w:u w:color="FFFFFF"/>
        </w:rPr>
      </w:pPr>
      <w:r w:rsidRPr="00A4272B">
        <w:rPr>
          <w:u w:color="FFFFFF"/>
        </w:rPr>
        <w:t>The import template for primary un-aggregated data includes a comprehensive list of these parameters, as outlined in Table 6.2 below:</w:t>
      </w:r>
    </w:p>
    <w:p w14:paraId="7323DE3F" w14:textId="6B5876CE" w:rsidR="00D568F3" w:rsidRPr="00A4272B" w:rsidRDefault="00D568F3" w:rsidP="00D568F3">
      <w:pPr>
        <w:pStyle w:val="Text0"/>
        <w:keepNext/>
        <w:spacing w:after="120"/>
        <w:rPr>
          <w:u w:color="FFFFFF"/>
        </w:rPr>
      </w:pPr>
      <w:r w:rsidRPr="00A4272B">
        <w:rPr>
          <w:b/>
          <w:bCs/>
          <w:u w:color="FFFFFF"/>
        </w:rPr>
        <w:lastRenderedPageBreak/>
        <w:t xml:space="preserve">Table 6.2: Parameters in </w:t>
      </w:r>
      <w:r w:rsidR="002A04E0" w:rsidRPr="00A4272B">
        <w:rPr>
          <w:b/>
          <w:bCs/>
          <w:u w:color="FFFFFF"/>
        </w:rPr>
        <w:t>i</w:t>
      </w:r>
      <w:r w:rsidRPr="00A4272B">
        <w:rPr>
          <w:b/>
          <w:bCs/>
          <w:u w:color="FFFFFF"/>
        </w:rPr>
        <w:t xml:space="preserve">mport </w:t>
      </w:r>
      <w:r w:rsidR="002A04E0" w:rsidRPr="00A4272B">
        <w:rPr>
          <w:b/>
          <w:bCs/>
          <w:u w:color="FFFFFF"/>
        </w:rPr>
        <w:t>t</w:t>
      </w:r>
      <w:r w:rsidRPr="00A4272B">
        <w:rPr>
          <w:b/>
          <w:bCs/>
          <w:u w:color="FFFFFF"/>
        </w:rPr>
        <w:t xml:space="preserve">emplates for </w:t>
      </w:r>
      <w:r w:rsidR="002A04E0" w:rsidRPr="00A4272B">
        <w:rPr>
          <w:b/>
          <w:bCs/>
          <w:u w:color="FFFFFF"/>
        </w:rPr>
        <w:t>p</w:t>
      </w:r>
      <w:r w:rsidRPr="00A4272B">
        <w:rPr>
          <w:b/>
          <w:bCs/>
          <w:u w:color="FFFFFF"/>
        </w:rPr>
        <w:t xml:space="preserve">rimary </w:t>
      </w:r>
      <w:r w:rsidR="002A04E0" w:rsidRPr="00A4272B">
        <w:rPr>
          <w:b/>
          <w:bCs/>
          <w:u w:color="FFFFFF"/>
        </w:rPr>
        <w:t>u</w:t>
      </w:r>
      <w:r w:rsidRPr="00A4272B">
        <w:rPr>
          <w:b/>
          <w:bCs/>
          <w:u w:color="FFFFFF"/>
        </w:rPr>
        <w:t>n-</w:t>
      </w:r>
      <w:r w:rsidR="002A04E0" w:rsidRPr="00A4272B">
        <w:rPr>
          <w:b/>
          <w:bCs/>
          <w:u w:color="FFFFFF"/>
        </w:rPr>
        <w:t>q</w:t>
      </w:r>
      <w:r w:rsidRPr="00A4272B">
        <w:rPr>
          <w:b/>
          <w:bCs/>
          <w:u w:color="FFFFFF"/>
        </w:rPr>
        <w:t xml:space="preserve">ggregated </w:t>
      </w:r>
      <w:r w:rsidR="002A04E0" w:rsidRPr="00A4272B">
        <w:rPr>
          <w:b/>
          <w:bCs/>
          <w:u w:color="FFFFFF"/>
        </w:rPr>
        <w:t>d</w:t>
      </w:r>
      <w:r w:rsidRPr="00A4272B">
        <w:rPr>
          <w:b/>
          <w:bCs/>
          <w:u w:color="FFFFFF"/>
        </w:rPr>
        <w:t>ata</w:t>
      </w:r>
      <w:r w:rsidR="002A04E0" w:rsidRPr="00A4272B">
        <w:rPr>
          <w:b/>
          <w:bCs/>
          <w:u w:color="FFFFFF"/>
        </w:rPr>
        <w:t>.</w:t>
      </w:r>
    </w:p>
    <w:tbl>
      <w:tblPr>
        <w:tblW w:w="10350" w:type="dxa"/>
        <w:tblInd w:w="-2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87"/>
        <w:gridCol w:w="2588"/>
        <w:gridCol w:w="2587"/>
        <w:gridCol w:w="2588"/>
      </w:tblGrid>
      <w:tr w:rsidR="00F3536C" w:rsidRPr="00A4272B" w14:paraId="0DB127FD" w14:textId="77777777" w:rsidTr="00385825">
        <w:trPr>
          <w:trHeight w:val="1153"/>
        </w:trPr>
        <w:tc>
          <w:tcPr>
            <w:tcW w:w="2587"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4127453F"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Air</w:t>
            </w:r>
          </w:p>
          <w:p w14:paraId="1A985C07"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Site ID (number)</w:t>
            </w:r>
          </w:p>
          <w:p w14:paraId="620F3FB9"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Site name (text)</w:t>
            </w:r>
          </w:p>
          <w:p w14:paraId="7E0C8B79"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Longitude (number)</w:t>
            </w:r>
          </w:p>
          <w:p w14:paraId="424F970B"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Latitude (number)</w:t>
            </w:r>
          </w:p>
          <w:p w14:paraId="02626508"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Region (code list)</w:t>
            </w:r>
          </w:p>
          <w:p w14:paraId="13CA83D4"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Country (code list)</w:t>
            </w:r>
          </w:p>
          <w:p w14:paraId="5B301E07" w14:textId="77777777" w:rsidR="00F3536C" w:rsidRPr="00A4272B" w:rsidRDefault="00F3536C" w:rsidP="00385825">
            <w:pPr>
              <w:pStyle w:val="Text0"/>
              <w:spacing w:before="40" w:after="40" w:line="264" w:lineRule="auto"/>
              <w:rPr>
                <w:rFonts w:eastAsia="Times" w:cs="Times New Roman"/>
                <w:smallCaps/>
                <w:u w:color="FFFFFF"/>
                <w:lang w:val="fr-CH"/>
              </w:rPr>
            </w:pPr>
            <w:r w:rsidRPr="00A4272B">
              <w:rPr>
                <w:rFonts w:cs="Times New Roman"/>
                <w:smallCaps/>
                <w:u w:color="FFFFFF"/>
                <w:lang w:val="fr-CH"/>
              </w:rPr>
              <w:t>Site type (code list)</w:t>
            </w:r>
          </w:p>
          <w:p w14:paraId="5FFCE45B" w14:textId="77777777" w:rsidR="00F3536C" w:rsidRPr="00A4272B" w:rsidRDefault="00F3536C" w:rsidP="00385825">
            <w:pPr>
              <w:pStyle w:val="Text0"/>
              <w:spacing w:before="40" w:after="40" w:line="264" w:lineRule="auto"/>
              <w:rPr>
                <w:rFonts w:eastAsia="Times" w:cs="Times New Roman"/>
                <w:smallCaps/>
                <w:u w:color="FFFFFF"/>
                <w:lang w:val="fr-CH"/>
              </w:rPr>
            </w:pPr>
            <w:r w:rsidRPr="00A4272B">
              <w:rPr>
                <w:rFonts w:cs="Times New Roman"/>
                <w:smallCaps/>
                <w:u w:color="FFFFFF"/>
                <w:lang w:val="fr-CH"/>
              </w:rPr>
              <w:t>Potential source type (code list)</w:t>
            </w:r>
          </w:p>
          <w:p w14:paraId="03D173E5"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Year (number)</w:t>
            </w:r>
          </w:p>
          <w:p w14:paraId="1557BCD6"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Start of sampling (number)</w:t>
            </w:r>
          </w:p>
          <w:p w14:paraId="61F40A66"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End of sampling (number)</w:t>
            </w:r>
          </w:p>
          <w:p w14:paraId="6A3FCEC8"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Type of sampling (code list)</w:t>
            </w:r>
          </w:p>
          <w:p w14:paraId="2CECC5CB"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Type of passive sampling (code list)</w:t>
            </w:r>
          </w:p>
          <w:p w14:paraId="126CCF3F" w14:textId="77777777" w:rsidR="00F3536C" w:rsidRPr="00A4272B" w:rsidRDefault="00F3536C" w:rsidP="00385825">
            <w:pPr>
              <w:pStyle w:val="Text0"/>
              <w:spacing w:before="40" w:after="40" w:line="264" w:lineRule="auto"/>
              <w:rPr>
                <w:rFonts w:eastAsia="Times" w:cs="Times New Roman"/>
                <w:smallCaps/>
                <w:u w:color="FFFFFF"/>
                <w:lang w:val="fr-CH"/>
              </w:rPr>
            </w:pPr>
            <w:r w:rsidRPr="00A4272B">
              <w:rPr>
                <w:rFonts w:cs="Times New Roman"/>
                <w:smallCaps/>
                <w:u w:color="FFFFFF"/>
                <w:lang w:val="fr-CH"/>
              </w:rPr>
              <w:t>Recalculation (code list)</w:t>
            </w:r>
          </w:p>
          <w:p w14:paraId="735756D6" w14:textId="77777777" w:rsidR="00F3536C" w:rsidRPr="00A4272B" w:rsidRDefault="00F3536C" w:rsidP="00385825">
            <w:pPr>
              <w:pStyle w:val="Text0"/>
              <w:spacing w:before="40" w:after="40" w:line="264" w:lineRule="auto"/>
              <w:rPr>
                <w:rFonts w:eastAsia="Times" w:cs="Times New Roman"/>
                <w:smallCaps/>
                <w:u w:color="FFFFFF"/>
                <w:lang w:val="fr-CH"/>
              </w:rPr>
            </w:pPr>
            <w:r w:rsidRPr="00A4272B">
              <w:rPr>
                <w:rFonts w:cs="Times New Roman"/>
                <w:smallCaps/>
                <w:u w:color="FFFFFF"/>
                <w:lang w:val="fr-CH"/>
              </w:rPr>
              <w:t>Calibration description (text)</w:t>
            </w:r>
          </w:p>
          <w:p w14:paraId="78AB3D5C"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Monitoring programme/network (text)</w:t>
            </w:r>
          </w:p>
          <w:p w14:paraId="5C5DE8BB"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Chemical – group (code list)</w:t>
            </w:r>
          </w:p>
          <w:p w14:paraId="19B646F2"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Parameter (code list)</w:t>
            </w:r>
          </w:p>
          <w:p w14:paraId="00CC72CE"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Method (code list)</w:t>
            </w:r>
          </w:p>
          <w:p w14:paraId="3E5D07DA"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LOQ (number)</w:t>
            </w:r>
          </w:p>
          <w:p w14:paraId="120306D3"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No. of values (number)</w:t>
            </w:r>
            <w:r w:rsidRPr="00A4272B">
              <w:rPr>
                <w:rFonts w:cs="Times New Roman"/>
                <w:smallCaps/>
                <w:u w:color="FFFFFF"/>
                <w:vertAlign w:val="superscript"/>
              </w:rPr>
              <w:t>A</w:t>
            </w:r>
          </w:p>
          <w:p w14:paraId="19297651"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No. under LoQ (number)</w:t>
            </w:r>
            <w:r w:rsidRPr="00A4272B">
              <w:rPr>
                <w:rFonts w:cs="Times New Roman"/>
                <w:smallCaps/>
                <w:u w:color="FFFFFF"/>
                <w:vertAlign w:val="superscript"/>
              </w:rPr>
              <w:t>A</w:t>
            </w:r>
          </w:p>
          <w:p w14:paraId="66ACB49A"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Value (number)</w:t>
            </w:r>
            <w:r w:rsidRPr="00A4272B">
              <w:rPr>
                <w:rFonts w:cs="Times New Roman"/>
                <w:smallCaps/>
                <w:u w:color="FFFFFF"/>
                <w:vertAlign w:val="superscript"/>
              </w:rPr>
              <w:t>P</w:t>
            </w:r>
          </w:p>
          <w:p w14:paraId="0A99541C"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Value (mean) (number)</w:t>
            </w:r>
            <w:r w:rsidRPr="00A4272B">
              <w:rPr>
                <w:rFonts w:cs="Times New Roman"/>
                <w:smallCaps/>
                <w:u w:color="FFFFFF"/>
                <w:vertAlign w:val="superscript"/>
              </w:rPr>
              <w:t>A</w:t>
            </w:r>
          </w:p>
          <w:p w14:paraId="373C79AF"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Value (median) (number)</w:t>
            </w:r>
            <w:r w:rsidRPr="00A4272B">
              <w:rPr>
                <w:rFonts w:cs="Times New Roman"/>
                <w:smallCaps/>
                <w:u w:color="FFFFFF"/>
                <w:vertAlign w:val="superscript"/>
              </w:rPr>
              <w:t>A</w:t>
            </w:r>
          </w:p>
          <w:p w14:paraId="2614FB4D"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Minimum (number)</w:t>
            </w:r>
            <w:r w:rsidRPr="00A4272B">
              <w:rPr>
                <w:rFonts w:cs="Times New Roman"/>
                <w:smallCaps/>
                <w:u w:color="FFFFFF"/>
                <w:vertAlign w:val="superscript"/>
              </w:rPr>
              <w:t>A</w:t>
            </w:r>
          </w:p>
          <w:p w14:paraId="0DF992D1"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Maximum (number)</w:t>
            </w:r>
            <w:r w:rsidRPr="00A4272B">
              <w:rPr>
                <w:rFonts w:cs="Times New Roman"/>
                <w:smallCaps/>
                <w:u w:color="FFFFFF"/>
                <w:vertAlign w:val="superscript"/>
              </w:rPr>
              <w:t>A</w:t>
            </w:r>
          </w:p>
          <w:p w14:paraId="3A82073C"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5th percentile (number)</w:t>
            </w:r>
            <w:r w:rsidRPr="00A4272B">
              <w:rPr>
                <w:rFonts w:cs="Times New Roman"/>
                <w:smallCaps/>
                <w:u w:color="FFFFFF"/>
                <w:vertAlign w:val="superscript"/>
              </w:rPr>
              <w:t>A</w:t>
            </w:r>
          </w:p>
          <w:p w14:paraId="295C6230"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95th percentile (number)</w:t>
            </w:r>
            <w:r w:rsidRPr="00A4272B">
              <w:rPr>
                <w:rFonts w:cs="Times New Roman"/>
                <w:smallCaps/>
                <w:u w:color="FFFFFF"/>
                <w:vertAlign w:val="superscript"/>
              </w:rPr>
              <w:t>A</w:t>
            </w:r>
          </w:p>
          <w:p w14:paraId="582F99A9"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SD (number)</w:t>
            </w:r>
            <w:r w:rsidRPr="00A4272B">
              <w:rPr>
                <w:rFonts w:cs="Times New Roman"/>
                <w:smallCaps/>
                <w:u w:color="FFFFFF"/>
                <w:vertAlign w:val="superscript"/>
              </w:rPr>
              <w:t>A</w:t>
            </w:r>
          </w:p>
          <w:p w14:paraId="3526DA83" w14:textId="77777777" w:rsidR="00F3536C" w:rsidRPr="00A4272B" w:rsidRDefault="00F3536C" w:rsidP="00385825">
            <w:pPr>
              <w:pStyle w:val="Text0"/>
              <w:spacing w:before="40" w:after="40" w:line="264" w:lineRule="auto"/>
              <w:rPr>
                <w:rFonts w:cs="Times New Roman"/>
              </w:rPr>
            </w:pPr>
            <w:r w:rsidRPr="00A4272B">
              <w:rPr>
                <w:rFonts w:cs="Times New Roman"/>
                <w:smallCaps/>
                <w:u w:color="FFFFFF"/>
              </w:rPr>
              <w:t>Laboratory (text)</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E999F92"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Human milk</w:t>
            </w:r>
          </w:p>
          <w:p w14:paraId="568B5E8F"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Site ID (number)</w:t>
            </w:r>
          </w:p>
          <w:p w14:paraId="3BB76878"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Site name (text)</w:t>
            </w:r>
          </w:p>
          <w:p w14:paraId="062F993E"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Region (code list)</w:t>
            </w:r>
          </w:p>
          <w:p w14:paraId="6B16843C"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Country (code list)</w:t>
            </w:r>
          </w:p>
          <w:p w14:paraId="59DBF226"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Year (number)</w:t>
            </w:r>
          </w:p>
          <w:p w14:paraId="65E57B7C"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Start of sampling (number)</w:t>
            </w:r>
          </w:p>
          <w:p w14:paraId="2FBF4287"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End of sampling (number)</w:t>
            </w:r>
          </w:p>
          <w:p w14:paraId="5767FFE5"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Type of sample (code list)</w:t>
            </w:r>
          </w:p>
          <w:p w14:paraId="4BD0DFA3"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Monitoring programme/network (text)</w:t>
            </w:r>
          </w:p>
          <w:p w14:paraId="27205C30"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Chemical – group (code list)</w:t>
            </w:r>
          </w:p>
          <w:p w14:paraId="1F7D6D77"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Parameter (code list)</w:t>
            </w:r>
          </w:p>
          <w:p w14:paraId="29DD2168"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Method (code list)</w:t>
            </w:r>
          </w:p>
          <w:p w14:paraId="23576EF2"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LOQ (number)</w:t>
            </w:r>
          </w:p>
          <w:p w14:paraId="6C47FD6C"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No. of values (number)</w:t>
            </w:r>
            <w:r w:rsidRPr="00A4272B">
              <w:rPr>
                <w:rFonts w:cs="Times New Roman"/>
                <w:smallCaps/>
                <w:u w:color="FFFFFF"/>
                <w:vertAlign w:val="superscript"/>
              </w:rPr>
              <w:t>A</w:t>
            </w:r>
          </w:p>
          <w:p w14:paraId="20D20B54"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No. under LoQ (number)</w:t>
            </w:r>
            <w:r w:rsidRPr="00A4272B">
              <w:rPr>
                <w:rFonts w:cs="Times New Roman"/>
                <w:smallCaps/>
                <w:u w:color="FFFFFF"/>
                <w:vertAlign w:val="superscript"/>
              </w:rPr>
              <w:t>A</w:t>
            </w:r>
          </w:p>
          <w:p w14:paraId="350948FE"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Value (number)</w:t>
            </w:r>
            <w:r w:rsidRPr="00A4272B">
              <w:rPr>
                <w:rFonts w:cs="Times New Roman"/>
                <w:smallCaps/>
                <w:u w:color="FFFFFF"/>
                <w:vertAlign w:val="superscript"/>
              </w:rPr>
              <w:t>P</w:t>
            </w:r>
          </w:p>
          <w:p w14:paraId="404209F2"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Value (mean) (number)</w:t>
            </w:r>
            <w:r w:rsidRPr="00A4272B">
              <w:rPr>
                <w:rFonts w:cs="Times New Roman"/>
                <w:smallCaps/>
                <w:u w:color="FFFFFF"/>
                <w:vertAlign w:val="superscript"/>
              </w:rPr>
              <w:t>A</w:t>
            </w:r>
          </w:p>
          <w:p w14:paraId="4084624E"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Value (median) (number)</w:t>
            </w:r>
            <w:r w:rsidRPr="00A4272B">
              <w:rPr>
                <w:rFonts w:cs="Times New Roman"/>
                <w:smallCaps/>
                <w:u w:color="FFFFFF"/>
                <w:vertAlign w:val="superscript"/>
              </w:rPr>
              <w:t>A</w:t>
            </w:r>
          </w:p>
          <w:p w14:paraId="31BC1890"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Minimum (number)</w:t>
            </w:r>
            <w:r w:rsidRPr="00A4272B">
              <w:rPr>
                <w:rFonts w:cs="Times New Roman"/>
                <w:smallCaps/>
                <w:u w:color="FFFFFF"/>
                <w:vertAlign w:val="superscript"/>
              </w:rPr>
              <w:t>A</w:t>
            </w:r>
          </w:p>
          <w:p w14:paraId="18071811"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Maximum (number)</w:t>
            </w:r>
            <w:r w:rsidRPr="00A4272B">
              <w:rPr>
                <w:rFonts w:cs="Times New Roman"/>
                <w:smallCaps/>
                <w:u w:color="FFFFFF"/>
                <w:vertAlign w:val="superscript"/>
              </w:rPr>
              <w:t>A</w:t>
            </w:r>
          </w:p>
          <w:p w14:paraId="63331027"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5th percentile (number)</w:t>
            </w:r>
            <w:r w:rsidRPr="00A4272B">
              <w:rPr>
                <w:rFonts w:cs="Times New Roman"/>
                <w:smallCaps/>
                <w:u w:color="FFFFFF"/>
                <w:vertAlign w:val="superscript"/>
              </w:rPr>
              <w:t>A</w:t>
            </w:r>
          </w:p>
          <w:p w14:paraId="38FF890D"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95th percentile (number)</w:t>
            </w:r>
            <w:r w:rsidRPr="00A4272B">
              <w:rPr>
                <w:rFonts w:cs="Times New Roman"/>
                <w:smallCaps/>
                <w:u w:color="FFFFFF"/>
                <w:vertAlign w:val="superscript"/>
              </w:rPr>
              <w:t>A</w:t>
            </w:r>
          </w:p>
          <w:p w14:paraId="3E398C3E"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SD (number)</w:t>
            </w:r>
            <w:r w:rsidRPr="00A4272B">
              <w:rPr>
                <w:rFonts w:cs="Times New Roman"/>
                <w:smallCaps/>
                <w:u w:color="FFFFFF"/>
                <w:vertAlign w:val="superscript"/>
              </w:rPr>
              <w:t>A</w:t>
            </w:r>
          </w:p>
          <w:p w14:paraId="568B5504" w14:textId="45DBD653"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Laboratory (text)</w:t>
            </w:r>
          </w:p>
        </w:tc>
        <w:tc>
          <w:tcPr>
            <w:tcW w:w="25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495A10" w14:textId="77777777" w:rsidR="00F3536C" w:rsidRPr="00A4272B" w:rsidRDefault="00F3536C" w:rsidP="00385825">
            <w:pPr>
              <w:pStyle w:val="Text0"/>
              <w:widowControl w:val="0"/>
              <w:spacing w:before="40" w:after="40" w:line="264" w:lineRule="auto"/>
              <w:rPr>
                <w:rFonts w:eastAsia="Times" w:cs="Times New Roman"/>
                <w:smallCaps/>
                <w:u w:color="FFFFFF"/>
              </w:rPr>
            </w:pPr>
            <w:r w:rsidRPr="00A4272B">
              <w:rPr>
                <w:rFonts w:cs="Times New Roman"/>
                <w:smallCaps/>
                <w:u w:color="FFFFFF"/>
              </w:rPr>
              <w:t>Human blood</w:t>
            </w:r>
          </w:p>
          <w:p w14:paraId="2B10E8F6"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Site ID (number)</w:t>
            </w:r>
          </w:p>
          <w:p w14:paraId="42C5F457"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Site name (text)</w:t>
            </w:r>
          </w:p>
          <w:p w14:paraId="3F3B98AE"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Region (code list)</w:t>
            </w:r>
          </w:p>
          <w:p w14:paraId="6C5D1457"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Country (code list)</w:t>
            </w:r>
          </w:p>
          <w:p w14:paraId="49E2323C"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Year (number)</w:t>
            </w:r>
          </w:p>
          <w:p w14:paraId="05ADFF8B"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Start of sampling (number)</w:t>
            </w:r>
          </w:p>
          <w:p w14:paraId="7F311F81"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End of sampling (number)</w:t>
            </w:r>
          </w:p>
          <w:p w14:paraId="1A9297EB"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Blood source (code list)</w:t>
            </w:r>
          </w:p>
          <w:p w14:paraId="04DAD62F"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Fraction (code list)</w:t>
            </w:r>
          </w:p>
          <w:p w14:paraId="5A578B4F"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Monitoring programme/network (text)</w:t>
            </w:r>
          </w:p>
          <w:p w14:paraId="6B88456A"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Chemical – group (code list)</w:t>
            </w:r>
          </w:p>
          <w:p w14:paraId="65DBED0A"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Parameter (code list)</w:t>
            </w:r>
          </w:p>
          <w:p w14:paraId="41218A73"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Method (code list)</w:t>
            </w:r>
          </w:p>
          <w:p w14:paraId="3EC9343F"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LOQ (number)</w:t>
            </w:r>
          </w:p>
          <w:p w14:paraId="47E61FE4"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No. of values (number)</w:t>
            </w:r>
            <w:r w:rsidRPr="00A4272B">
              <w:rPr>
                <w:rFonts w:cs="Times New Roman"/>
                <w:smallCaps/>
                <w:u w:color="FFFFFF"/>
                <w:vertAlign w:val="superscript"/>
              </w:rPr>
              <w:t>A</w:t>
            </w:r>
          </w:p>
          <w:p w14:paraId="626240D9"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No. under LoQ (number)</w:t>
            </w:r>
            <w:r w:rsidRPr="00A4272B">
              <w:rPr>
                <w:rFonts w:cs="Times New Roman"/>
                <w:smallCaps/>
                <w:u w:color="FFFFFF"/>
                <w:vertAlign w:val="superscript"/>
              </w:rPr>
              <w:t>A</w:t>
            </w:r>
          </w:p>
          <w:p w14:paraId="6E5EA88F"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Value (number)</w:t>
            </w:r>
            <w:r w:rsidRPr="00A4272B">
              <w:rPr>
                <w:rFonts w:cs="Times New Roman"/>
                <w:smallCaps/>
                <w:u w:color="FFFFFF"/>
                <w:vertAlign w:val="superscript"/>
              </w:rPr>
              <w:t>P</w:t>
            </w:r>
          </w:p>
          <w:p w14:paraId="40756D16"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Value (mean) (number)</w:t>
            </w:r>
            <w:r w:rsidRPr="00A4272B">
              <w:rPr>
                <w:rFonts w:cs="Times New Roman"/>
                <w:smallCaps/>
                <w:u w:color="FFFFFF"/>
                <w:vertAlign w:val="superscript"/>
              </w:rPr>
              <w:t>A</w:t>
            </w:r>
          </w:p>
          <w:p w14:paraId="73E6B7A3"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Value (median) (number)</w:t>
            </w:r>
            <w:r w:rsidRPr="00A4272B">
              <w:rPr>
                <w:rFonts w:cs="Times New Roman"/>
                <w:smallCaps/>
                <w:u w:color="FFFFFF"/>
                <w:vertAlign w:val="superscript"/>
              </w:rPr>
              <w:t>A</w:t>
            </w:r>
          </w:p>
          <w:p w14:paraId="751FCF77"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Minimum (number)</w:t>
            </w:r>
            <w:r w:rsidRPr="00A4272B">
              <w:rPr>
                <w:rFonts w:cs="Times New Roman"/>
                <w:smallCaps/>
                <w:u w:color="FFFFFF"/>
                <w:vertAlign w:val="superscript"/>
              </w:rPr>
              <w:t>A</w:t>
            </w:r>
          </w:p>
          <w:p w14:paraId="6066EDC2"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Maximum (number)</w:t>
            </w:r>
            <w:r w:rsidRPr="00A4272B">
              <w:rPr>
                <w:rFonts w:cs="Times New Roman"/>
                <w:smallCaps/>
                <w:u w:color="FFFFFF"/>
                <w:vertAlign w:val="superscript"/>
              </w:rPr>
              <w:t>A</w:t>
            </w:r>
          </w:p>
          <w:p w14:paraId="67BC0A1C"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5th percentile (number)</w:t>
            </w:r>
            <w:r w:rsidRPr="00A4272B">
              <w:rPr>
                <w:rFonts w:cs="Times New Roman"/>
                <w:smallCaps/>
                <w:u w:color="FFFFFF"/>
                <w:vertAlign w:val="superscript"/>
              </w:rPr>
              <w:t>A</w:t>
            </w:r>
          </w:p>
          <w:p w14:paraId="33DCBDD2"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95th percentile (number)</w:t>
            </w:r>
            <w:r w:rsidRPr="00A4272B">
              <w:rPr>
                <w:rFonts w:cs="Times New Roman"/>
                <w:smallCaps/>
                <w:u w:color="FFFFFF"/>
                <w:vertAlign w:val="superscript"/>
              </w:rPr>
              <w:t>A</w:t>
            </w:r>
          </w:p>
          <w:p w14:paraId="366AFF7A" w14:textId="77777777"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vertAlign w:val="superscript"/>
              </w:rPr>
            </w:pPr>
            <w:r w:rsidRPr="00A4272B">
              <w:rPr>
                <w:rFonts w:cs="Times New Roman"/>
                <w:smallCaps/>
                <w:u w:color="FFFFFF"/>
              </w:rPr>
              <w:t>SD (number)</w:t>
            </w:r>
            <w:r w:rsidRPr="00A4272B">
              <w:rPr>
                <w:rFonts w:cs="Times New Roman"/>
                <w:smallCaps/>
                <w:u w:color="FFFFFF"/>
                <w:vertAlign w:val="superscript"/>
              </w:rPr>
              <w:t>A</w:t>
            </w:r>
          </w:p>
          <w:p w14:paraId="41F31701" w14:textId="16116751" w:rsidR="00F3536C" w:rsidRPr="00A4272B" w:rsidRDefault="00F3536C" w:rsidP="00385825">
            <w:pPr>
              <w:pStyle w:val="Text0"/>
              <w:tabs>
                <w:tab w:val="left" w:pos="360"/>
                <w:tab w:val="left" w:pos="720"/>
                <w:tab w:val="left" w:pos="1080"/>
                <w:tab w:val="left" w:pos="1440"/>
                <w:tab w:val="left" w:pos="1800"/>
                <w:tab w:val="left" w:pos="2160"/>
              </w:tabs>
              <w:spacing w:before="40" w:after="40" w:line="264" w:lineRule="auto"/>
              <w:rPr>
                <w:rFonts w:eastAsia="Times" w:cs="Times New Roman"/>
                <w:smallCaps/>
                <w:u w:color="FFFFFF"/>
              </w:rPr>
            </w:pPr>
            <w:r w:rsidRPr="00A4272B">
              <w:rPr>
                <w:rFonts w:cs="Times New Roman"/>
                <w:smallCaps/>
                <w:u w:color="FFFFFF"/>
              </w:rPr>
              <w:t>Laboratory (text)</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C6670B" w14:textId="77777777" w:rsidR="00F3536C" w:rsidRPr="00A4272B" w:rsidRDefault="00F3536C" w:rsidP="00385825">
            <w:pPr>
              <w:pStyle w:val="Text0"/>
              <w:widowControl w:val="0"/>
              <w:spacing w:before="40" w:after="40" w:line="264" w:lineRule="auto"/>
              <w:rPr>
                <w:rFonts w:eastAsia="Times" w:cs="Times New Roman"/>
                <w:smallCaps/>
                <w:u w:color="FFFFFF"/>
              </w:rPr>
            </w:pPr>
            <w:r w:rsidRPr="00A4272B">
              <w:rPr>
                <w:rFonts w:cs="Times New Roman"/>
                <w:smallCaps/>
                <w:u w:color="FFFFFF"/>
              </w:rPr>
              <w:t>Water</w:t>
            </w:r>
          </w:p>
          <w:p w14:paraId="476BD721"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Site ID (number)</w:t>
            </w:r>
          </w:p>
          <w:p w14:paraId="0F28E76E"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Site name (text)</w:t>
            </w:r>
          </w:p>
          <w:p w14:paraId="2F4323A7"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Region (code list)</w:t>
            </w:r>
          </w:p>
          <w:p w14:paraId="3DBB9C74"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Country (code list)</w:t>
            </w:r>
          </w:p>
          <w:p w14:paraId="616DDF5C"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Surface water type</w:t>
            </w:r>
          </w:p>
          <w:p w14:paraId="4F1EC8BA"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 xml:space="preserve"> Longitude (number)</w:t>
            </w:r>
          </w:p>
          <w:p w14:paraId="6B076E85"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Latitude (number)</w:t>
            </w:r>
          </w:p>
          <w:p w14:paraId="1727D430"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Region (code list)</w:t>
            </w:r>
          </w:p>
          <w:p w14:paraId="6E03F041"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Country (code list)</w:t>
            </w:r>
          </w:p>
          <w:p w14:paraId="2824DE02" w14:textId="77777777" w:rsidR="00F3536C" w:rsidRPr="00A4272B" w:rsidRDefault="00F3536C" w:rsidP="00385825">
            <w:pPr>
              <w:pStyle w:val="Text0"/>
              <w:spacing w:before="40" w:after="40" w:line="264" w:lineRule="auto"/>
              <w:rPr>
                <w:rFonts w:eastAsia="Times" w:cs="Times New Roman"/>
                <w:smallCaps/>
                <w:u w:color="FFFFFF"/>
                <w:lang w:val="es-ES"/>
              </w:rPr>
            </w:pPr>
            <w:r w:rsidRPr="00A4272B">
              <w:rPr>
                <w:rFonts w:cs="Times New Roman"/>
                <w:smallCaps/>
                <w:u w:color="FFFFFF"/>
                <w:lang w:val="es-ES"/>
              </w:rPr>
              <w:t>Ocean or sea (code list)</w:t>
            </w:r>
          </w:p>
          <w:p w14:paraId="2965B7E3" w14:textId="77777777" w:rsidR="00F3536C" w:rsidRPr="00A4272B" w:rsidRDefault="00F3536C" w:rsidP="00385825">
            <w:pPr>
              <w:pStyle w:val="Text0"/>
              <w:spacing w:before="40" w:after="40" w:line="264" w:lineRule="auto"/>
              <w:rPr>
                <w:rFonts w:eastAsia="Times" w:cs="Times New Roman"/>
                <w:smallCaps/>
                <w:u w:color="FFFFFF"/>
                <w:lang w:val="fr-CH"/>
              </w:rPr>
            </w:pPr>
            <w:r w:rsidRPr="00A4272B">
              <w:rPr>
                <w:rFonts w:cs="Times New Roman"/>
                <w:smallCaps/>
                <w:u w:color="FFFFFF"/>
                <w:lang w:val="fr-CH"/>
              </w:rPr>
              <w:t>Site type (code list)</w:t>
            </w:r>
          </w:p>
          <w:p w14:paraId="3E4C4C0B" w14:textId="77777777" w:rsidR="00F3536C" w:rsidRPr="00A4272B" w:rsidRDefault="00F3536C" w:rsidP="00385825">
            <w:pPr>
              <w:pStyle w:val="Text0"/>
              <w:spacing w:before="40" w:after="40" w:line="264" w:lineRule="auto"/>
              <w:rPr>
                <w:rFonts w:eastAsia="Times" w:cs="Times New Roman"/>
                <w:smallCaps/>
                <w:u w:color="FFFFFF"/>
                <w:lang w:val="fr-CH"/>
              </w:rPr>
            </w:pPr>
            <w:r w:rsidRPr="00A4272B">
              <w:rPr>
                <w:rFonts w:cs="Times New Roman"/>
                <w:smallCaps/>
                <w:u w:color="FFFFFF"/>
                <w:lang w:val="fr-CH"/>
              </w:rPr>
              <w:t>Discharges (code list)</w:t>
            </w:r>
          </w:p>
          <w:p w14:paraId="100E0DE7"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Year (number)</w:t>
            </w:r>
          </w:p>
          <w:p w14:paraId="06380A79"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Start of sampling (number)</w:t>
            </w:r>
          </w:p>
          <w:p w14:paraId="2EF6763C"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End of sampling (number)</w:t>
            </w:r>
          </w:p>
          <w:p w14:paraId="4022B111"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Type of sampling (code list)</w:t>
            </w:r>
          </w:p>
          <w:p w14:paraId="0DEFA7C7"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Depth (number)</w:t>
            </w:r>
          </w:p>
          <w:p w14:paraId="3E044586"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Temperature (number)</w:t>
            </w:r>
          </w:p>
          <w:p w14:paraId="44EC036A"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Salinity (number)</w:t>
            </w:r>
          </w:p>
          <w:p w14:paraId="2D4BDC44"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Monitoring programme/network (text)</w:t>
            </w:r>
          </w:p>
          <w:p w14:paraId="524DDF9D"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Chemical – group (code list)</w:t>
            </w:r>
          </w:p>
          <w:p w14:paraId="10886BBF"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Parameter (code list)</w:t>
            </w:r>
          </w:p>
          <w:p w14:paraId="5C9A2C77"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Method (code list)</w:t>
            </w:r>
          </w:p>
          <w:p w14:paraId="21A8C645"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rPr>
              <w:t>LOQ (number)</w:t>
            </w:r>
          </w:p>
          <w:p w14:paraId="62CB1444"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No. of values (number)</w:t>
            </w:r>
            <w:r w:rsidRPr="00A4272B">
              <w:rPr>
                <w:rFonts w:cs="Times New Roman"/>
                <w:smallCaps/>
                <w:u w:color="FFFFFF"/>
                <w:vertAlign w:val="superscript"/>
              </w:rPr>
              <w:t>A</w:t>
            </w:r>
          </w:p>
          <w:p w14:paraId="23D54E52"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No. under LoQ (number)</w:t>
            </w:r>
            <w:r w:rsidRPr="00A4272B">
              <w:rPr>
                <w:rFonts w:cs="Times New Roman"/>
                <w:smallCaps/>
                <w:u w:color="FFFFFF"/>
                <w:vertAlign w:val="superscript"/>
              </w:rPr>
              <w:t>A</w:t>
            </w:r>
          </w:p>
          <w:p w14:paraId="492A5C8E"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Value (number)</w:t>
            </w:r>
            <w:r w:rsidRPr="00A4272B">
              <w:rPr>
                <w:rFonts w:cs="Times New Roman"/>
                <w:smallCaps/>
                <w:u w:color="FFFFFF"/>
                <w:vertAlign w:val="superscript"/>
              </w:rPr>
              <w:t>P</w:t>
            </w:r>
          </w:p>
          <w:p w14:paraId="792D9956"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Value (mean) (number)</w:t>
            </w:r>
            <w:r w:rsidRPr="00A4272B">
              <w:rPr>
                <w:rFonts w:cs="Times New Roman"/>
                <w:smallCaps/>
                <w:u w:color="FFFFFF"/>
                <w:vertAlign w:val="superscript"/>
              </w:rPr>
              <w:t>A</w:t>
            </w:r>
          </w:p>
          <w:p w14:paraId="65606BB4"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Value (median) (number)</w:t>
            </w:r>
            <w:r w:rsidRPr="00A4272B">
              <w:rPr>
                <w:rFonts w:cs="Times New Roman"/>
                <w:smallCaps/>
                <w:u w:color="FFFFFF"/>
                <w:vertAlign w:val="superscript"/>
              </w:rPr>
              <w:t>A</w:t>
            </w:r>
          </w:p>
          <w:p w14:paraId="3F10D526"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Minimum (number)</w:t>
            </w:r>
            <w:r w:rsidRPr="00A4272B">
              <w:rPr>
                <w:rFonts w:cs="Times New Roman"/>
                <w:smallCaps/>
                <w:u w:color="FFFFFF"/>
                <w:vertAlign w:val="superscript"/>
              </w:rPr>
              <w:t>A</w:t>
            </w:r>
          </w:p>
          <w:p w14:paraId="03CDD6D8"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Maximum (number)</w:t>
            </w:r>
            <w:r w:rsidRPr="00A4272B">
              <w:rPr>
                <w:rFonts w:cs="Times New Roman"/>
                <w:smallCaps/>
                <w:u w:color="FFFFFF"/>
                <w:vertAlign w:val="superscript"/>
              </w:rPr>
              <w:t>A</w:t>
            </w:r>
          </w:p>
          <w:p w14:paraId="0AB7CD40"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5th percentile (number)</w:t>
            </w:r>
            <w:r w:rsidRPr="00A4272B">
              <w:rPr>
                <w:rFonts w:cs="Times New Roman"/>
                <w:smallCaps/>
                <w:u w:color="FFFFFF"/>
                <w:vertAlign w:val="superscript"/>
              </w:rPr>
              <w:t>A</w:t>
            </w:r>
          </w:p>
          <w:p w14:paraId="4849CD3E"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95th percentile (number)</w:t>
            </w:r>
            <w:r w:rsidRPr="00A4272B">
              <w:rPr>
                <w:rFonts w:cs="Times New Roman"/>
                <w:smallCaps/>
                <w:u w:color="FFFFFF"/>
                <w:vertAlign w:val="superscript"/>
              </w:rPr>
              <w:t>A</w:t>
            </w:r>
          </w:p>
          <w:p w14:paraId="525397D1" w14:textId="77777777" w:rsidR="00F3536C" w:rsidRPr="00A4272B" w:rsidRDefault="00F3536C" w:rsidP="00385825">
            <w:pPr>
              <w:pStyle w:val="Text0"/>
              <w:spacing w:before="40" w:after="40" w:line="264" w:lineRule="auto"/>
              <w:rPr>
                <w:rFonts w:eastAsia="Times" w:cs="Times New Roman"/>
                <w:smallCaps/>
                <w:u w:color="FFFFFF"/>
                <w:vertAlign w:val="superscript"/>
              </w:rPr>
            </w:pPr>
            <w:r w:rsidRPr="00A4272B">
              <w:rPr>
                <w:rFonts w:cs="Times New Roman"/>
                <w:smallCaps/>
                <w:u w:color="FFFFFF"/>
              </w:rPr>
              <w:t>SD (number)</w:t>
            </w:r>
            <w:r w:rsidRPr="00A4272B">
              <w:rPr>
                <w:rFonts w:cs="Times New Roman"/>
                <w:smallCaps/>
                <w:u w:color="FFFFFF"/>
                <w:vertAlign w:val="superscript"/>
              </w:rPr>
              <w:t>A</w:t>
            </w:r>
          </w:p>
          <w:p w14:paraId="6BF41406" w14:textId="77777777" w:rsidR="00F3536C" w:rsidRPr="00A4272B" w:rsidRDefault="00F3536C" w:rsidP="00385825">
            <w:pPr>
              <w:pStyle w:val="Text0"/>
              <w:spacing w:before="40" w:after="40" w:line="264" w:lineRule="auto"/>
              <w:rPr>
                <w:rFonts w:cs="Times New Roman"/>
              </w:rPr>
            </w:pPr>
            <w:r w:rsidRPr="00A4272B">
              <w:rPr>
                <w:rFonts w:cs="Times New Roman"/>
                <w:smallCaps/>
                <w:u w:color="FFFFFF"/>
              </w:rPr>
              <w:t>Laboratory (text)</w:t>
            </w:r>
          </w:p>
        </w:tc>
      </w:tr>
      <w:tr w:rsidR="00F3536C" w:rsidRPr="00A4272B" w14:paraId="0F4202EB" w14:textId="77777777" w:rsidTr="0028510D">
        <w:trPr>
          <w:trHeight w:val="16"/>
        </w:trPr>
        <w:tc>
          <w:tcPr>
            <w:tcW w:w="10350"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57C77C" w14:textId="77777777" w:rsidR="00F3536C" w:rsidRPr="00A4272B" w:rsidRDefault="00F3536C" w:rsidP="00385825">
            <w:pPr>
              <w:pStyle w:val="Text0"/>
              <w:spacing w:before="40" w:after="40" w:line="264" w:lineRule="auto"/>
              <w:rPr>
                <w:rFonts w:eastAsia="Times" w:cs="Times New Roman"/>
                <w:smallCaps/>
                <w:u w:color="FFFFFF"/>
              </w:rPr>
            </w:pPr>
            <w:r w:rsidRPr="00A4272B">
              <w:rPr>
                <w:rFonts w:cs="Times New Roman"/>
                <w:smallCaps/>
                <w:u w:color="FFFFFF"/>
                <w:vertAlign w:val="superscript"/>
              </w:rPr>
              <w:t>A</w:t>
            </w:r>
            <w:r w:rsidRPr="00A4272B">
              <w:rPr>
                <w:rFonts w:cs="Times New Roman"/>
                <w:smallCaps/>
                <w:u w:color="FFFFFF"/>
              </w:rPr>
              <w:t xml:space="preserve"> – the item is valid for aggregated data reporting only</w:t>
            </w:r>
          </w:p>
          <w:p w14:paraId="228CD131" w14:textId="77777777" w:rsidR="00F3536C" w:rsidRPr="00A4272B" w:rsidRDefault="00F3536C" w:rsidP="00385825">
            <w:pPr>
              <w:pStyle w:val="Text0"/>
              <w:widowControl w:val="0"/>
              <w:spacing w:before="40" w:after="40" w:line="264" w:lineRule="auto"/>
              <w:rPr>
                <w:rFonts w:cs="Times New Roman"/>
              </w:rPr>
            </w:pPr>
            <w:r w:rsidRPr="00A4272B">
              <w:rPr>
                <w:rFonts w:cs="Times New Roman"/>
                <w:smallCaps/>
                <w:u w:color="FFFFFF"/>
                <w:vertAlign w:val="superscript"/>
              </w:rPr>
              <w:t>P</w:t>
            </w:r>
            <w:r w:rsidRPr="00A4272B">
              <w:rPr>
                <w:rFonts w:cs="Times New Roman"/>
                <w:smallCaps/>
                <w:u w:color="FFFFFF"/>
              </w:rPr>
              <w:t xml:space="preserve"> – the item is valid for primary data reporting only</w:t>
            </w:r>
          </w:p>
        </w:tc>
      </w:tr>
    </w:tbl>
    <w:p w14:paraId="06D9AD60" w14:textId="67B0FF02" w:rsidR="00D568F3" w:rsidRPr="00A4272B" w:rsidRDefault="00D568F3" w:rsidP="00817D9F">
      <w:pPr>
        <w:pStyle w:val="Heading4"/>
        <w:rPr>
          <w:rFonts w:hint="eastAsia"/>
        </w:rPr>
      </w:pPr>
      <w:r w:rsidRPr="00A4272B">
        <w:lastRenderedPageBreak/>
        <w:t>Calculated parameters</w:t>
      </w:r>
    </w:p>
    <w:p w14:paraId="67DCF33F" w14:textId="77777777" w:rsidR="00D568F3" w:rsidRPr="00A4272B" w:rsidRDefault="00D568F3" w:rsidP="00D568F3">
      <w:pPr>
        <w:rPr>
          <w:lang w:val="en-US"/>
        </w:rPr>
      </w:pPr>
      <w:r w:rsidRPr="00A4272B">
        <w:rPr>
          <w:lang w:val="en-US"/>
        </w:rPr>
        <w:t>For sum parameters, results in cases where one or more individual compounds are &lt;LOQ should be reported as intervals, with the lower bound calculated by setting &lt;LOQ to 0 and the upper bound calculated by setting &lt;LOQ equal to the LOQ.</w:t>
      </w:r>
    </w:p>
    <w:p w14:paraId="226C9AA5" w14:textId="77777777" w:rsidR="00D568F3" w:rsidRPr="00A4272B" w:rsidRDefault="00D568F3" w:rsidP="00D568F3">
      <w:pPr>
        <w:rPr>
          <w:lang w:val="en-US"/>
        </w:rPr>
      </w:pPr>
      <w:r w:rsidRPr="00A4272B">
        <w:rPr>
          <w:lang w:val="en-US"/>
        </w:rPr>
        <w:t>To express the overall toxicity of dioxins, furans, and dioxin-like PCBs as a single value, the “International Toxic Equivalents” (TEQ) concept is used. This calculation involves the concentration of the substance, the Toxic Equivalency Factor (TEF), and setting &lt;LOQ to the LOQ for the upper bound and 0 for the lower bound.</w:t>
      </w:r>
    </w:p>
    <w:p w14:paraId="3B756EDA" w14:textId="3BD2B133" w:rsidR="00D568F3" w:rsidRPr="00A4272B" w:rsidRDefault="00D568F3" w:rsidP="00D568F3">
      <w:pPr>
        <w:rPr>
          <w:lang w:val="en-US"/>
        </w:rPr>
      </w:pPr>
      <w:r w:rsidRPr="00A4272B">
        <w:rPr>
          <w:lang w:val="en-US"/>
        </w:rPr>
        <w:t>GMP employs three TEF schemes:</w:t>
      </w:r>
    </w:p>
    <w:p w14:paraId="232A82E7" w14:textId="33493ED9" w:rsidR="00D568F3" w:rsidRPr="00A4272B" w:rsidRDefault="00D568F3">
      <w:pPr>
        <w:numPr>
          <w:ilvl w:val="0"/>
          <w:numId w:val="117"/>
        </w:numPr>
        <w:rPr>
          <w:lang w:val="en-US"/>
        </w:rPr>
      </w:pPr>
      <w:r w:rsidRPr="00A4272B">
        <w:rPr>
          <w:lang w:val="en-US"/>
        </w:rPr>
        <w:t>I-TEF and I-TEQ: Established by NATO in 1989, this is the original International Toxic Equivalent scheme and has since been extended and updated</w:t>
      </w:r>
      <w:r w:rsidR="003F50B4" w:rsidRPr="00A4272B">
        <w:rPr>
          <w:lang w:val="en-US"/>
        </w:rPr>
        <w:t>;</w:t>
      </w:r>
    </w:p>
    <w:p w14:paraId="30ECAC5D" w14:textId="4C767357" w:rsidR="00D568F3" w:rsidRPr="00A4272B" w:rsidRDefault="00D568F3">
      <w:pPr>
        <w:numPr>
          <w:ilvl w:val="0"/>
          <w:numId w:val="117"/>
        </w:numPr>
        <w:rPr>
          <w:lang w:val="en-US"/>
        </w:rPr>
      </w:pPr>
      <w:r w:rsidRPr="00A4272B">
        <w:rPr>
          <w:lang w:val="en-US"/>
        </w:rPr>
        <w:t>WHO-TEF 1998 and WHO-TEQ 1998 (also known as WHO1998-TEQ): Developed by WHO in 1998 and updated in 2005</w:t>
      </w:r>
      <w:r w:rsidR="003F50B4" w:rsidRPr="00A4272B">
        <w:rPr>
          <w:lang w:val="en-US"/>
        </w:rPr>
        <w:t>;</w:t>
      </w:r>
    </w:p>
    <w:p w14:paraId="029D3A77" w14:textId="77777777" w:rsidR="00D568F3" w:rsidRPr="00A4272B" w:rsidRDefault="00D568F3">
      <w:pPr>
        <w:numPr>
          <w:ilvl w:val="0"/>
          <w:numId w:val="117"/>
        </w:numPr>
        <w:rPr>
          <w:lang w:val="en-US"/>
        </w:rPr>
      </w:pPr>
      <w:r w:rsidRPr="00A4272B">
        <w:rPr>
          <w:lang w:val="en-US"/>
        </w:rPr>
        <w:t>WHO-TEF 2005 and WHO-TEQ 2005 (also known as WHO2005-TEQ): The most recent WHO scheme.</w:t>
      </w:r>
    </w:p>
    <w:p w14:paraId="64D89011" w14:textId="55040C0A" w:rsidR="00D568F3" w:rsidRPr="00A4272B" w:rsidRDefault="00D568F3" w:rsidP="00817D9F">
      <w:pPr>
        <w:pStyle w:val="Heading4"/>
        <w:rPr>
          <w:rFonts w:hint="eastAsia"/>
        </w:rPr>
      </w:pPr>
      <w:r w:rsidRPr="00A4272B">
        <w:t xml:space="preserve">Primary </w:t>
      </w:r>
      <w:r w:rsidR="006C2EB4" w:rsidRPr="00A4272B">
        <w:t>a</w:t>
      </w:r>
      <w:r w:rsidRPr="00A4272B">
        <w:t xml:space="preserve">ggregated </w:t>
      </w:r>
      <w:r w:rsidR="006C2EB4" w:rsidRPr="00A4272B">
        <w:t>d</w:t>
      </w:r>
      <w:r w:rsidRPr="00A4272B">
        <w:t>ata</w:t>
      </w:r>
    </w:p>
    <w:p w14:paraId="391A0084" w14:textId="39D2D00B" w:rsidR="00D568F3" w:rsidRPr="00A4272B" w:rsidRDefault="00D568F3" w:rsidP="00D568F3">
      <w:pPr>
        <w:rPr>
          <w:lang w:val="en-US"/>
        </w:rPr>
      </w:pPr>
      <w:r w:rsidRPr="00A4272B">
        <w:rPr>
          <w:lang w:val="en-US"/>
        </w:rPr>
        <w:t>Prior to creating analytical views within the GMP, data is aggregated annually, with each aggregate representing data from all primary, un-aggregated samples collected during that year. When aggregating data, it is crucial to assess whether annual aggregation will yield representative data, especially for parameters with seasonal variation or when sampling was not conducted throughout the entire year.</w:t>
      </w:r>
      <w:r w:rsidR="002A04E0" w:rsidRPr="00A4272B">
        <w:rPr>
          <w:lang w:val="en-US"/>
        </w:rPr>
        <w:t xml:space="preserve"> </w:t>
      </w:r>
      <w:r w:rsidRPr="00A4272B">
        <w:rPr>
          <w:lang w:val="en-US"/>
        </w:rPr>
        <w:t>The following aggregation statistics are used:</w:t>
      </w:r>
    </w:p>
    <w:p w14:paraId="3592A4A4" w14:textId="7733BF0C" w:rsidR="00D568F3" w:rsidRPr="00A4272B" w:rsidRDefault="00D568F3">
      <w:pPr>
        <w:numPr>
          <w:ilvl w:val="0"/>
          <w:numId w:val="118"/>
        </w:numPr>
        <w:rPr>
          <w:lang w:val="en-US"/>
        </w:rPr>
      </w:pPr>
      <w:r w:rsidRPr="00A4272B">
        <w:rPr>
          <w:lang w:val="en-US"/>
        </w:rPr>
        <w:t>Number of values</w:t>
      </w:r>
      <w:r w:rsidR="003F50B4" w:rsidRPr="00A4272B">
        <w:rPr>
          <w:lang w:val="en-US"/>
        </w:rPr>
        <w:t>;</w:t>
      </w:r>
    </w:p>
    <w:p w14:paraId="55C2F581" w14:textId="17352586" w:rsidR="00D568F3" w:rsidRPr="00A4272B" w:rsidRDefault="00D568F3">
      <w:pPr>
        <w:numPr>
          <w:ilvl w:val="0"/>
          <w:numId w:val="118"/>
        </w:numPr>
        <w:rPr>
          <w:lang w:val="en-US"/>
        </w:rPr>
      </w:pPr>
      <w:r w:rsidRPr="00A4272B">
        <w:rPr>
          <w:lang w:val="en-US"/>
        </w:rPr>
        <w:t>Number of values under LOQ</w:t>
      </w:r>
      <w:r w:rsidR="003F50B4" w:rsidRPr="00A4272B">
        <w:rPr>
          <w:lang w:val="en-US"/>
        </w:rPr>
        <w:t>;</w:t>
      </w:r>
    </w:p>
    <w:p w14:paraId="33512C1B" w14:textId="6CED4A63" w:rsidR="00D568F3" w:rsidRPr="00A4272B" w:rsidRDefault="00D568F3">
      <w:pPr>
        <w:numPr>
          <w:ilvl w:val="0"/>
          <w:numId w:val="118"/>
        </w:numPr>
        <w:rPr>
          <w:lang w:val="en-US"/>
        </w:rPr>
      </w:pPr>
      <w:r w:rsidRPr="00A4272B">
        <w:rPr>
          <w:lang w:val="en-US"/>
        </w:rPr>
        <w:t>Mean of values</w:t>
      </w:r>
      <w:r w:rsidR="003F50B4" w:rsidRPr="00A4272B">
        <w:rPr>
          <w:lang w:val="en-US"/>
        </w:rPr>
        <w:t>;</w:t>
      </w:r>
    </w:p>
    <w:p w14:paraId="4C15E445" w14:textId="3DFEA805" w:rsidR="00D568F3" w:rsidRPr="00A4272B" w:rsidRDefault="00D568F3">
      <w:pPr>
        <w:numPr>
          <w:ilvl w:val="0"/>
          <w:numId w:val="118"/>
        </w:numPr>
        <w:rPr>
          <w:lang w:val="en-US"/>
        </w:rPr>
      </w:pPr>
      <w:r w:rsidRPr="00A4272B">
        <w:rPr>
          <w:lang w:val="en-US"/>
        </w:rPr>
        <w:t>Median of values</w:t>
      </w:r>
      <w:r w:rsidR="003F50B4" w:rsidRPr="00A4272B">
        <w:rPr>
          <w:lang w:val="en-US"/>
        </w:rPr>
        <w:t>;</w:t>
      </w:r>
    </w:p>
    <w:p w14:paraId="7EE30A72" w14:textId="6D808F5F" w:rsidR="00D568F3" w:rsidRPr="00A4272B" w:rsidRDefault="00D568F3">
      <w:pPr>
        <w:numPr>
          <w:ilvl w:val="0"/>
          <w:numId w:val="118"/>
        </w:numPr>
        <w:rPr>
          <w:lang w:val="en-US"/>
        </w:rPr>
      </w:pPr>
      <w:r w:rsidRPr="00A4272B">
        <w:rPr>
          <w:lang w:val="en-US"/>
        </w:rPr>
        <w:t>Minimum of values</w:t>
      </w:r>
      <w:r w:rsidR="003F50B4" w:rsidRPr="00A4272B">
        <w:rPr>
          <w:lang w:val="en-US"/>
        </w:rPr>
        <w:t>;</w:t>
      </w:r>
    </w:p>
    <w:p w14:paraId="6714C062" w14:textId="78091B41" w:rsidR="00D568F3" w:rsidRPr="00A4272B" w:rsidRDefault="00D568F3">
      <w:pPr>
        <w:numPr>
          <w:ilvl w:val="0"/>
          <w:numId w:val="118"/>
        </w:numPr>
        <w:rPr>
          <w:lang w:val="en-US"/>
        </w:rPr>
      </w:pPr>
      <w:r w:rsidRPr="00A4272B">
        <w:rPr>
          <w:lang w:val="en-US"/>
        </w:rPr>
        <w:t>Maximum of values</w:t>
      </w:r>
      <w:r w:rsidR="003F50B4" w:rsidRPr="00A4272B">
        <w:rPr>
          <w:lang w:val="en-US"/>
        </w:rPr>
        <w:t>;</w:t>
      </w:r>
    </w:p>
    <w:p w14:paraId="22254AF1" w14:textId="1067949D" w:rsidR="00D568F3" w:rsidRPr="00A4272B" w:rsidRDefault="00D568F3">
      <w:pPr>
        <w:numPr>
          <w:ilvl w:val="0"/>
          <w:numId w:val="118"/>
        </w:numPr>
        <w:rPr>
          <w:lang w:val="en-US"/>
        </w:rPr>
      </w:pPr>
      <w:r w:rsidRPr="00A4272B">
        <w:rPr>
          <w:lang w:val="en-US"/>
        </w:rPr>
        <w:t>5th percentile of values</w:t>
      </w:r>
      <w:r w:rsidR="003F50B4" w:rsidRPr="00A4272B">
        <w:rPr>
          <w:lang w:val="en-US"/>
        </w:rPr>
        <w:t>;</w:t>
      </w:r>
    </w:p>
    <w:p w14:paraId="0BB8C324" w14:textId="70BCF238" w:rsidR="00D568F3" w:rsidRPr="00A4272B" w:rsidRDefault="00D568F3">
      <w:pPr>
        <w:numPr>
          <w:ilvl w:val="0"/>
          <w:numId w:val="118"/>
        </w:numPr>
        <w:rPr>
          <w:lang w:val="en-US"/>
        </w:rPr>
      </w:pPr>
      <w:r w:rsidRPr="00A4272B">
        <w:rPr>
          <w:lang w:val="en-US"/>
        </w:rPr>
        <w:t>95th percentile of values</w:t>
      </w:r>
      <w:r w:rsidR="003F50B4" w:rsidRPr="00A4272B">
        <w:rPr>
          <w:lang w:val="en-US"/>
        </w:rPr>
        <w:t>;</w:t>
      </w:r>
    </w:p>
    <w:p w14:paraId="4A22E969" w14:textId="7DCFEAA5" w:rsidR="00D568F3" w:rsidRPr="00A4272B" w:rsidRDefault="00D568F3">
      <w:pPr>
        <w:numPr>
          <w:ilvl w:val="0"/>
          <w:numId w:val="118"/>
        </w:numPr>
        <w:rPr>
          <w:lang w:val="en-US"/>
        </w:rPr>
      </w:pPr>
      <w:r w:rsidRPr="00A4272B">
        <w:rPr>
          <w:lang w:val="en-US"/>
        </w:rPr>
        <w:t>Standard deviation of values</w:t>
      </w:r>
      <w:r w:rsidR="003F50B4" w:rsidRPr="00A4272B">
        <w:rPr>
          <w:lang w:val="en-US"/>
        </w:rPr>
        <w:t>.</w:t>
      </w:r>
    </w:p>
    <w:p w14:paraId="386136DD" w14:textId="77777777" w:rsidR="00D568F3" w:rsidRPr="00A4272B" w:rsidRDefault="00D568F3" w:rsidP="00D568F3">
      <w:pPr>
        <w:rPr>
          <w:lang w:val="en-US"/>
        </w:rPr>
      </w:pPr>
      <w:r w:rsidRPr="00A4272B">
        <w:rPr>
          <w:lang w:val="en-US"/>
        </w:rPr>
        <w:t>Data can be imported into the GMP Data Warehouse (DWH) in both un-aggregated and aggregated formats.</w:t>
      </w:r>
    </w:p>
    <w:p w14:paraId="04828E56" w14:textId="79D51003" w:rsidR="00D568F3" w:rsidRPr="00A4272B" w:rsidRDefault="00D568F3" w:rsidP="00817D9F">
      <w:pPr>
        <w:pStyle w:val="Heading4"/>
        <w:rPr>
          <w:rFonts w:hint="eastAsia"/>
        </w:rPr>
      </w:pPr>
      <w:r w:rsidRPr="00A4272B">
        <w:t>Data validation</w:t>
      </w:r>
    </w:p>
    <w:p w14:paraId="1F9B28C0" w14:textId="43B70DC3" w:rsidR="00D568F3" w:rsidRPr="00A4272B" w:rsidRDefault="00D568F3" w:rsidP="00D568F3">
      <w:pPr>
        <w:rPr>
          <w:lang w:val="en-US"/>
        </w:rPr>
      </w:pPr>
      <w:r w:rsidRPr="00A4272B">
        <w:rPr>
          <w:lang w:val="en-US"/>
        </w:rPr>
        <w:t>The Regional Organization Groups (ROGs) are responsible for validating all data for inclusion in the regional monitoring reports and the GMP DWH. Each completed record must contain all required information, such as relevant units for concentration values. Data fields have a predefined format (text, number, or a specific item from a code list—see Annex</w:t>
      </w:r>
      <w:r w:rsidR="002A04E0" w:rsidRPr="00A4272B">
        <w:rPr>
          <w:lang w:val="en-US"/>
        </w:rPr>
        <w:t> V</w:t>
      </w:r>
      <w:r w:rsidRPr="00A4272B">
        <w:rPr>
          <w:lang w:val="en-US"/>
        </w:rPr>
        <w:t>). Automated validation is integrated into the data import process, and only fully validated data can proceed to further processing.</w:t>
      </w:r>
    </w:p>
    <w:p w14:paraId="1E77075F" w14:textId="0BAC4099" w:rsidR="00D568F3" w:rsidRPr="00A4272B" w:rsidRDefault="00D568F3" w:rsidP="00817D9F">
      <w:pPr>
        <w:pStyle w:val="Heading4"/>
        <w:rPr>
          <w:rFonts w:hint="eastAsia"/>
        </w:rPr>
      </w:pPr>
      <w:r w:rsidRPr="00A4272B">
        <w:t>Security rules and data access</w:t>
      </w:r>
    </w:p>
    <w:p w14:paraId="7C004072" w14:textId="5120EDC0" w:rsidR="00D568F3" w:rsidRPr="00A4272B" w:rsidRDefault="00D568F3" w:rsidP="00D568F3">
      <w:pPr>
        <w:rPr>
          <w:lang w:val="en-US"/>
        </w:rPr>
      </w:pPr>
      <w:r w:rsidRPr="00A4272B">
        <w:rPr>
          <w:lang w:val="en-US"/>
        </w:rPr>
        <w:t>The security principles of the GMP DWH support the GMP’s data collection and reporting processes at both the regional and global levels. Individual data providers and ROGs can work with GMP data simultaneously and independently to avoid interference.</w:t>
      </w:r>
      <w:r w:rsidR="002A04E0" w:rsidRPr="00A4272B">
        <w:rPr>
          <w:lang w:val="en-US"/>
        </w:rPr>
        <w:t xml:space="preserve"> </w:t>
      </w:r>
      <w:r w:rsidRPr="00A4272B">
        <w:rPr>
          <w:lang w:val="en-US"/>
        </w:rPr>
        <w:t>All data actions are governed by ROGs, with the following permissions:</w:t>
      </w:r>
    </w:p>
    <w:p w14:paraId="30B5425C" w14:textId="6C5B8C1B" w:rsidR="00D568F3" w:rsidRPr="00A4272B" w:rsidRDefault="00D568F3">
      <w:pPr>
        <w:numPr>
          <w:ilvl w:val="0"/>
          <w:numId w:val="119"/>
        </w:numPr>
        <w:rPr>
          <w:lang w:val="en-US"/>
        </w:rPr>
      </w:pPr>
      <w:r w:rsidRPr="00A4272B">
        <w:rPr>
          <w:lang w:val="en-US"/>
        </w:rPr>
        <w:t>Data providers can import, verify, delete, and view their own data</w:t>
      </w:r>
      <w:r w:rsidR="003F50B4" w:rsidRPr="00A4272B">
        <w:rPr>
          <w:lang w:val="en-US"/>
        </w:rPr>
        <w:t>;</w:t>
      </w:r>
    </w:p>
    <w:p w14:paraId="34BFA175" w14:textId="1183A378" w:rsidR="00D568F3" w:rsidRPr="00A4272B" w:rsidRDefault="00D568F3">
      <w:pPr>
        <w:numPr>
          <w:ilvl w:val="0"/>
          <w:numId w:val="119"/>
        </w:numPr>
        <w:rPr>
          <w:lang w:val="en-US"/>
        </w:rPr>
      </w:pPr>
      <w:r w:rsidRPr="00A4272B">
        <w:rPr>
          <w:lang w:val="en-US"/>
        </w:rPr>
        <w:t>Data providers can manage all sites within their ROG</w:t>
      </w:r>
      <w:r w:rsidR="003F50B4" w:rsidRPr="00A4272B">
        <w:rPr>
          <w:lang w:val="en-US"/>
        </w:rPr>
        <w:t>;</w:t>
      </w:r>
    </w:p>
    <w:p w14:paraId="36A1DDC5" w14:textId="125695E4" w:rsidR="00D568F3" w:rsidRPr="00A4272B" w:rsidRDefault="00D568F3">
      <w:pPr>
        <w:numPr>
          <w:ilvl w:val="0"/>
          <w:numId w:val="119"/>
        </w:numPr>
        <w:rPr>
          <w:lang w:val="en-US"/>
        </w:rPr>
      </w:pPr>
      <w:r w:rsidRPr="00A4272B">
        <w:rPr>
          <w:lang w:val="en-US"/>
        </w:rPr>
        <w:t>Each ROG can view and approve verified data within its group</w:t>
      </w:r>
      <w:r w:rsidR="003F50B4" w:rsidRPr="00A4272B">
        <w:rPr>
          <w:lang w:val="en-US"/>
        </w:rPr>
        <w:t>;</w:t>
      </w:r>
    </w:p>
    <w:p w14:paraId="7AC5A75A" w14:textId="77777777" w:rsidR="00D568F3" w:rsidRPr="00A4272B" w:rsidRDefault="00D568F3">
      <w:pPr>
        <w:numPr>
          <w:ilvl w:val="0"/>
          <w:numId w:val="119"/>
        </w:numPr>
        <w:rPr>
          <w:lang w:val="en-US"/>
        </w:rPr>
      </w:pPr>
      <w:r w:rsidRPr="00A4272B">
        <w:rPr>
          <w:lang w:val="en-US"/>
        </w:rPr>
        <w:t>The Global Coordination Group (GCG) can publish approved data.</w:t>
      </w:r>
    </w:p>
    <w:p w14:paraId="0BB23144" w14:textId="77777777" w:rsidR="00D568F3" w:rsidRPr="00A4272B" w:rsidRDefault="00D568F3" w:rsidP="00D568F3">
      <w:pPr>
        <w:rPr>
          <w:lang w:val="en-US"/>
        </w:rPr>
      </w:pPr>
      <w:r w:rsidRPr="00A4272B">
        <w:rPr>
          <w:lang w:val="en-US"/>
        </w:rPr>
        <w:t>A detailed description of security and user access management is available in the technical documentation on the GMP website.</w:t>
      </w:r>
    </w:p>
    <w:p w14:paraId="66455598" w14:textId="2C4925F4" w:rsidR="00F3536C" w:rsidRPr="00A4272B" w:rsidRDefault="001F665D" w:rsidP="00817D9F">
      <w:pPr>
        <w:pStyle w:val="Heading3"/>
        <w:rPr>
          <w:rFonts w:hint="eastAsia"/>
        </w:rPr>
      </w:pPr>
      <w:bookmarkStart w:id="446" w:name="_Toc535584399"/>
      <w:bookmarkStart w:id="447" w:name="_Toc531692"/>
      <w:bookmarkStart w:id="448" w:name="_Toc532212"/>
      <w:bookmarkStart w:id="449" w:name="_Toc532425"/>
      <w:bookmarkStart w:id="450" w:name="_Toc1467917"/>
      <w:bookmarkStart w:id="451" w:name="_Toc1468090"/>
      <w:bookmarkStart w:id="452" w:name="_Toc1483974"/>
      <w:bookmarkStart w:id="453" w:name="_Toc65306518"/>
      <w:bookmarkStart w:id="454" w:name="_Toc187270529"/>
      <w:r w:rsidRPr="00A4272B">
        <w:lastRenderedPageBreak/>
        <w:t>6</w:t>
      </w:r>
      <w:r w:rsidR="00F3536C" w:rsidRPr="00A4272B">
        <w:t>.4.6</w:t>
      </w:r>
      <w:r w:rsidR="0098016E" w:rsidRPr="00A4272B">
        <w:tab/>
      </w:r>
      <w:r w:rsidR="00F3536C" w:rsidRPr="00A4272B">
        <w:t>Data products</w:t>
      </w:r>
      <w:bookmarkEnd w:id="446"/>
      <w:bookmarkEnd w:id="447"/>
      <w:bookmarkEnd w:id="448"/>
      <w:bookmarkEnd w:id="449"/>
      <w:bookmarkEnd w:id="450"/>
      <w:bookmarkEnd w:id="451"/>
      <w:bookmarkEnd w:id="452"/>
      <w:bookmarkEnd w:id="453"/>
      <w:bookmarkEnd w:id="454"/>
    </w:p>
    <w:p w14:paraId="24D1C3FC" w14:textId="77777777" w:rsidR="00D568F3" w:rsidRPr="00A4272B" w:rsidRDefault="00D568F3" w:rsidP="00D568F3">
      <w:pPr>
        <w:pStyle w:val="Text0"/>
        <w:spacing w:after="120"/>
        <w:rPr>
          <w:rFonts w:cs="Times New Roman"/>
          <w:u w:color="FFFFFF"/>
        </w:rPr>
      </w:pPr>
      <w:r w:rsidRPr="00A4272B">
        <w:rPr>
          <w:rFonts w:cs="Times New Roman"/>
          <w:u w:color="FFFFFF"/>
        </w:rPr>
        <w:t>The GMP Data Warehouse offers various data exports, reports, and visualizations, collectively referred to as “data products.” These data products are designed to align with the requirements for regional and global monitoring reports outlined in Chapter 7.</w:t>
      </w:r>
    </w:p>
    <w:p w14:paraId="3D14E996" w14:textId="4D3C26F3" w:rsidR="00D568F3" w:rsidRPr="00A4272B" w:rsidRDefault="00D568F3" w:rsidP="00817D9F">
      <w:pPr>
        <w:pStyle w:val="Heading4"/>
        <w:rPr>
          <w:rFonts w:hint="eastAsia"/>
          <w:u w:color="FFFFFF"/>
        </w:rPr>
      </w:pPr>
      <w:r w:rsidRPr="00A4272B">
        <w:rPr>
          <w:u w:color="FFFFFF"/>
        </w:rPr>
        <w:t>Data analysis</w:t>
      </w:r>
    </w:p>
    <w:p w14:paraId="31AB3879" w14:textId="63F5FFFF" w:rsidR="00D568F3" w:rsidRPr="00A4272B" w:rsidRDefault="00D568F3" w:rsidP="00D568F3">
      <w:pPr>
        <w:pStyle w:val="Text0"/>
        <w:spacing w:after="120"/>
        <w:rPr>
          <w:rFonts w:cs="Times New Roman"/>
          <w:u w:color="FFFFFF"/>
        </w:rPr>
      </w:pPr>
      <w:r w:rsidRPr="00A4272B">
        <w:rPr>
          <w:rFonts w:cs="Times New Roman"/>
          <w:u w:color="FFFFFF"/>
        </w:rPr>
        <w:t>To ensure comparability of POPs data across different regions, the GMP DWH provides harmonized assessment tools, including statistical methods for evaluating temporal trends. GMP output products—such as maps, tables, and charts—are accessible via the visualization portal and can be directly incorporated into regional reports.</w:t>
      </w:r>
      <w:r w:rsidR="002A04E0" w:rsidRPr="00A4272B">
        <w:rPr>
          <w:rFonts w:cs="Times New Roman"/>
          <w:u w:color="FFFFFF"/>
        </w:rPr>
        <w:t xml:space="preserve"> </w:t>
      </w:r>
      <w:r w:rsidRPr="00A4272B">
        <w:rPr>
          <w:rFonts w:cs="Times New Roman"/>
          <w:u w:color="FFFFFF"/>
        </w:rPr>
        <w:t>Reliable trend identification, including statistical evaluation, is conducted on all data within the GMP. Details on data processing and the methods used for analysis are provided in Chapter 3. All trends identified are specific to individual sites.</w:t>
      </w:r>
    </w:p>
    <w:p w14:paraId="749989AC" w14:textId="4BD585DB" w:rsidR="00F3536C" w:rsidRPr="00A4272B" w:rsidRDefault="00711D04" w:rsidP="002A04E0">
      <w:pPr>
        <w:pStyle w:val="GMPHeading1"/>
        <w:rPr>
          <w:rFonts w:hint="eastAsia"/>
        </w:rPr>
      </w:pPr>
      <w:bookmarkStart w:id="455" w:name="_Toc187270530"/>
      <w:r w:rsidRPr="00A4272B">
        <w:t>7.</w:t>
      </w:r>
      <w:r w:rsidRPr="00A4272B">
        <w:tab/>
        <w:t>S</w:t>
      </w:r>
      <w:r w:rsidR="00F3536C" w:rsidRPr="00A4272B">
        <w:t>trategy, process and draft structure for regional monitoring reports</w:t>
      </w:r>
      <w:bookmarkEnd w:id="455"/>
    </w:p>
    <w:p w14:paraId="414384B8" w14:textId="5AAE041A" w:rsidR="00F3536C" w:rsidRPr="00A4272B" w:rsidRDefault="00711D04" w:rsidP="00050CF3">
      <w:pPr>
        <w:pStyle w:val="GMPHeading2"/>
        <w:tabs>
          <w:tab w:val="clear" w:pos="360"/>
          <w:tab w:val="clear" w:pos="450"/>
          <w:tab w:val="clear" w:pos="540"/>
          <w:tab w:val="clear" w:pos="630"/>
        </w:tabs>
        <w:rPr>
          <w:rFonts w:hint="eastAsia"/>
        </w:rPr>
      </w:pPr>
      <w:bookmarkStart w:id="456" w:name="_Toc535584404"/>
      <w:bookmarkStart w:id="457" w:name="_Toc187270531"/>
      <w:r w:rsidRPr="00A4272B">
        <w:t>7.1</w:t>
      </w:r>
      <w:r w:rsidRPr="00A4272B">
        <w:tab/>
      </w:r>
      <w:r w:rsidR="00F3536C" w:rsidRPr="00A4272B">
        <w:t>Implementation of the global monitoring plan for effectiveness evaluation</w:t>
      </w:r>
      <w:bookmarkEnd w:id="456"/>
      <w:bookmarkEnd w:id="457"/>
    </w:p>
    <w:p w14:paraId="25482E3F" w14:textId="77777777" w:rsidR="002A04E0" w:rsidRPr="00A4272B" w:rsidRDefault="00D568F3" w:rsidP="0023432F">
      <w:pPr>
        <w:pStyle w:val="BodyText"/>
      </w:pPr>
      <w:r w:rsidRPr="00A4272B">
        <w:t xml:space="preserve">The implementation arrangements are outlined in the </w:t>
      </w:r>
      <w:r w:rsidRPr="00A4272B">
        <w:rPr>
          <w:i/>
          <w:iCs/>
        </w:rPr>
        <w:t>Implementation Plan for the Global Monitoring Plan for Effectiveness Evaluation</w:t>
      </w:r>
      <w:r w:rsidRPr="00A4272B">
        <w:t xml:space="preserve"> (UNEP/POPS/COP.6/INF/31/Add.2). This plan details the main tasks required to implement the global monitoring plan for both the initial and subsequent effectiveness evaluations. </w:t>
      </w:r>
    </w:p>
    <w:p w14:paraId="0F5B4255" w14:textId="68C9EAF8" w:rsidR="00D568F3" w:rsidRPr="00A4272B" w:rsidRDefault="00D568F3" w:rsidP="0023432F">
      <w:pPr>
        <w:pStyle w:val="BodyText"/>
      </w:pPr>
      <w:r w:rsidRPr="00A4272B">
        <w:t>The Conference of the Parties has specified the following minimum requirements for effectiveness evaluation:</w:t>
      </w:r>
    </w:p>
    <w:p w14:paraId="3B0C6D47" w14:textId="5A7F4FD9" w:rsidR="00D568F3" w:rsidRPr="00A4272B" w:rsidRDefault="00D568F3">
      <w:pPr>
        <w:pStyle w:val="BodyText"/>
        <w:numPr>
          <w:ilvl w:val="0"/>
          <w:numId w:val="129"/>
        </w:numPr>
      </w:pPr>
      <w:r w:rsidRPr="00A4272B">
        <w:t>The baseline generally refers to the status quo as of the Convention's entry into force or, if unavailable, the earliest relevant data thereafter, which is used to evaluate changes over time</w:t>
      </w:r>
      <w:r w:rsidR="003F50B4" w:rsidRPr="00A4272B">
        <w:t>;</w:t>
      </w:r>
    </w:p>
    <w:p w14:paraId="66C911AF" w14:textId="77777777" w:rsidR="00D568F3" w:rsidRPr="00A4272B" w:rsidRDefault="00D568F3">
      <w:pPr>
        <w:pStyle w:val="BodyText"/>
        <w:numPr>
          <w:ilvl w:val="0"/>
          <w:numId w:val="129"/>
        </w:numPr>
      </w:pPr>
      <w:r w:rsidRPr="00A4272B">
        <w:t>Air monitoring and human exposure via breast milk or human blood serve as core data sources.</w:t>
      </w:r>
    </w:p>
    <w:p w14:paraId="4AB85F0F" w14:textId="355BE872" w:rsidR="00D568F3" w:rsidRPr="00A4272B" w:rsidRDefault="00D568F3">
      <w:pPr>
        <w:pStyle w:val="BodyText"/>
        <w:numPr>
          <w:ilvl w:val="0"/>
          <w:numId w:val="129"/>
        </w:numPr>
      </w:pPr>
      <w:r w:rsidRPr="00A4272B">
        <w:t>Water is the core environmental matrix specifically for monitoring PFOS</w:t>
      </w:r>
      <w:r w:rsidR="003F50B4" w:rsidRPr="00A4272B">
        <w:t>;</w:t>
      </w:r>
    </w:p>
    <w:p w14:paraId="1E239F4A" w14:textId="7717A677" w:rsidR="00D568F3" w:rsidRPr="00A4272B" w:rsidRDefault="00D568F3">
      <w:pPr>
        <w:pStyle w:val="BodyText"/>
        <w:numPr>
          <w:ilvl w:val="0"/>
          <w:numId w:val="129"/>
        </w:numPr>
      </w:pPr>
      <w:r w:rsidRPr="00A4272B">
        <w:t>Core data should be comparable, representative, and obtained from all five regions</w:t>
      </w:r>
      <w:r w:rsidR="003F50B4" w:rsidRPr="00A4272B">
        <w:t>;</w:t>
      </w:r>
    </w:p>
    <w:p w14:paraId="57A28F61" w14:textId="3EB080F9" w:rsidR="00D568F3" w:rsidRPr="00A4272B" w:rsidRDefault="00D568F3">
      <w:pPr>
        <w:pStyle w:val="BodyText"/>
        <w:numPr>
          <w:ilvl w:val="0"/>
          <w:numId w:val="129"/>
        </w:numPr>
      </w:pPr>
      <w:r w:rsidRPr="00A4272B">
        <w:t>Guidance on standardization should be periodically updated as needed</w:t>
      </w:r>
      <w:r w:rsidR="003F50B4" w:rsidRPr="00A4272B">
        <w:t>;</w:t>
      </w:r>
    </w:p>
    <w:p w14:paraId="1263709B" w14:textId="77777777" w:rsidR="00D568F3" w:rsidRPr="00A4272B" w:rsidRDefault="00D568F3">
      <w:pPr>
        <w:pStyle w:val="BodyText"/>
        <w:numPr>
          <w:ilvl w:val="0"/>
          <w:numId w:val="129"/>
        </w:numPr>
      </w:pPr>
      <w:r w:rsidRPr="00A4272B">
        <w:t>The strategic arrangements and partnerships established in the first evaluation should be maintained and expanded, as appropriate.</w:t>
      </w:r>
    </w:p>
    <w:p w14:paraId="0BE3A129" w14:textId="77777777" w:rsidR="00D568F3" w:rsidRPr="00A4272B" w:rsidRDefault="00D568F3" w:rsidP="0023432F">
      <w:pPr>
        <w:pStyle w:val="BodyText"/>
      </w:pPr>
      <w:r w:rsidRPr="00A4272B">
        <w:t>The implementation plan includes arrangements to ensure comparable and consistent monitoring data, addressing the following areas:</w:t>
      </w:r>
    </w:p>
    <w:p w14:paraId="36AA53DF" w14:textId="2E7971BB" w:rsidR="00D568F3" w:rsidRPr="00A4272B" w:rsidRDefault="00D568F3">
      <w:pPr>
        <w:pStyle w:val="BodyText"/>
        <w:numPr>
          <w:ilvl w:val="0"/>
          <w:numId w:val="130"/>
        </w:numPr>
      </w:pPr>
      <w:r w:rsidRPr="00A4272B">
        <w:t>Identifying and assessing potential sources of core media data for effectiveness evaluation, including establishing criteria for evaluating monitoring activities that can contribute to the global monitoring plan</w:t>
      </w:r>
      <w:r w:rsidR="003F50B4" w:rsidRPr="00A4272B">
        <w:t>;</w:t>
      </w:r>
    </w:p>
    <w:p w14:paraId="3F6071C5" w14:textId="7ACB08CD" w:rsidR="00D568F3" w:rsidRPr="00A4272B" w:rsidRDefault="00D568F3">
      <w:pPr>
        <w:pStyle w:val="BodyText"/>
        <w:numPr>
          <w:ilvl w:val="0"/>
          <w:numId w:val="130"/>
        </w:numPr>
      </w:pPr>
      <w:r w:rsidRPr="00A4272B">
        <w:t>Strategic partnerships and arrangements for acquiring core media data for the monitoring reports</w:t>
      </w:r>
      <w:r w:rsidR="003F50B4" w:rsidRPr="00A4272B">
        <w:t>;</w:t>
      </w:r>
    </w:p>
    <w:p w14:paraId="71F971A6" w14:textId="77777777" w:rsidR="00D568F3" w:rsidRPr="00A4272B" w:rsidRDefault="00D568F3">
      <w:pPr>
        <w:pStyle w:val="BodyText"/>
        <w:numPr>
          <w:ilvl w:val="0"/>
          <w:numId w:val="130"/>
        </w:numPr>
      </w:pPr>
      <w:r w:rsidRPr="00A4272B">
        <w:t>Methods for summarizing and presenting monitoring data on a regional basis to support effectiveness evaluations, including reporting on regional and global transport.</w:t>
      </w:r>
    </w:p>
    <w:p w14:paraId="373C916D" w14:textId="02479FEE" w:rsidR="00F3536C" w:rsidRPr="00A4272B" w:rsidRDefault="00D568F3" w:rsidP="0023432F">
      <w:pPr>
        <w:pStyle w:val="BodyText"/>
      </w:pPr>
      <w:r w:rsidRPr="00A4272B">
        <w:t xml:space="preserve">Further details are available in the document UNEP/POPS/COP.6/INF/31/Add.2, accessible at </w:t>
      </w:r>
      <w:hyperlink r:id="rId65" w:tgtFrame="_new" w:history="1">
        <w:r w:rsidRPr="00A4272B">
          <w:rPr>
            <w:rStyle w:val="Hyperlink"/>
            <w:lang w:val="en-US"/>
          </w:rPr>
          <w:t>http://chm.pops.int/Implementation/GlobalMonitoringPlan/Regionalorganizationgroups/tabid/179/Default.aspx</w:t>
        </w:r>
      </w:hyperlink>
      <w:r w:rsidR="00457FA0" w:rsidRPr="00A4272B">
        <w:t>.</w:t>
      </w:r>
    </w:p>
    <w:p w14:paraId="29A3C12A" w14:textId="0EF63185" w:rsidR="00F3536C" w:rsidRPr="00A4272B" w:rsidRDefault="00D75CD1" w:rsidP="00050CF3">
      <w:pPr>
        <w:pStyle w:val="GMPHeading2"/>
        <w:tabs>
          <w:tab w:val="clear" w:pos="360"/>
          <w:tab w:val="clear" w:pos="450"/>
          <w:tab w:val="clear" w:pos="540"/>
          <w:tab w:val="clear" w:pos="630"/>
        </w:tabs>
        <w:rPr>
          <w:rFonts w:hint="eastAsia"/>
        </w:rPr>
      </w:pPr>
      <w:bookmarkStart w:id="458" w:name="_Toc535584405"/>
      <w:bookmarkStart w:id="459" w:name="_Toc187270532"/>
      <w:r w:rsidRPr="00A4272B">
        <w:t>7.2</w:t>
      </w:r>
      <w:r w:rsidRPr="00A4272B">
        <w:tab/>
      </w:r>
      <w:r w:rsidR="00F3536C" w:rsidRPr="00A4272B">
        <w:t xml:space="preserve">Outline of regional monitoring reports (to be </w:t>
      </w:r>
      <w:r w:rsidR="00442F97" w:rsidRPr="00A4272B">
        <w:t>adapted as appropriate for u</w:t>
      </w:r>
      <w:r w:rsidR="00F3536C" w:rsidRPr="00A4272B">
        <w:t xml:space="preserve">se in </w:t>
      </w:r>
      <w:r w:rsidR="00442F97" w:rsidRPr="00A4272B">
        <w:t>specific regions</w:t>
      </w:r>
      <w:r w:rsidR="00F3536C" w:rsidRPr="00A4272B">
        <w:t>)</w:t>
      </w:r>
      <w:bookmarkEnd w:id="458"/>
      <w:bookmarkEnd w:id="459"/>
    </w:p>
    <w:p w14:paraId="3F537ED7" w14:textId="6BA21EEC" w:rsidR="00D568F3" w:rsidRPr="00A4272B" w:rsidRDefault="00442F97" w:rsidP="0023432F">
      <w:pPr>
        <w:pStyle w:val="BodyText"/>
      </w:pPr>
      <w:bookmarkStart w:id="460" w:name="_Toc287973456"/>
      <w:bookmarkStart w:id="461" w:name="_Toc288232610"/>
      <w:bookmarkStart w:id="462" w:name="_Toc288745812"/>
      <w:bookmarkStart w:id="463" w:name="_Toc280695060"/>
      <w:bookmarkStart w:id="464" w:name="_Toc280695219"/>
      <w:bookmarkStart w:id="465" w:name="_Toc282086422"/>
      <w:bookmarkStart w:id="466" w:name="_Toc282435135"/>
      <w:bookmarkStart w:id="467" w:name="_Toc287965934"/>
      <w:r w:rsidRPr="00A4272B">
        <w:t>According to their terms of reference, the primary objectives of the regional organization groups (ROGs) include establishing and implementing a regional strategy for data collection, addressing capacity-building needs, and fostering strategic partnerships to close identified data gaps (see Section 7.1). The ROGs are also tasked with preparing regional monitoring reports, which contribute to the global monitoring report for effectiveness evaluation.</w:t>
      </w:r>
      <w:r w:rsidR="002A04E0" w:rsidRPr="00A4272B">
        <w:t xml:space="preserve"> </w:t>
      </w:r>
      <w:r w:rsidRPr="00A4272B">
        <w:t>The annotated outline for the regional monitoring reports is provided below.</w:t>
      </w:r>
    </w:p>
    <w:tbl>
      <w:tblPr>
        <w:tblStyle w:val="TableGrid"/>
        <w:tblW w:w="0" w:type="auto"/>
        <w:tblLook w:val="04A0" w:firstRow="1" w:lastRow="0" w:firstColumn="1" w:lastColumn="0" w:noHBand="0" w:noVBand="1"/>
      </w:tblPr>
      <w:tblGrid>
        <w:gridCol w:w="9825"/>
      </w:tblGrid>
      <w:tr w:rsidR="005A6CBA" w:rsidRPr="00A4272B" w14:paraId="648AD469" w14:textId="77777777" w:rsidTr="005A6CBA">
        <w:tc>
          <w:tcPr>
            <w:tcW w:w="9825" w:type="dxa"/>
          </w:tcPr>
          <w:p w14:paraId="5631FA83" w14:textId="77777777" w:rsidR="005A6CBA" w:rsidRPr="00A4272B" w:rsidRDefault="005A6CBA" w:rsidP="002A04E0">
            <w:pPr>
              <w:keepNext/>
              <w:spacing w:before="120"/>
              <w:rPr>
                <w:b/>
                <w:bCs/>
                <w:sz w:val="28"/>
                <w:szCs w:val="28"/>
                <w:lang w:val="en-US"/>
              </w:rPr>
            </w:pPr>
            <w:bookmarkStart w:id="468" w:name="_Toc514239738"/>
            <w:bookmarkStart w:id="469" w:name="_Toc514240642"/>
            <w:bookmarkStart w:id="470" w:name="_Toc514240806"/>
            <w:bookmarkStart w:id="471" w:name="_Toc514243193"/>
            <w:bookmarkStart w:id="472" w:name="_Toc514752086"/>
            <w:bookmarkStart w:id="473" w:name="_Toc535504549"/>
            <w:bookmarkStart w:id="474" w:name="_Toc535584406"/>
            <w:bookmarkStart w:id="475" w:name="_Toc531698"/>
            <w:bookmarkStart w:id="476" w:name="_Toc532218"/>
            <w:bookmarkStart w:id="477" w:name="_Toc532431"/>
            <w:bookmarkStart w:id="478" w:name="_Toc1467922"/>
            <w:bookmarkStart w:id="479" w:name="_Toc1468095"/>
            <w:bookmarkStart w:id="480" w:name="_Toc1483979"/>
            <w:bookmarkStart w:id="481" w:name="_Toc65306523"/>
            <w:r w:rsidRPr="00A4272B">
              <w:rPr>
                <w:b/>
                <w:bCs/>
                <w:sz w:val="28"/>
                <w:szCs w:val="28"/>
                <w:lang w:val="en-US"/>
              </w:rPr>
              <w:lastRenderedPageBreak/>
              <w:t>Acknowledgements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612384D2" w14:textId="77777777" w:rsidR="005A6CBA" w:rsidRPr="00A4272B" w:rsidRDefault="005A6CBA" w:rsidP="0023432F">
            <w:pPr>
              <w:spacing w:before="240"/>
              <w:rPr>
                <w:b/>
                <w:bCs/>
                <w:sz w:val="28"/>
                <w:szCs w:val="28"/>
                <w:lang w:val="en-US"/>
              </w:rPr>
            </w:pPr>
            <w:bookmarkStart w:id="482" w:name="_Toc514239740"/>
            <w:bookmarkStart w:id="483" w:name="_Toc514240644"/>
            <w:bookmarkStart w:id="484" w:name="_Toc514240808"/>
            <w:bookmarkStart w:id="485" w:name="_Toc514243195"/>
            <w:bookmarkStart w:id="486" w:name="_Toc514752088"/>
            <w:bookmarkStart w:id="487" w:name="_Toc535504551"/>
            <w:bookmarkStart w:id="488" w:name="_Toc535584408"/>
            <w:bookmarkStart w:id="489" w:name="_Toc531700"/>
            <w:bookmarkStart w:id="490" w:name="_Toc532220"/>
            <w:bookmarkStart w:id="491" w:name="_Toc532433"/>
            <w:bookmarkStart w:id="492" w:name="_Toc1467924"/>
            <w:bookmarkStart w:id="493" w:name="_Toc1468097"/>
            <w:bookmarkStart w:id="494" w:name="_Toc1483981"/>
            <w:bookmarkStart w:id="495" w:name="_Toc65306525"/>
            <w:r w:rsidRPr="00A4272B">
              <w:rPr>
                <w:b/>
                <w:bCs/>
                <w:sz w:val="28"/>
                <w:szCs w:val="28"/>
                <w:lang w:val="en-US"/>
              </w:rPr>
              <w:t>Abbreviations and acronymes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2AAB58B6" w14:textId="77777777" w:rsidR="005A6CBA" w:rsidRPr="00A4272B" w:rsidRDefault="005A6CBA" w:rsidP="0023432F">
            <w:pPr>
              <w:spacing w:before="240"/>
              <w:rPr>
                <w:b/>
                <w:bCs/>
                <w:sz w:val="28"/>
                <w:szCs w:val="28"/>
                <w:lang w:val="en-US"/>
              </w:rPr>
            </w:pPr>
            <w:bookmarkStart w:id="496" w:name="_Toc514239741"/>
            <w:bookmarkStart w:id="497" w:name="_Toc514240645"/>
            <w:bookmarkStart w:id="498" w:name="_Toc514240809"/>
            <w:bookmarkStart w:id="499" w:name="_Toc514243196"/>
            <w:bookmarkStart w:id="500" w:name="_Toc514752089"/>
            <w:bookmarkStart w:id="501" w:name="_Toc535504552"/>
            <w:bookmarkStart w:id="502" w:name="_Toc535584409"/>
            <w:bookmarkStart w:id="503" w:name="_Toc531701"/>
            <w:bookmarkStart w:id="504" w:name="_Toc532221"/>
            <w:bookmarkStart w:id="505" w:name="_Toc532434"/>
            <w:bookmarkStart w:id="506" w:name="_Toc1467925"/>
            <w:bookmarkStart w:id="507" w:name="_Toc1468098"/>
            <w:bookmarkStart w:id="508" w:name="_Toc1483982"/>
            <w:bookmarkStart w:id="509" w:name="_Toc65306526"/>
            <w:r w:rsidRPr="00A4272B">
              <w:rPr>
                <w:b/>
                <w:bCs/>
                <w:sz w:val="28"/>
                <w:szCs w:val="28"/>
                <w:lang w:val="en-US"/>
              </w:rPr>
              <w:t>Glosary of terms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0A771197" w14:textId="77777777" w:rsidR="005A6CBA" w:rsidRPr="00A4272B" w:rsidRDefault="005A6CBA" w:rsidP="0023432F">
            <w:pPr>
              <w:spacing w:before="240"/>
              <w:rPr>
                <w:b/>
                <w:bCs/>
                <w:sz w:val="28"/>
                <w:szCs w:val="28"/>
                <w:lang w:val="en-US"/>
              </w:rPr>
            </w:pPr>
            <w:r w:rsidRPr="00A4272B">
              <w:rPr>
                <w:b/>
                <w:bCs/>
                <w:sz w:val="28"/>
                <w:szCs w:val="28"/>
                <w:lang w:val="en-US"/>
              </w:rPr>
              <w:t>Executive summary</w:t>
            </w:r>
            <w:bookmarkStart w:id="510" w:name="_Toc287973457"/>
            <w:bookmarkStart w:id="511" w:name="_Toc288232611"/>
            <w:bookmarkStart w:id="512" w:name="_Toc288745813"/>
          </w:p>
          <w:p w14:paraId="14EA8EAC" w14:textId="3AAEA4F5" w:rsidR="005A6CBA" w:rsidRPr="00A4272B" w:rsidRDefault="005A6CBA" w:rsidP="002A04E0">
            <w:pPr>
              <w:spacing w:before="240"/>
              <w:rPr>
                <w:b/>
                <w:bCs/>
                <w:sz w:val="28"/>
                <w:szCs w:val="28"/>
                <w:lang w:val="en-US"/>
              </w:rPr>
            </w:pPr>
            <w:bookmarkStart w:id="513" w:name="_Toc514239742"/>
            <w:bookmarkStart w:id="514" w:name="_Toc514240646"/>
            <w:bookmarkStart w:id="515" w:name="_Toc514240810"/>
            <w:bookmarkStart w:id="516" w:name="_Toc514243197"/>
            <w:bookmarkStart w:id="517" w:name="_Toc514752090"/>
            <w:bookmarkStart w:id="518" w:name="_Toc535504553"/>
            <w:bookmarkStart w:id="519" w:name="_Toc535584410"/>
            <w:bookmarkStart w:id="520" w:name="_Toc531702"/>
            <w:bookmarkStart w:id="521" w:name="_Toc532222"/>
            <w:bookmarkStart w:id="522" w:name="_Toc532435"/>
            <w:bookmarkStart w:id="523" w:name="_Toc1467926"/>
            <w:bookmarkStart w:id="524" w:name="_Toc1468099"/>
            <w:bookmarkStart w:id="525" w:name="_Toc1483983"/>
            <w:bookmarkStart w:id="526" w:name="_Toc65306527"/>
            <w:r w:rsidRPr="00A4272B">
              <w:rPr>
                <w:b/>
                <w:bCs/>
                <w:sz w:val="28"/>
                <w:szCs w:val="28"/>
                <w:lang w:val="en-US"/>
              </w:rPr>
              <w:t>I. Introduction</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05701489" w14:textId="698B3DD1" w:rsidR="005A6CBA" w:rsidRPr="00A4272B" w:rsidRDefault="00251B73" w:rsidP="00A913FE">
            <w:pPr>
              <w:rPr>
                <w:lang w:val="en-US"/>
              </w:rPr>
            </w:pPr>
            <w:r w:rsidRPr="00A4272B">
              <w:rPr>
                <w:lang w:val="en-US"/>
              </w:rPr>
              <w:t>This section outlines the objectives of Article 16 of the Stockholm Convention and the GMP. It references previous GMP phases to provide context</w:t>
            </w:r>
            <w:r w:rsidR="005A6CBA" w:rsidRPr="00A4272B">
              <w:rPr>
                <w:lang w:val="en-US"/>
              </w:rPr>
              <w:t>.</w:t>
            </w:r>
          </w:p>
          <w:p w14:paraId="37D07A27" w14:textId="3EB0CFC1" w:rsidR="005A6CBA" w:rsidRPr="00A4272B" w:rsidRDefault="005A6CBA" w:rsidP="002A04E0">
            <w:pPr>
              <w:spacing w:before="240"/>
              <w:rPr>
                <w:b/>
                <w:bCs/>
                <w:sz w:val="28"/>
                <w:szCs w:val="28"/>
                <w:lang w:val="en-US"/>
              </w:rPr>
            </w:pPr>
            <w:bookmarkStart w:id="527" w:name="_Toc280695061"/>
            <w:bookmarkStart w:id="528" w:name="_Toc280695220"/>
            <w:bookmarkStart w:id="529" w:name="_Toc282086423"/>
            <w:bookmarkStart w:id="530" w:name="_Toc282435136"/>
            <w:bookmarkStart w:id="531" w:name="_Toc287965935"/>
            <w:bookmarkStart w:id="532" w:name="_Toc287973458"/>
            <w:bookmarkStart w:id="533" w:name="_Toc288232612"/>
            <w:bookmarkStart w:id="534" w:name="_Toc288745814"/>
            <w:bookmarkStart w:id="535" w:name="_Toc514239743"/>
            <w:bookmarkStart w:id="536" w:name="_Toc514240647"/>
            <w:bookmarkStart w:id="537" w:name="_Toc514240811"/>
            <w:bookmarkStart w:id="538" w:name="_Toc514243198"/>
            <w:bookmarkStart w:id="539" w:name="_Toc514752091"/>
            <w:bookmarkStart w:id="540" w:name="_Toc535504554"/>
            <w:bookmarkStart w:id="541" w:name="_Toc535584411"/>
            <w:bookmarkStart w:id="542" w:name="_Toc531703"/>
            <w:bookmarkStart w:id="543" w:name="_Toc532223"/>
            <w:bookmarkStart w:id="544" w:name="_Toc532436"/>
            <w:bookmarkStart w:id="545" w:name="_Toc1467927"/>
            <w:bookmarkStart w:id="546" w:name="_Toc1468100"/>
            <w:bookmarkStart w:id="547" w:name="_Toc1483984"/>
            <w:bookmarkStart w:id="548" w:name="_Toc65306528"/>
            <w:r w:rsidRPr="00A4272B">
              <w:rPr>
                <w:b/>
                <w:bCs/>
                <w:sz w:val="28"/>
                <w:szCs w:val="28"/>
                <w:lang w:val="en-US"/>
              </w:rPr>
              <w:t>II. Description of the region</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7F1D1671" w14:textId="77777777" w:rsidR="00251B73" w:rsidRPr="00A4272B" w:rsidRDefault="00251B73" w:rsidP="00251B73">
            <w:pPr>
              <w:pStyle w:val="USAIDbullet1"/>
              <w:numPr>
                <w:ilvl w:val="0"/>
                <w:numId w:val="0"/>
              </w:numPr>
              <w:rPr>
                <w:lang w:val="en-US"/>
              </w:rPr>
            </w:pPr>
            <w:r w:rsidRPr="00A4272B">
              <w:rPr>
                <w:lang w:val="en-US"/>
              </w:rPr>
              <w:t>This section describes:</w:t>
            </w:r>
          </w:p>
          <w:p w14:paraId="19F2F9D8" w14:textId="77777777" w:rsidR="00251B73" w:rsidRPr="00A4272B" w:rsidRDefault="00251B73">
            <w:pPr>
              <w:pStyle w:val="USAIDbullet1"/>
              <w:numPr>
                <w:ilvl w:val="0"/>
                <w:numId w:val="132"/>
              </w:numPr>
              <w:rPr>
                <w:lang w:val="en-US"/>
              </w:rPr>
            </w:pPr>
            <w:r w:rsidRPr="00A4272B">
              <w:rPr>
                <w:lang w:val="en-US"/>
              </w:rPr>
              <w:t>The overall composition of the region, including political, geographical, and industrial activities, agricultural practices, and links to POPs;</w:t>
            </w:r>
          </w:p>
          <w:p w14:paraId="196792A3" w14:textId="77777777" w:rsidR="00251B73" w:rsidRPr="00A4272B" w:rsidRDefault="00251B73">
            <w:pPr>
              <w:pStyle w:val="USAIDbullet1"/>
              <w:numPr>
                <w:ilvl w:val="0"/>
                <w:numId w:val="132"/>
              </w:numPr>
              <w:rPr>
                <w:lang w:val="en-US"/>
              </w:rPr>
            </w:pPr>
            <w:r w:rsidRPr="00A4272B">
              <w:rPr>
                <w:lang w:val="en-US"/>
              </w:rPr>
              <w:t>The regional boundaries and the rationale for their selection;</w:t>
            </w:r>
          </w:p>
          <w:p w14:paraId="35712F69" w14:textId="77777777" w:rsidR="00251B73" w:rsidRPr="00A4272B" w:rsidRDefault="00251B73">
            <w:pPr>
              <w:pStyle w:val="USAIDbullet1"/>
              <w:numPr>
                <w:ilvl w:val="0"/>
                <w:numId w:val="132"/>
              </w:numPr>
              <w:rPr>
                <w:lang w:val="en-US"/>
              </w:rPr>
            </w:pPr>
            <w:r w:rsidRPr="00A4272B">
              <w:rPr>
                <w:lang w:val="en-US"/>
              </w:rPr>
              <w:t>Sub-regional arrangements, including the identification and justification for any sub-regions created.</w:t>
            </w:r>
          </w:p>
          <w:p w14:paraId="677C40B0" w14:textId="56FC488B" w:rsidR="005A6CBA" w:rsidRPr="00A4272B" w:rsidRDefault="005A6CBA" w:rsidP="002A04E0">
            <w:pPr>
              <w:spacing w:before="240"/>
              <w:rPr>
                <w:b/>
                <w:bCs/>
                <w:sz w:val="28"/>
                <w:szCs w:val="28"/>
                <w:lang w:val="en-US"/>
              </w:rPr>
            </w:pPr>
            <w:bookmarkStart w:id="549" w:name="_Toc280695062"/>
            <w:bookmarkStart w:id="550" w:name="_Toc280695221"/>
            <w:bookmarkStart w:id="551" w:name="_Toc282086424"/>
            <w:bookmarkStart w:id="552" w:name="_Toc282435137"/>
            <w:bookmarkStart w:id="553" w:name="_Toc287965936"/>
            <w:bookmarkStart w:id="554" w:name="_Toc287973459"/>
            <w:bookmarkStart w:id="555" w:name="_Toc288232613"/>
            <w:bookmarkStart w:id="556" w:name="_Toc288745815"/>
            <w:bookmarkStart w:id="557" w:name="_Toc514239744"/>
            <w:bookmarkStart w:id="558" w:name="_Toc514240648"/>
            <w:bookmarkStart w:id="559" w:name="_Toc514240812"/>
            <w:bookmarkStart w:id="560" w:name="_Toc514243199"/>
            <w:bookmarkStart w:id="561" w:name="_Toc514752092"/>
            <w:bookmarkStart w:id="562" w:name="_Toc535504555"/>
            <w:bookmarkStart w:id="563" w:name="_Toc535584412"/>
            <w:bookmarkStart w:id="564" w:name="_Toc531704"/>
            <w:bookmarkStart w:id="565" w:name="_Toc532224"/>
            <w:bookmarkStart w:id="566" w:name="_Toc532437"/>
            <w:bookmarkStart w:id="567" w:name="_Toc1467928"/>
            <w:bookmarkStart w:id="568" w:name="_Toc1468101"/>
            <w:bookmarkStart w:id="569" w:name="_Toc1483985"/>
            <w:bookmarkStart w:id="570" w:name="_Toc65306529"/>
            <w:r w:rsidRPr="00A4272B">
              <w:rPr>
                <w:b/>
                <w:bCs/>
                <w:sz w:val="28"/>
                <w:szCs w:val="28"/>
                <w:lang w:val="en-US"/>
              </w:rPr>
              <w:t>III. Organization</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78CA892A" w14:textId="77777777" w:rsidR="00251B73" w:rsidRPr="00A4272B" w:rsidRDefault="00251B73" w:rsidP="0023432F">
            <w:pPr>
              <w:pStyle w:val="BodyText"/>
            </w:pPr>
            <w:r w:rsidRPr="00A4272B">
              <w:t>This section describes the overarching organizational strategy for the GMP and the preparation of the regional monitoring report:</w:t>
            </w:r>
          </w:p>
          <w:p w14:paraId="0CFD0D64" w14:textId="77777777" w:rsidR="00251B73" w:rsidRPr="00A4272B" w:rsidRDefault="00251B73">
            <w:pPr>
              <w:pStyle w:val="BodyText"/>
              <w:numPr>
                <w:ilvl w:val="0"/>
                <w:numId w:val="133"/>
              </w:numPr>
            </w:pPr>
            <w:r w:rsidRPr="00A4272B">
              <w:t>Preparatory workshops and online consultations, potentially sponsored by the Secretariat or donors;</w:t>
            </w:r>
          </w:p>
          <w:p w14:paraId="62F775FD" w14:textId="77777777" w:rsidR="00251B73" w:rsidRPr="00A4272B" w:rsidRDefault="00251B73">
            <w:pPr>
              <w:pStyle w:val="BodyText"/>
              <w:numPr>
                <w:ilvl w:val="0"/>
                <w:numId w:val="133"/>
              </w:numPr>
            </w:pPr>
            <w:r w:rsidRPr="00A4272B">
              <w:t>Establishment and responsibilities of the regional organization groups;</w:t>
            </w:r>
          </w:p>
          <w:p w14:paraId="4A7661BF" w14:textId="77777777" w:rsidR="00251B73" w:rsidRPr="00A4272B" w:rsidRDefault="00251B73">
            <w:pPr>
              <w:pStyle w:val="BodyText"/>
              <w:numPr>
                <w:ilvl w:val="0"/>
                <w:numId w:val="133"/>
              </w:numPr>
            </w:pPr>
            <w:r w:rsidRPr="00A4272B">
              <w:t>Agreement on a framework to ensure the comparability of information;</w:t>
            </w:r>
          </w:p>
          <w:p w14:paraId="3A90B960" w14:textId="77777777" w:rsidR="00251B73" w:rsidRPr="00A4272B" w:rsidRDefault="00251B73">
            <w:pPr>
              <w:pStyle w:val="BodyText"/>
              <w:numPr>
                <w:ilvl w:val="0"/>
                <w:numId w:val="133"/>
              </w:numPr>
            </w:pPr>
            <w:r w:rsidRPr="00A4272B">
              <w:t>Regionally developed and implemented plans based on the global framework;</w:t>
            </w:r>
          </w:p>
          <w:p w14:paraId="5D245B4F" w14:textId="77777777" w:rsidR="00251B73" w:rsidRPr="00A4272B" w:rsidRDefault="00251B73">
            <w:pPr>
              <w:pStyle w:val="BodyText"/>
              <w:numPr>
                <w:ilvl w:val="0"/>
                <w:numId w:val="133"/>
              </w:numPr>
            </w:pPr>
            <w:r w:rsidRPr="00A4272B">
              <w:t>Strategy for information gathering;</w:t>
            </w:r>
          </w:p>
          <w:p w14:paraId="58A21531" w14:textId="653E1AD0" w:rsidR="0023432F" w:rsidRPr="00A4272B" w:rsidRDefault="00251B73">
            <w:pPr>
              <w:pStyle w:val="BodyText"/>
              <w:numPr>
                <w:ilvl w:val="0"/>
                <w:numId w:val="133"/>
              </w:numPr>
            </w:pPr>
            <w:r w:rsidRPr="00A4272B">
              <w:t>Details on the formation of the sampling matrix, including decisions on the information required, regardless of pre-existing sources</w:t>
            </w:r>
            <w:bookmarkStart w:id="571" w:name="_Toc280693167"/>
            <w:bookmarkStart w:id="572" w:name="_Toc280695063"/>
            <w:bookmarkStart w:id="573" w:name="_Toc280695222"/>
            <w:bookmarkStart w:id="574" w:name="_Toc282086425"/>
            <w:bookmarkStart w:id="575" w:name="_Toc282435138"/>
            <w:bookmarkStart w:id="576" w:name="_Toc287965937"/>
            <w:bookmarkStart w:id="577" w:name="_Toc287973460"/>
            <w:bookmarkStart w:id="578" w:name="_Toc288232614"/>
            <w:bookmarkStart w:id="579" w:name="_Toc288745816"/>
            <w:bookmarkStart w:id="580" w:name="_Toc346702186"/>
            <w:bookmarkStart w:id="581" w:name="_Toc514239745"/>
            <w:bookmarkStart w:id="582" w:name="_Toc514240649"/>
            <w:bookmarkStart w:id="583" w:name="_Toc514240813"/>
            <w:bookmarkStart w:id="584" w:name="_Toc514243200"/>
            <w:bookmarkStart w:id="585" w:name="_Toc514752093"/>
            <w:bookmarkStart w:id="586" w:name="_Toc535504556"/>
            <w:bookmarkStart w:id="587" w:name="_Toc535584413"/>
            <w:bookmarkStart w:id="588" w:name="_Toc531705"/>
            <w:bookmarkStart w:id="589" w:name="_Toc532225"/>
            <w:bookmarkStart w:id="590" w:name="_Toc532438"/>
            <w:bookmarkStart w:id="591" w:name="_Toc1467929"/>
            <w:bookmarkStart w:id="592" w:name="_Toc1468102"/>
            <w:bookmarkStart w:id="593" w:name="_Toc1483986"/>
            <w:bookmarkStart w:id="594" w:name="_Toc65306530"/>
            <w:r w:rsidR="00BE1BD4" w:rsidRPr="00A4272B">
              <w:t>;</w:t>
            </w:r>
          </w:p>
          <w:p w14:paraId="67B7E516" w14:textId="3C6D8C62" w:rsidR="005A6CBA" w:rsidRPr="00A4272B" w:rsidRDefault="00251B73">
            <w:pPr>
              <w:pStyle w:val="BodyText"/>
              <w:numPr>
                <w:ilvl w:val="0"/>
                <w:numId w:val="133"/>
              </w:numPr>
            </w:pPr>
            <w:r w:rsidRPr="00A4272B">
              <w:t>Use of</w:t>
            </w:r>
            <w:r w:rsidR="005A6CBA" w:rsidRPr="00A4272B">
              <w:t xml:space="preserve"> existing programmes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0023432F" w:rsidRPr="00A4272B">
              <w:t xml:space="preserve">. Summarize </w:t>
            </w:r>
            <w:r w:rsidRPr="00A4272B">
              <w:t xml:space="preserve">linkages and arrangements with other </w:t>
            </w:r>
            <w:r w:rsidR="008F74AD" w:rsidRPr="00A4272B">
              <w:t>programmes</w:t>
            </w:r>
            <w:r w:rsidRPr="00A4272B">
              <w:t xml:space="preserve"> used as data or information sources</w:t>
            </w:r>
            <w:r w:rsidR="005A6CBA" w:rsidRPr="00A4272B">
              <w:t>.</w:t>
            </w:r>
          </w:p>
          <w:p w14:paraId="14DC66DE" w14:textId="0390ED4F" w:rsidR="005A6CBA" w:rsidRPr="00A4272B" w:rsidRDefault="005A6CBA" w:rsidP="002A04E0">
            <w:pPr>
              <w:spacing w:before="240"/>
              <w:rPr>
                <w:b/>
                <w:bCs/>
                <w:sz w:val="28"/>
                <w:szCs w:val="28"/>
                <w:lang w:val="en-US"/>
              </w:rPr>
            </w:pPr>
            <w:bookmarkStart w:id="595" w:name="_Toc280695064"/>
            <w:bookmarkStart w:id="596" w:name="_Toc280695223"/>
            <w:bookmarkStart w:id="597" w:name="_Toc282086426"/>
            <w:bookmarkStart w:id="598" w:name="_Toc282435139"/>
            <w:bookmarkStart w:id="599" w:name="_Toc287965938"/>
            <w:bookmarkStart w:id="600" w:name="_Toc287973461"/>
            <w:bookmarkStart w:id="601" w:name="_Toc288232615"/>
            <w:bookmarkStart w:id="602" w:name="_Toc288745817"/>
            <w:bookmarkStart w:id="603" w:name="_Toc514239746"/>
            <w:bookmarkStart w:id="604" w:name="_Toc514240650"/>
            <w:bookmarkStart w:id="605" w:name="_Toc514240814"/>
            <w:bookmarkStart w:id="606" w:name="_Toc514243201"/>
            <w:bookmarkStart w:id="607" w:name="_Toc514752094"/>
            <w:bookmarkStart w:id="608" w:name="_Toc535504557"/>
            <w:bookmarkStart w:id="609" w:name="_Toc535584414"/>
            <w:bookmarkStart w:id="610" w:name="_Toc531706"/>
            <w:bookmarkStart w:id="611" w:name="_Toc532226"/>
            <w:bookmarkStart w:id="612" w:name="_Toc532439"/>
            <w:bookmarkStart w:id="613" w:name="_Toc1467930"/>
            <w:bookmarkStart w:id="614" w:name="_Toc1468103"/>
            <w:bookmarkStart w:id="615" w:name="_Toc1483987"/>
            <w:bookmarkStart w:id="616" w:name="_Toc65306531"/>
            <w:r w:rsidRPr="00A4272B">
              <w:rPr>
                <w:b/>
                <w:bCs/>
                <w:sz w:val="28"/>
                <w:szCs w:val="28"/>
                <w:lang w:val="en-US"/>
              </w:rPr>
              <w:t xml:space="preserve">IV. Methodology for sampling, analysis and </w:t>
            </w:r>
            <w:r w:rsidR="00BD5074" w:rsidRPr="00A4272B">
              <w:rPr>
                <w:b/>
                <w:bCs/>
                <w:sz w:val="28"/>
                <w:szCs w:val="28"/>
                <w:lang w:val="en-US"/>
              </w:rPr>
              <w:t xml:space="preserve">data </w:t>
            </w:r>
            <w:r w:rsidRPr="00A4272B">
              <w:rPr>
                <w:b/>
                <w:bCs/>
                <w:sz w:val="28"/>
                <w:szCs w:val="28"/>
                <w:lang w:val="en-US"/>
              </w:rPr>
              <w:t>handling</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66631F5F" w14:textId="6EEA111A" w:rsidR="005A6CBA" w:rsidRPr="00A4272B" w:rsidRDefault="005A6CBA" w:rsidP="00A913FE">
            <w:pPr>
              <w:rPr>
                <w:b/>
                <w:bCs/>
                <w:lang w:val="en-US"/>
              </w:rPr>
            </w:pPr>
            <w:bookmarkStart w:id="617" w:name="_Toc280693169"/>
            <w:bookmarkStart w:id="618" w:name="_Toc280695065"/>
            <w:bookmarkStart w:id="619" w:name="_Toc280695224"/>
            <w:bookmarkStart w:id="620" w:name="_Toc282086427"/>
            <w:bookmarkStart w:id="621" w:name="_Toc282435140"/>
            <w:bookmarkStart w:id="622" w:name="_Toc287965939"/>
            <w:bookmarkStart w:id="623" w:name="_Toc287973462"/>
            <w:bookmarkStart w:id="624" w:name="_Toc288232616"/>
            <w:bookmarkStart w:id="625" w:name="_Toc288745818"/>
            <w:bookmarkStart w:id="626" w:name="_Toc346702188"/>
            <w:bookmarkStart w:id="627" w:name="_Toc514239747"/>
            <w:bookmarkStart w:id="628" w:name="_Toc514240651"/>
            <w:bookmarkStart w:id="629" w:name="_Toc514240815"/>
            <w:bookmarkStart w:id="630" w:name="_Toc514243202"/>
            <w:bookmarkStart w:id="631" w:name="_Toc514752095"/>
            <w:bookmarkStart w:id="632" w:name="_Toc535504558"/>
            <w:bookmarkStart w:id="633" w:name="_Toc535584415"/>
            <w:bookmarkStart w:id="634" w:name="_Toc531707"/>
            <w:bookmarkStart w:id="635" w:name="_Toc532227"/>
            <w:bookmarkStart w:id="636" w:name="_Toc532440"/>
            <w:bookmarkStart w:id="637" w:name="_Toc1467931"/>
            <w:bookmarkStart w:id="638" w:name="_Toc1468104"/>
            <w:bookmarkStart w:id="639" w:name="_Toc1483988"/>
            <w:bookmarkStart w:id="640" w:name="_Toc65306532"/>
            <w:r w:rsidRPr="00A4272B">
              <w:rPr>
                <w:b/>
                <w:bCs/>
                <w:lang w:val="en-US"/>
              </w:rPr>
              <w:t>Strategy for gathering new information</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00BE1BD4" w:rsidRPr="00A4272B">
              <w:rPr>
                <w:b/>
                <w:bCs/>
                <w:lang w:val="en-US"/>
              </w:rPr>
              <w:t>:</w:t>
            </w:r>
          </w:p>
          <w:p w14:paraId="471E9796" w14:textId="77777777" w:rsidR="00BD5074" w:rsidRPr="00A4272B" w:rsidRDefault="00BD5074">
            <w:pPr>
              <w:pStyle w:val="BodyText"/>
              <w:numPr>
                <w:ilvl w:val="0"/>
                <w:numId w:val="134"/>
              </w:numPr>
            </w:pPr>
            <w:r w:rsidRPr="00A4272B">
              <w:t>Explanation of the sampling matrix, including media, site selection, sampling frequency, and protocols to preserve sample integrity (e.g., quality assurance, transport, storage, and sample banking);</w:t>
            </w:r>
          </w:p>
          <w:p w14:paraId="7BAA4176" w14:textId="77777777" w:rsidR="00BD5074" w:rsidRPr="00A4272B" w:rsidRDefault="00BD5074">
            <w:pPr>
              <w:pStyle w:val="BodyText"/>
              <w:numPr>
                <w:ilvl w:val="0"/>
                <w:numId w:val="134"/>
              </w:numPr>
            </w:pPr>
            <w:r w:rsidRPr="00A4272B">
              <w:t>Identification of existing gaps and capacity development needs.</w:t>
            </w:r>
          </w:p>
          <w:p w14:paraId="4D9E4241" w14:textId="77777777" w:rsidR="00BD5074" w:rsidRPr="00A4272B" w:rsidRDefault="00BD5074" w:rsidP="0023432F">
            <w:pPr>
              <w:pStyle w:val="BodyText"/>
              <w:rPr>
                <w:b/>
                <w:bCs/>
                <w:color w:val="auto"/>
                <w:lang w:eastAsia="en-US"/>
              </w:rPr>
            </w:pPr>
            <w:r w:rsidRPr="00A4272B">
              <w:rPr>
                <w:b/>
                <w:bCs/>
                <w:color w:val="auto"/>
                <w:lang w:eastAsia="en-US"/>
              </w:rPr>
              <w:t>Media covered:</w:t>
            </w:r>
          </w:p>
          <w:p w14:paraId="4B609127" w14:textId="77777777" w:rsidR="00BD5074" w:rsidRPr="00A4272B" w:rsidRDefault="00BD5074">
            <w:pPr>
              <w:pStyle w:val="BodyText"/>
              <w:numPr>
                <w:ilvl w:val="0"/>
                <w:numId w:val="135"/>
              </w:numPr>
            </w:pPr>
            <w:r w:rsidRPr="00A4272B">
              <w:t>Air;</w:t>
            </w:r>
          </w:p>
          <w:p w14:paraId="52AD6154" w14:textId="77777777" w:rsidR="00BD5074" w:rsidRPr="00A4272B" w:rsidRDefault="00BD5074">
            <w:pPr>
              <w:pStyle w:val="BodyText"/>
              <w:numPr>
                <w:ilvl w:val="0"/>
                <w:numId w:val="135"/>
              </w:numPr>
            </w:pPr>
            <w:r w:rsidRPr="00A4272B">
              <w:t>Human tissue (e.g., maternal milk and/or blood);</w:t>
            </w:r>
          </w:p>
          <w:p w14:paraId="607BBD63" w14:textId="77777777" w:rsidR="00BD5074" w:rsidRPr="00A4272B" w:rsidRDefault="00BD5074">
            <w:pPr>
              <w:pStyle w:val="BodyText"/>
              <w:numPr>
                <w:ilvl w:val="0"/>
                <w:numId w:val="135"/>
              </w:numPr>
            </w:pPr>
            <w:r w:rsidRPr="00A4272B">
              <w:t>Water;</w:t>
            </w:r>
          </w:p>
          <w:p w14:paraId="061D720F" w14:textId="77777777" w:rsidR="00BD5074" w:rsidRPr="00A4272B" w:rsidRDefault="00BD5074">
            <w:pPr>
              <w:pStyle w:val="BodyText"/>
              <w:numPr>
                <w:ilvl w:val="0"/>
                <w:numId w:val="135"/>
              </w:numPr>
            </w:pPr>
            <w:r w:rsidRPr="00A4272B">
              <w:t>Other relevant matrices (e.g., historical trend data).</w:t>
            </w:r>
          </w:p>
          <w:p w14:paraId="78ECA1CC" w14:textId="70EC2C24" w:rsidR="00BD5074" w:rsidRPr="00A4272B" w:rsidRDefault="00BD5074" w:rsidP="0023432F">
            <w:pPr>
              <w:keepNext/>
              <w:rPr>
                <w:b/>
                <w:bCs/>
                <w:lang w:val="en-US"/>
              </w:rPr>
            </w:pPr>
            <w:r w:rsidRPr="00A4272B">
              <w:rPr>
                <w:b/>
                <w:bCs/>
                <w:lang w:val="en-US"/>
              </w:rPr>
              <w:lastRenderedPageBreak/>
              <w:t xml:space="preserve">Analytical </w:t>
            </w:r>
            <w:r w:rsidR="00F24816" w:rsidRPr="00A4272B">
              <w:rPr>
                <w:b/>
                <w:bCs/>
                <w:lang w:val="en-US"/>
              </w:rPr>
              <w:t>p</w:t>
            </w:r>
            <w:r w:rsidRPr="00A4272B">
              <w:rPr>
                <w:b/>
                <w:bCs/>
                <w:lang w:val="en-US"/>
              </w:rPr>
              <w:t>rocedures:</w:t>
            </w:r>
          </w:p>
          <w:p w14:paraId="2907FD68" w14:textId="77777777" w:rsidR="00BD5074" w:rsidRPr="00A4272B" w:rsidRDefault="00BD5074">
            <w:pPr>
              <w:keepNext/>
              <w:numPr>
                <w:ilvl w:val="0"/>
                <w:numId w:val="136"/>
              </w:numPr>
              <w:rPr>
                <w:lang w:val="en-US"/>
              </w:rPr>
            </w:pPr>
            <w:r w:rsidRPr="00A4272B">
              <w:rPr>
                <w:lang w:val="en-US"/>
              </w:rPr>
              <w:t>Decisions on analytical techniques to ensure quality and comparability (e.g., inter-laboratory exchanges);</w:t>
            </w:r>
          </w:p>
          <w:p w14:paraId="329140A5" w14:textId="77777777" w:rsidR="00BD5074" w:rsidRPr="00A4272B" w:rsidRDefault="00BD5074">
            <w:pPr>
              <w:keepNext/>
              <w:numPr>
                <w:ilvl w:val="0"/>
                <w:numId w:val="136"/>
              </w:numPr>
              <w:rPr>
                <w:lang w:val="en-US"/>
              </w:rPr>
            </w:pPr>
            <w:r w:rsidRPr="00A4272B">
              <w:rPr>
                <w:lang w:val="en-US"/>
              </w:rPr>
              <w:t>Protocols for extraction, clean-up, analysis, detection limits, and quality control.</w:t>
            </w:r>
          </w:p>
          <w:p w14:paraId="0969C6D2" w14:textId="50A4FDB7" w:rsidR="00BD5074" w:rsidRPr="00A4272B" w:rsidRDefault="00BD5074" w:rsidP="00BD5074">
            <w:pPr>
              <w:rPr>
                <w:b/>
                <w:bCs/>
                <w:lang w:val="en-US"/>
              </w:rPr>
            </w:pPr>
            <w:r w:rsidRPr="00A4272B">
              <w:rPr>
                <w:b/>
                <w:bCs/>
                <w:lang w:val="en-US"/>
              </w:rPr>
              <w:t>Participating laboratories:</w:t>
            </w:r>
          </w:p>
          <w:p w14:paraId="39FD27B4" w14:textId="77777777" w:rsidR="00BD5074" w:rsidRPr="00A4272B" w:rsidRDefault="00BD5074">
            <w:pPr>
              <w:numPr>
                <w:ilvl w:val="0"/>
                <w:numId w:val="137"/>
              </w:numPr>
              <w:rPr>
                <w:lang w:val="en-US"/>
              </w:rPr>
            </w:pPr>
            <w:r w:rsidRPr="00A4272B">
              <w:rPr>
                <w:lang w:val="en-US"/>
              </w:rPr>
              <w:t>Approach for classifying laboratories based on instrumentation levels;</w:t>
            </w:r>
          </w:p>
          <w:p w14:paraId="3FE8EDD2" w14:textId="77777777" w:rsidR="00BD5074" w:rsidRPr="00A4272B" w:rsidRDefault="00BD5074">
            <w:pPr>
              <w:numPr>
                <w:ilvl w:val="0"/>
                <w:numId w:val="137"/>
              </w:numPr>
              <w:rPr>
                <w:lang w:val="en-US"/>
              </w:rPr>
            </w:pPr>
            <w:r w:rsidRPr="00A4272B">
              <w:rPr>
                <w:lang w:val="en-US"/>
              </w:rPr>
              <w:t>Criteria for classification and identification of laboratories involved.</w:t>
            </w:r>
          </w:p>
          <w:p w14:paraId="65F86B6D" w14:textId="49F88B4C" w:rsidR="00BD5074" w:rsidRPr="00A4272B" w:rsidRDefault="00BD5074" w:rsidP="00BD5074">
            <w:pPr>
              <w:rPr>
                <w:b/>
                <w:bCs/>
                <w:lang w:val="en-US"/>
              </w:rPr>
            </w:pPr>
            <w:r w:rsidRPr="00A4272B">
              <w:rPr>
                <w:b/>
                <w:bCs/>
                <w:lang w:val="en-US"/>
              </w:rPr>
              <w:t>Data handling and reporting:</w:t>
            </w:r>
          </w:p>
          <w:p w14:paraId="063E2226" w14:textId="77777777" w:rsidR="00BD5074" w:rsidRPr="00A4272B" w:rsidRDefault="00BD5074">
            <w:pPr>
              <w:numPr>
                <w:ilvl w:val="0"/>
                <w:numId w:val="138"/>
              </w:numPr>
              <w:rPr>
                <w:lang w:val="en-US"/>
              </w:rPr>
            </w:pPr>
            <w:r w:rsidRPr="00A4272B">
              <w:rPr>
                <w:lang w:val="en-US"/>
              </w:rPr>
              <w:t>Protocols for data acquisition, storage, evaluation, and access;</w:t>
            </w:r>
          </w:p>
          <w:p w14:paraId="18B0AE59" w14:textId="77777777" w:rsidR="00BD5074" w:rsidRPr="00A4272B" w:rsidRDefault="00BD5074">
            <w:pPr>
              <w:numPr>
                <w:ilvl w:val="0"/>
                <w:numId w:val="138"/>
              </w:numPr>
              <w:rPr>
                <w:lang w:val="en-US"/>
              </w:rPr>
            </w:pPr>
            <w:r w:rsidRPr="00A4272B">
              <w:rPr>
                <w:lang w:val="en-US"/>
              </w:rPr>
              <w:t>Statistical considerations;</w:t>
            </w:r>
          </w:p>
          <w:p w14:paraId="4D1D5C0E" w14:textId="77777777" w:rsidR="00BD5074" w:rsidRPr="00A4272B" w:rsidRDefault="00BD5074">
            <w:pPr>
              <w:numPr>
                <w:ilvl w:val="0"/>
                <w:numId w:val="138"/>
              </w:numPr>
              <w:rPr>
                <w:lang w:val="en-US"/>
              </w:rPr>
            </w:pPr>
            <w:r w:rsidRPr="00A4272B">
              <w:rPr>
                <w:lang w:val="en-US"/>
              </w:rPr>
              <w:t>Use of an information warehouse;</w:t>
            </w:r>
          </w:p>
          <w:p w14:paraId="7A61691D" w14:textId="7857CAB0" w:rsidR="00BD5074" w:rsidRPr="00A4272B" w:rsidRDefault="00BD5074">
            <w:pPr>
              <w:numPr>
                <w:ilvl w:val="0"/>
                <w:numId w:val="138"/>
              </w:numPr>
              <w:rPr>
                <w:lang w:val="en-US"/>
              </w:rPr>
            </w:pPr>
            <w:r w:rsidRPr="00A4272B">
              <w:rPr>
                <w:lang w:val="en-US"/>
              </w:rPr>
              <w:t xml:space="preserve">Integration of data from existing </w:t>
            </w:r>
            <w:r w:rsidR="008F74AD" w:rsidRPr="00A4272B">
              <w:rPr>
                <w:lang w:val="en-US"/>
              </w:rPr>
              <w:t>programmes</w:t>
            </w:r>
            <w:r w:rsidRPr="00A4272B">
              <w:rPr>
                <w:lang w:val="en-US"/>
              </w:rPr>
              <w:t>.</w:t>
            </w:r>
          </w:p>
          <w:p w14:paraId="78C3D6DC" w14:textId="3A797DF9" w:rsidR="005A6CBA" w:rsidRPr="00A4272B" w:rsidRDefault="005A6CBA" w:rsidP="0023432F">
            <w:pPr>
              <w:spacing w:before="240"/>
              <w:rPr>
                <w:b/>
                <w:bCs/>
                <w:sz w:val="28"/>
                <w:szCs w:val="28"/>
                <w:lang w:val="en-US"/>
              </w:rPr>
            </w:pPr>
            <w:bookmarkStart w:id="641" w:name="_Toc280695069"/>
            <w:bookmarkStart w:id="642" w:name="_Toc280695228"/>
            <w:bookmarkStart w:id="643" w:name="_Toc282086431"/>
            <w:bookmarkStart w:id="644" w:name="_Toc282435144"/>
            <w:bookmarkStart w:id="645" w:name="_Toc287965943"/>
            <w:bookmarkStart w:id="646" w:name="_Toc287973466"/>
            <w:bookmarkStart w:id="647" w:name="_Toc288232620"/>
            <w:bookmarkStart w:id="648" w:name="_Toc288745822"/>
            <w:bookmarkStart w:id="649" w:name="_Toc514239751"/>
            <w:bookmarkStart w:id="650" w:name="_Toc514240655"/>
            <w:bookmarkStart w:id="651" w:name="_Toc514240819"/>
            <w:bookmarkStart w:id="652" w:name="_Toc514243206"/>
            <w:bookmarkStart w:id="653" w:name="_Toc514752099"/>
            <w:bookmarkStart w:id="654" w:name="_Toc535504562"/>
            <w:bookmarkStart w:id="655" w:name="_Toc535584419"/>
            <w:bookmarkStart w:id="656" w:name="_Toc531711"/>
            <w:bookmarkStart w:id="657" w:name="_Toc532231"/>
            <w:bookmarkStart w:id="658" w:name="_Toc532444"/>
            <w:bookmarkStart w:id="659" w:name="_Toc1467935"/>
            <w:bookmarkStart w:id="660" w:name="_Toc1468108"/>
            <w:bookmarkStart w:id="661" w:name="_Toc1483992"/>
            <w:bookmarkStart w:id="662" w:name="_Toc65306536"/>
            <w:r w:rsidRPr="00A4272B">
              <w:rPr>
                <w:b/>
                <w:bCs/>
                <w:sz w:val="28"/>
                <w:szCs w:val="28"/>
                <w:lang w:val="en-US"/>
              </w:rPr>
              <w:t>V. Preparation of the monitoring reports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0C16AB0A" w14:textId="4CCD76C1" w:rsidR="005A6CBA" w:rsidRPr="00A4272B" w:rsidRDefault="005A6CBA" w:rsidP="00A913FE">
            <w:pPr>
              <w:pStyle w:val="USAIDbullet1"/>
              <w:numPr>
                <w:ilvl w:val="0"/>
                <w:numId w:val="0"/>
              </w:numPr>
              <w:rPr>
                <w:lang w:val="en-US"/>
              </w:rPr>
            </w:pPr>
            <w:r w:rsidRPr="00A4272B">
              <w:rPr>
                <w:lang w:val="en-US"/>
              </w:rPr>
              <w:t xml:space="preserve">This </w:t>
            </w:r>
            <w:r w:rsidR="002A6D39" w:rsidRPr="00A4272B">
              <w:rPr>
                <w:lang w:val="en-US"/>
              </w:rPr>
              <w:t>chapter</w:t>
            </w:r>
            <w:r w:rsidRPr="00A4272B">
              <w:rPr>
                <w:lang w:val="en-US"/>
              </w:rPr>
              <w:t xml:space="preserve"> includes:</w:t>
            </w:r>
          </w:p>
          <w:p w14:paraId="78085D14" w14:textId="67DC3B33" w:rsidR="00F24816" w:rsidRPr="00A4272B" w:rsidRDefault="00F24816">
            <w:pPr>
              <w:pStyle w:val="USAIDbullet1"/>
              <w:ind w:left="714" w:hanging="357"/>
              <w:rPr>
                <w:lang w:val="en-US"/>
              </w:rPr>
            </w:pPr>
            <w:r w:rsidRPr="00A4272B">
              <w:rPr>
                <w:lang w:val="en-US"/>
              </w:rPr>
              <w:t>Arrangements by the regional organization group to oversee the preparation of the regional monitoring report;</w:t>
            </w:r>
          </w:p>
          <w:p w14:paraId="594CD40D" w14:textId="23023F20" w:rsidR="005A6CBA" w:rsidRPr="00A4272B" w:rsidRDefault="00F24816" w:rsidP="00F24816">
            <w:pPr>
              <w:pStyle w:val="USAIDbullet1"/>
              <w:ind w:left="714" w:hanging="357"/>
              <w:rPr>
                <w:lang w:val="en-US"/>
              </w:rPr>
            </w:pPr>
            <w:r w:rsidRPr="00A4272B">
              <w:rPr>
                <w:lang w:val="en-US"/>
              </w:rPr>
              <w:t>Roles and responsibilities of the drafting team.</w:t>
            </w:r>
          </w:p>
          <w:p w14:paraId="736FD61B" w14:textId="31141A0D" w:rsidR="005A6CBA" w:rsidRPr="00A4272B" w:rsidRDefault="005A6CBA" w:rsidP="0023432F">
            <w:pPr>
              <w:spacing w:before="240"/>
              <w:rPr>
                <w:b/>
                <w:bCs/>
                <w:sz w:val="28"/>
                <w:szCs w:val="28"/>
                <w:lang w:val="en-US"/>
              </w:rPr>
            </w:pPr>
            <w:bookmarkStart w:id="663" w:name="_Toc280695070"/>
            <w:bookmarkStart w:id="664" w:name="_Toc280695229"/>
            <w:bookmarkStart w:id="665" w:name="_Toc282086432"/>
            <w:bookmarkStart w:id="666" w:name="_Toc282435145"/>
            <w:bookmarkStart w:id="667" w:name="_Toc287965944"/>
            <w:bookmarkStart w:id="668" w:name="_Toc287973467"/>
            <w:bookmarkStart w:id="669" w:name="_Toc288232621"/>
            <w:bookmarkStart w:id="670" w:name="_Toc288745823"/>
            <w:bookmarkStart w:id="671" w:name="_Toc514239752"/>
            <w:bookmarkStart w:id="672" w:name="_Toc514240656"/>
            <w:bookmarkStart w:id="673" w:name="_Toc514240820"/>
            <w:bookmarkStart w:id="674" w:name="_Toc514243207"/>
            <w:bookmarkStart w:id="675" w:name="_Toc514752100"/>
            <w:bookmarkStart w:id="676" w:name="_Toc535504563"/>
            <w:bookmarkStart w:id="677" w:name="_Toc535584420"/>
            <w:bookmarkStart w:id="678" w:name="_Toc531712"/>
            <w:bookmarkStart w:id="679" w:name="_Toc532232"/>
            <w:bookmarkStart w:id="680" w:name="_Toc532445"/>
            <w:bookmarkStart w:id="681" w:name="_Toc1467936"/>
            <w:bookmarkStart w:id="682" w:name="_Toc1468109"/>
            <w:bookmarkStart w:id="683" w:name="_Toc1483993"/>
            <w:bookmarkStart w:id="684" w:name="_Toc65306537"/>
            <w:r w:rsidRPr="00A4272B">
              <w:rPr>
                <w:b/>
                <w:bCs/>
                <w:sz w:val="28"/>
                <w:szCs w:val="28"/>
                <w:lang w:val="en-US"/>
              </w:rPr>
              <w:t>VI. Results</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5B8053B6" w14:textId="77777777" w:rsidR="00F24816" w:rsidRPr="00A4272B" w:rsidRDefault="00F24816" w:rsidP="0023432F">
            <w:pPr>
              <w:pStyle w:val="BodyText"/>
            </w:pPr>
            <w:r w:rsidRPr="00A4272B">
              <w:t>For each substance listed in Annexes A, B, and C, the section includes:</w:t>
            </w:r>
          </w:p>
          <w:p w14:paraId="6518495A" w14:textId="77777777" w:rsidR="00F24816" w:rsidRPr="00A4272B" w:rsidRDefault="00F24816">
            <w:pPr>
              <w:pStyle w:val="BodyText"/>
              <w:numPr>
                <w:ilvl w:val="0"/>
                <w:numId w:val="139"/>
              </w:numPr>
            </w:pPr>
            <w:r w:rsidRPr="00A4272B">
              <w:t>Historical and current sources;</w:t>
            </w:r>
          </w:p>
          <w:p w14:paraId="6FC2F289" w14:textId="77777777" w:rsidR="00F24816" w:rsidRPr="00A4272B" w:rsidRDefault="00F24816">
            <w:pPr>
              <w:pStyle w:val="BodyText"/>
              <w:numPr>
                <w:ilvl w:val="0"/>
                <w:numId w:val="139"/>
              </w:numPr>
            </w:pPr>
            <w:r w:rsidRPr="00A4272B">
              <w:t>Regional considerations;</w:t>
            </w:r>
          </w:p>
          <w:p w14:paraId="24DF60BE" w14:textId="77777777" w:rsidR="00F24816" w:rsidRPr="00A4272B" w:rsidRDefault="00F24816">
            <w:pPr>
              <w:pStyle w:val="BodyText"/>
              <w:numPr>
                <w:ilvl w:val="0"/>
                <w:numId w:val="139"/>
              </w:numPr>
            </w:pPr>
            <w:r w:rsidRPr="00A4272B">
              <w:t>Additional information, such as trends in environmental levels.</w:t>
            </w:r>
          </w:p>
          <w:p w14:paraId="288F0CF3" w14:textId="75588262" w:rsidR="00F24816" w:rsidRPr="00A4272B" w:rsidRDefault="00F24816" w:rsidP="0023432F">
            <w:pPr>
              <w:pStyle w:val="BodyText"/>
            </w:pPr>
            <w:r w:rsidRPr="00A4272B">
              <w:t>Results are presented in text and table format, following a common sequence (e.g., cyclodiene insecticides, DDT, toxaphene, hexachlorobenzene, PCB</w:t>
            </w:r>
            <w:r w:rsidR="00BE1BD4" w:rsidRPr="00A4272B">
              <w:t>s</w:t>
            </w:r>
            <w:r w:rsidRPr="00A4272B">
              <w:t>, PCDD</w:t>
            </w:r>
            <w:r w:rsidR="00BE1BD4" w:rsidRPr="00A4272B">
              <w:t>s</w:t>
            </w:r>
            <w:r w:rsidRPr="00A4272B">
              <w:t>, and PCDF</w:t>
            </w:r>
            <w:r w:rsidR="00BE1BD4" w:rsidRPr="00A4272B">
              <w:t>s</w:t>
            </w:r>
            <w:r w:rsidRPr="00A4272B">
              <w:t>).</w:t>
            </w:r>
          </w:p>
          <w:p w14:paraId="44065B51" w14:textId="07FFDD59" w:rsidR="00F24816" w:rsidRPr="00A4272B" w:rsidRDefault="00F24816" w:rsidP="00BE1BD4">
            <w:pPr>
              <w:pStyle w:val="BodyText"/>
            </w:pPr>
            <w:r w:rsidRPr="00A4272B">
              <w:t>The first global monitoring reports provide a baseline for POP levels in humans and the environment.</w:t>
            </w:r>
            <w:r w:rsidR="00BE1BD4" w:rsidRPr="00A4272B">
              <w:t xml:space="preserve"> </w:t>
            </w:r>
            <w:r w:rsidRPr="00A4272B">
              <w:t>If historical data are unavailable, the earliest relevant data are used as the baseline.</w:t>
            </w:r>
          </w:p>
          <w:p w14:paraId="285E18F2" w14:textId="77777777" w:rsidR="00F24816" w:rsidRPr="00A4272B" w:rsidRDefault="00F24816" w:rsidP="0023432F">
            <w:pPr>
              <w:pStyle w:val="BodyText"/>
            </w:pPr>
            <w:r w:rsidRPr="00A4272B">
              <w:t>Changes in levels of Annex A, B, and C substances across media are presented to evaluate trends. This includes:</w:t>
            </w:r>
          </w:p>
          <w:p w14:paraId="3CEFC1AC" w14:textId="77777777" w:rsidR="00F24816" w:rsidRPr="00A4272B" w:rsidRDefault="00F24816">
            <w:pPr>
              <w:pStyle w:val="BodyText"/>
              <w:numPr>
                <w:ilvl w:val="0"/>
                <w:numId w:val="140"/>
              </w:numPr>
            </w:pPr>
            <w:r w:rsidRPr="00A4272B">
              <w:t>Air;</w:t>
            </w:r>
          </w:p>
          <w:p w14:paraId="54E5C172" w14:textId="77777777" w:rsidR="00F24816" w:rsidRPr="00A4272B" w:rsidRDefault="00F24816">
            <w:pPr>
              <w:pStyle w:val="BodyText"/>
              <w:numPr>
                <w:ilvl w:val="0"/>
                <w:numId w:val="140"/>
              </w:numPr>
            </w:pPr>
            <w:r w:rsidRPr="00A4272B">
              <w:t>Human tissue (e.g., maternal milk and/or blood);</w:t>
            </w:r>
          </w:p>
          <w:p w14:paraId="0D3B03B7" w14:textId="77777777" w:rsidR="00F24816" w:rsidRPr="00A4272B" w:rsidRDefault="00F24816">
            <w:pPr>
              <w:pStyle w:val="BodyText"/>
              <w:numPr>
                <w:ilvl w:val="0"/>
                <w:numId w:val="140"/>
              </w:numPr>
            </w:pPr>
            <w:r w:rsidRPr="00A4272B">
              <w:t>Water and other matrices if applicable.</w:t>
            </w:r>
            <w:r w:rsidRPr="00A4272B">
              <w:br/>
              <w:t>For PCDDs, PCDFs, and dioxin-like PCBs, results are expressed in toxic equivalents (TEQs).</w:t>
            </w:r>
          </w:p>
          <w:p w14:paraId="2C0A3A08" w14:textId="2AA87700" w:rsidR="00F24816" w:rsidRPr="00A4272B" w:rsidRDefault="00F24816" w:rsidP="0023432F">
            <w:pPr>
              <w:pStyle w:val="BodyText"/>
            </w:pPr>
            <w:r w:rsidRPr="00A4272B">
              <w:t>Long-range transport information:</w:t>
            </w:r>
          </w:p>
          <w:p w14:paraId="1F610160" w14:textId="5FCE5A59" w:rsidR="00F24816" w:rsidRPr="00A4272B" w:rsidRDefault="00F24816" w:rsidP="0023432F">
            <w:pPr>
              <w:pStyle w:val="BodyText"/>
            </w:pPr>
            <w:r w:rsidRPr="00A4272B">
              <w:t xml:space="preserve">Inclusion of data on long-range transport, where available </w:t>
            </w:r>
            <w:r w:rsidR="00BE1BD4" w:rsidRPr="00A4272B">
              <w:t>on</w:t>
            </w:r>
            <w:r w:rsidRPr="00A4272B">
              <w:t xml:space="preserve"> the regional scale.</w:t>
            </w:r>
          </w:p>
          <w:p w14:paraId="5F555E93" w14:textId="0212FBFD" w:rsidR="005A6CBA" w:rsidRPr="00A4272B" w:rsidRDefault="005A6CBA" w:rsidP="0023432F">
            <w:pPr>
              <w:spacing w:before="240"/>
              <w:rPr>
                <w:b/>
                <w:bCs/>
                <w:sz w:val="28"/>
                <w:szCs w:val="28"/>
                <w:lang w:val="en-US"/>
              </w:rPr>
            </w:pPr>
            <w:bookmarkStart w:id="685" w:name="_Toc280695074"/>
            <w:bookmarkStart w:id="686" w:name="_Toc280695233"/>
            <w:bookmarkStart w:id="687" w:name="_Toc282086435"/>
            <w:bookmarkStart w:id="688" w:name="_Toc282435149"/>
            <w:bookmarkStart w:id="689" w:name="_Toc287965948"/>
            <w:bookmarkStart w:id="690" w:name="_Toc287973471"/>
            <w:bookmarkStart w:id="691" w:name="_Toc288232625"/>
            <w:bookmarkStart w:id="692" w:name="_Toc288745827"/>
            <w:bookmarkStart w:id="693" w:name="_Toc514239756"/>
            <w:bookmarkStart w:id="694" w:name="_Toc514240660"/>
            <w:bookmarkStart w:id="695" w:name="_Toc514240824"/>
            <w:bookmarkStart w:id="696" w:name="_Toc514243211"/>
            <w:bookmarkStart w:id="697" w:name="_Toc514752104"/>
            <w:bookmarkStart w:id="698" w:name="_Toc535504567"/>
            <w:bookmarkStart w:id="699" w:name="_Toc535584424"/>
            <w:bookmarkStart w:id="700" w:name="_Toc531716"/>
            <w:bookmarkStart w:id="701" w:name="_Toc532236"/>
            <w:bookmarkStart w:id="702" w:name="_Toc532449"/>
            <w:bookmarkStart w:id="703" w:name="_Toc1467940"/>
            <w:bookmarkStart w:id="704" w:name="_Toc1468113"/>
            <w:bookmarkStart w:id="705" w:name="_Toc1483997"/>
            <w:bookmarkStart w:id="706" w:name="_Toc65306541"/>
            <w:r w:rsidRPr="00A4272B">
              <w:rPr>
                <w:b/>
                <w:bCs/>
                <w:sz w:val="28"/>
                <w:szCs w:val="28"/>
                <w:lang w:val="en-US"/>
              </w:rPr>
              <w:t xml:space="preserve">VII. </w:t>
            </w:r>
            <w:bookmarkEnd w:id="685"/>
            <w:bookmarkEnd w:id="686"/>
            <w:bookmarkEnd w:id="687"/>
            <w:bookmarkEnd w:id="688"/>
            <w:bookmarkEnd w:id="689"/>
            <w:r w:rsidRPr="00A4272B">
              <w:rPr>
                <w:b/>
                <w:bCs/>
                <w:sz w:val="28"/>
                <w:szCs w:val="28"/>
                <w:lang w:val="en-US"/>
              </w:rPr>
              <w:t xml:space="preserve">Conclusions and </w:t>
            </w:r>
            <w:r w:rsidR="00F24816" w:rsidRPr="00A4272B">
              <w:rPr>
                <w:b/>
                <w:bCs/>
                <w:sz w:val="28"/>
                <w:szCs w:val="28"/>
                <w:lang w:val="en-US"/>
              </w:rPr>
              <w:t>r</w:t>
            </w:r>
            <w:r w:rsidRPr="00A4272B">
              <w:rPr>
                <w:b/>
                <w:bCs/>
                <w:sz w:val="28"/>
                <w:szCs w:val="28"/>
                <w:lang w:val="en-US"/>
              </w:rPr>
              <w:t>ecommendations</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62F9400C" w14:textId="0F30B268" w:rsidR="00F24816" w:rsidRPr="00A4272B" w:rsidRDefault="00F24816" w:rsidP="0023432F">
            <w:pPr>
              <w:pStyle w:val="BodyText"/>
            </w:pPr>
            <w:r w:rsidRPr="00A4272B">
              <w:t>This section provides a clear and concise summary of the GMP results for the use of the Conference of the Parties in the effectiveness evaluation. It includes:</w:t>
            </w:r>
          </w:p>
          <w:p w14:paraId="0F1AF6C3" w14:textId="77777777" w:rsidR="00F24816" w:rsidRPr="00A4272B" w:rsidRDefault="00F24816">
            <w:pPr>
              <w:pStyle w:val="BodyText"/>
              <w:numPr>
                <w:ilvl w:val="0"/>
                <w:numId w:val="141"/>
              </w:numPr>
            </w:pPr>
            <w:r w:rsidRPr="00A4272B">
              <w:t>Key scientific findings, such as changes in POP levels;</w:t>
            </w:r>
          </w:p>
          <w:p w14:paraId="29740FB1" w14:textId="4416A139" w:rsidR="005A6CBA" w:rsidRPr="00A4272B" w:rsidRDefault="00F24816">
            <w:pPr>
              <w:pStyle w:val="BodyText"/>
              <w:numPr>
                <w:ilvl w:val="0"/>
                <w:numId w:val="141"/>
              </w:numPr>
            </w:pPr>
            <w:r w:rsidRPr="00A4272B">
              <w:t>Identification of regional data gaps and capacity needs.</w:t>
            </w:r>
          </w:p>
        </w:tc>
      </w:tr>
    </w:tbl>
    <w:p w14:paraId="1FD676C4" w14:textId="797E8EDD" w:rsidR="00F3536C" w:rsidRPr="00A4272B" w:rsidRDefault="00A82C84" w:rsidP="005E0F12">
      <w:pPr>
        <w:pStyle w:val="GMPHeading2"/>
        <w:tabs>
          <w:tab w:val="clear" w:pos="360"/>
          <w:tab w:val="clear" w:pos="450"/>
          <w:tab w:val="clear" w:pos="540"/>
          <w:tab w:val="clear" w:pos="630"/>
        </w:tabs>
        <w:rPr>
          <w:rFonts w:hint="eastAsia"/>
        </w:rPr>
      </w:pPr>
      <w:bookmarkStart w:id="707" w:name="_Toc535584425"/>
      <w:bookmarkStart w:id="708" w:name="_Toc187270533"/>
      <w:bookmarkEnd w:id="460"/>
      <w:bookmarkEnd w:id="461"/>
      <w:bookmarkEnd w:id="462"/>
      <w:bookmarkEnd w:id="463"/>
      <w:bookmarkEnd w:id="464"/>
      <w:bookmarkEnd w:id="465"/>
      <w:bookmarkEnd w:id="466"/>
      <w:bookmarkEnd w:id="467"/>
      <w:r w:rsidRPr="00A4272B">
        <w:lastRenderedPageBreak/>
        <w:t>7.3</w:t>
      </w:r>
      <w:r w:rsidRPr="00A4272B">
        <w:tab/>
      </w:r>
      <w:r w:rsidR="00F3536C" w:rsidRPr="00A4272B">
        <w:t>Outline of the global monitoring report</w:t>
      </w:r>
      <w:bookmarkEnd w:id="707"/>
      <w:bookmarkEnd w:id="708"/>
    </w:p>
    <w:p w14:paraId="13D2F5FC" w14:textId="12B1125A" w:rsidR="00F24816" w:rsidRPr="00A4272B" w:rsidRDefault="00F24816" w:rsidP="002A04E0">
      <w:pPr>
        <w:widowControl w:val="0"/>
        <w:rPr>
          <w:lang w:val="en-US"/>
        </w:rPr>
      </w:pPr>
      <w:r w:rsidRPr="00A4272B">
        <w:rPr>
          <w:lang w:val="en-US"/>
        </w:rPr>
        <w:t>According to its terms of reference, the primary objective of the global coordination group (GCG) is to coordinate and oversee the implementation of the GMP and to produce the Global Monitoring Report. This report serves as a key input for the effectiveness evaluation under Article 16 of the Convention.</w:t>
      </w:r>
    </w:p>
    <w:p w14:paraId="18254699" w14:textId="5824E431" w:rsidR="00F24816" w:rsidRPr="00A4272B" w:rsidRDefault="00F24816" w:rsidP="002A04E0">
      <w:pPr>
        <w:widowControl w:val="0"/>
        <w:rPr>
          <w:lang w:val="en-US"/>
        </w:rPr>
      </w:pPr>
      <w:r w:rsidRPr="00A4272B">
        <w:rPr>
          <w:lang w:val="en-US"/>
        </w:rPr>
        <w:t>Based on the five regional monitoring reports, the Global Monitoring Report synthesizes and presents regional information from a global perspective. Additionally, the GCG is responsible for evaluating the arrangements for the GMP at the conclusion of each evaluation phase and providing recommendations for consideration by the Conference of the Parties.</w:t>
      </w:r>
    </w:p>
    <w:p w14:paraId="1C41255F" w14:textId="2944B065" w:rsidR="00F3536C" w:rsidRPr="00A4272B" w:rsidRDefault="00F24816" w:rsidP="00F24816">
      <w:pPr>
        <w:rPr>
          <w:lang w:val="en-US"/>
        </w:rPr>
      </w:pPr>
      <w:r w:rsidRPr="00A4272B">
        <w:rPr>
          <w:lang w:val="en-US"/>
        </w:rPr>
        <w:t>The outline of the Global Monitoring Report reflects these objectives and incorporates the other tasks assigned to the GCG as specified in its terms of reference.</w:t>
      </w:r>
    </w:p>
    <w:tbl>
      <w:tblPr>
        <w:tblStyle w:val="TableGrid"/>
        <w:tblW w:w="0" w:type="auto"/>
        <w:tblLook w:val="04A0" w:firstRow="1" w:lastRow="0" w:firstColumn="1" w:lastColumn="0" w:noHBand="0" w:noVBand="1"/>
      </w:tblPr>
      <w:tblGrid>
        <w:gridCol w:w="9825"/>
      </w:tblGrid>
      <w:tr w:rsidR="005A6CBA" w:rsidRPr="00A4272B" w14:paraId="35BAFAB7" w14:textId="77777777" w:rsidTr="005A6CBA">
        <w:tc>
          <w:tcPr>
            <w:tcW w:w="9825" w:type="dxa"/>
          </w:tcPr>
          <w:p w14:paraId="1230A415" w14:textId="77777777" w:rsidR="005A6CBA" w:rsidRPr="00A4272B" w:rsidRDefault="005A6CBA" w:rsidP="00A913FE">
            <w:pPr>
              <w:keepNext/>
              <w:rPr>
                <w:b/>
                <w:bCs/>
                <w:sz w:val="28"/>
                <w:szCs w:val="28"/>
                <w:lang w:val="en-US"/>
              </w:rPr>
            </w:pPr>
            <w:r w:rsidRPr="00A4272B">
              <w:rPr>
                <w:b/>
                <w:bCs/>
                <w:sz w:val="28"/>
                <w:szCs w:val="28"/>
                <w:lang w:val="en-US"/>
              </w:rPr>
              <w:t>Acknowledgements</w:t>
            </w:r>
          </w:p>
          <w:p w14:paraId="57F9EEB8" w14:textId="77777777" w:rsidR="005A6CBA" w:rsidRPr="00A4272B" w:rsidRDefault="005A6CBA" w:rsidP="00A913FE">
            <w:pPr>
              <w:rPr>
                <w:b/>
                <w:bCs/>
                <w:sz w:val="28"/>
                <w:szCs w:val="28"/>
                <w:lang w:val="en-US"/>
              </w:rPr>
            </w:pPr>
            <w:r w:rsidRPr="00A4272B">
              <w:rPr>
                <w:b/>
                <w:bCs/>
                <w:sz w:val="28"/>
                <w:szCs w:val="28"/>
                <w:lang w:val="en-US"/>
              </w:rPr>
              <w:t>Abbreviations and acronymes</w:t>
            </w:r>
          </w:p>
          <w:p w14:paraId="2A47F7AA" w14:textId="77777777" w:rsidR="005A6CBA" w:rsidRPr="00A4272B" w:rsidRDefault="005A6CBA" w:rsidP="00A913FE">
            <w:pPr>
              <w:rPr>
                <w:b/>
                <w:bCs/>
                <w:sz w:val="28"/>
                <w:szCs w:val="28"/>
                <w:lang w:val="en-US"/>
              </w:rPr>
            </w:pPr>
            <w:r w:rsidRPr="00A4272B">
              <w:rPr>
                <w:b/>
                <w:bCs/>
                <w:sz w:val="28"/>
                <w:szCs w:val="28"/>
                <w:lang w:val="en-US"/>
              </w:rPr>
              <w:t>Glosary of terms</w:t>
            </w:r>
          </w:p>
          <w:p w14:paraId="25F50109" w14:textId="77777777" w:rsidR="005A6CBA" w:rsidRPr="00A4272B" w:rsidRDefault="005A6CBA" w:rsidP="00A913FE">
            <w:pPr>
              <w:rPr>
                <w:b/>
                <w:bCs/>
                <w:sz w:val="28"/>
                <w:szCs w:val="28"/>
                <w:lang w:val="en-US"/>
              </w:rPr>
            </w:pPr>
            <w:r w:rsidRPr="00A4272B">
              <w:rPr>
                <w:b/>
                <w:bCs/>
                <w:sz w:val="28"/>
                <w:szCs w:val="28"/>
                <w:lang w:val="en-US"/>
              </w:rPr>
              <w:t>Executive summary</w:t>
            </w:r>
          </w:p>
          <w:p w14:paraId="43358CA9" w14:textId="7D161CEA" w:rsidR="005A6CBA" w:rsidRPr="00A4272B" w:rsidRDefault="00F24816" w:rsidP="00A913FE">
            <w:pPr>
              <w:rPr>
                <w:b/>
                <w:bCs/>
                <w:sz w:val="28"/>
                <w:szCs w:val="28"/>
                <w:lang w:val="en-US"/>
              </w:rPr>
            </w:pPr>
            <w:r w:rsidRPr="00A4272B">
              <w:rPr>
                <w:b/>
                <w:bCs/>
                <w:sz w:val="28"/>
                <w:szCs w:val="28"/>
                <w:lang w:val="en-US"/>
              </w:rPr>
              <w:t>I</w:t>
            </w:r>
            <w:r w:rsidR="005A6CBA" w:rsidRPr="00A4272B">
              <w:rPr>
                <w:b/>
                <w:bCs/>
                <w:sz w:val="28"/>
                <w:szCs w:val="28"/>
                <w:lang w:val="en-US"/>
              </w:rPr>
              <w:t>.</w:t>
            </w:r>
            <w:r w:rsidR="005A6CBA" w:rsidRPr="00A4272B">
              <w:rPr>
                <w:b/>
                <w:bCs/>
                <w:sz w:val="28"/>
                <w:szCs w:val="28"/>
                <w:lang w:val="en-US"/>
              </w:rPr>
              <w:tab/>
              <w:t>Introduction</w:t>
            </w:r>
          </w:p>
          <w:p w14:paraId="786219CA" w14:textId="77777777" w:rsidR="005A6CBA" w:rsidRPr="00A4272B" w:rsidRDefault="005A6CBA" w:rsidP="00A913FE">
            <w:pPr>
              <w:rPr>
                <w:b/>
                <w:bCs/>
                <w:sz w:val="28"/>
                <w:szCs w:val="28"/>
                <w:lang w:val="en-US"/>
              </w:rPr>
            </w:pPr>
            <w:r w:rsidRPr="00A4272B">
              <w:rPr>
                <w:b/>
                <w:bCs/>
                <w:sz w:val="28"/>
                <w:szCs w:val="28"/>
                <w:lang w:val="en-US"/>
              </w:rPr>
              <w:t>II.</w:t>
            </w:r>
            <w:r w:rsidRPr="00A4272B">
              <w:rPr>
                <w:b/>
                <w:bCs/>
                <w:sz w:val="28"/>
                <w:szCs w:val="28"/>
                <w:lang w:val="en-US"/>
              </w:rPr>
              <w:tab/>
              <w:t>Results of the Global Monitoring Plan</w:t>
            </w:r>
          </w:p>
          <w:p w14:paraId="668457E3" w14:textId="427B24A8" w:rsidR="005A6CBA" w:rsidRPr="00A4272B" w:rsidRDefault="005A6CBA" w:rsidP="00A913FE">
            <w:pPr>
              <w:rPr>
                <w:b/>
                <w:bCs/>
                <w:szCs w:val="24"/>
                <w:lang w:val="en-US"/>
              </w:rPr>
            </w:pPr>
            <w:r w:rsidRPr="00A4272B">
              <w:rPr>
                <w:b/>
                <w:bCs/>
                <w:szCs w:val="24"/>
                <w:lang w:val="en-US"/>
              </w:rPr>
              <w:t>1.</w:t>
            </w:r>
            <w:r w:rsidRPr="00A4272B">
              <w:rPr>
                <w:b/>
                <w:bCs/>
                <w:szCs w:val="24"/>
                <w:lang w:val="en-US"/>
              </w:rPr>
              <w:tab/>
              <w:t>Data availability</w:t>
            </w:r>
          </w:p>
          <w:p w14:paraId="7E2C82E4" w14:textId="0D796BE9" w:rsidR="005A6CBA" w:rsidRPr="00A4272B" w:rsidRDefault="005A6CBA" w:rsidP="00A913FE">
            <w:pPr>
              <w:rPr>
                <w:b/>
                <w:bCs/>
                <w:szCs w:val="24"/>
                <w:lang w:val="en-US"/>
              </w:rPr>
            </w:pPr>
            <w:r w:rsidRPr="00A4272B">
              <w:rPr>
                <w:b/>
                <w:bCs/>
                <w:szCs w:val="24"/>
                <w:lang w:val="en-US"/>
              </w:rPr>
              <w:t>2.</w:t>
            </w:r>
            <w:r w:rsidRPr="00A4272B">
              <w:rPr>
                <w:b/>
                <w:bCs/>
                <w:szCs w:val="24"/>
                <w:lang w:val="en-US"/>
              </w:rPr>
              <w:tab/>
              <w:t>Data consistency and comparability</w:t>
            </w:r>
          </w:p>
          <w:p w14:paraId="0CA66675" w14:textId="1C1EAADD" w:rsidR="005A6CBA" w:rsidRPr="00A4272B" w:rsidRDefault="005A6CBA" w:rsidP="00A913FE">
            <w:pPr>
              <w:rPr>
                <w:b/>
                <w:bCs/>
                <w:szCs w:val="24"/>
                <w:lang w:val="en-US"/>
              </w:rPr>
            </w:pPr>
            <w:r w:rsidRPr="00A4272B">
              <w:rPr>
                <w:b/>
                <w:bCs/>
                <w:szCs w:val="24"/>
                <w:lang w:val="en-US"/>
              </w:rPr>
              <w:t>3.</w:t>
            </w:r>
            <w:r w:rsidRPr="00A4272B">
              <w:rPr>
                <w:b/>
                <w:bCs/>
                <w:szCs w:val="24"/>
                <w:lang w:val="en-US"/>
              </w:rPr>
              <w:tab/>
              <w:t>Data handling</w:t>
            </w:r>
          </w:p>
          <w:p w14:paraId="66B55345" w14:textId="03CA376E" w:rsidR="005A6CBA" w:rsidRPr="00A4272B" w:rsidRDefault="005A6CBA" w:rsidP="00A913FE">
            <w:pPr>
              <w:rPr>
                <w:b/>
                <w:bCs/>
                <w:szCs w:val="24"/>
                <w:lang w:val="en-US"/>
              </w:rPr>
            </w:pPr>
            <w:r w:rsidRPr="00A4272B">
              <w:rPr>
                <w:b/>
                <w:bCs/>
                <w:szCs w:val="24"/>
                <w:lang w:val="en-US"/>
              </w:rPr>
              <w:t>4.</w:t>
            </w:r>
            <w:r w:rsidRPr="00A4272B">
              <w:rPr>
                <w:b/>
                <w:bCs/>
                <w:szCs w:val="24"/>
                <w:lang w:val="en-US"/>
              </w:rPr>
              <w:tab/>
              <w:t>Monitoring results</w:t>
            </w:r>
          </w:p>
          <w:p w14:paraId="554863D1" w14:textId="77777777" w:rsidR="005A6CBA" w:rsidRPr="00A4272B" w:rsidRDefault="005A6CBA" w:rsidP="00A913FE">
            <w:pPr>
              <w:rPr>
                <w:b/>
                <w:bCs/>
                <w:szCs w:val="24"/>
                <w:lang w:val="en-US"/>
              </w:rPr>
            </w:pPr>
            <w:r w:rsidRPr="00A4272B">
              <w:rPr>
                <w:b/>
                <w:bCs/>
                <w:szCs w:val="24"/>
                <w:lang w:val="en-US"/>
              </w:rPr>
              <w:t>4.1</w:t>
            </w:r>
            <w:r w:rsidRPr="00A4272B">
              <w:rPr>
                <w:b/>
                <w:bCs/>
                <w:szCs w:val="24"/>
                <w:lang w:val="en-US"/>
              </w:rPr>
              <w:tab/>
              <w:t>Air</w:t>
            </w:r>
          </w:p>
          <w:p w14:paraId="552A3C64" w14:textId="77777777" w:rsidR="005A6CBA" w:rsidRPr="00A4272B" w:rsidRDefault="005A6CBA" w:rsidP="00A913FE">
            <w:pPr>
              <w:rPr>
                <w:b/>
                <w:bCs/>
                <w:szCs w:val="24"/>
                <w:lang w:val="en-US"/>
              </w:rPr>
            </w:pPr>
            <w:r w:rsidRPr="00A4272B">
              <w:rPr>
                <w:b/>
                <w:bCs/>
                <w:szCs w:val="24"/>
                <w:lang w:val="en-US"/>
              </w:rPr>
              <w:t>4.2</w:t>
            </w:r>
            <w:r w:rsidRPr="00A4272B">
              <w:rPr>
                <w:b/>
                <w:bCs/>
                <w:szCs w:val="24"/>
                <w:lang w:val="en-US"/>
              </w:rPr>
              <w:tab/>
              <w:t>Human matrices</w:t>
            </w:r>
          </w:p>
          <w:p w14:paraId="505B9EA5" w14:textId="77777777" w:rsidR="005A6CBA" w:rsidRPr="00A4272B" w:rsidRDefault="005A6CBA" w:rsidP="00A913FE">
            <w:pPr>
              <w:rPr>
                <w:b/>
                <w:bCs/>
                <w:szCs w:val="24"/>
                <w:lang w:val="en-US"/>
              </w:rPr>
            </w:pPr>
            <w:r w:rsidRPr="00A4272B">
              <w:rPr>
                <w:b/>
                <w:bCs/>
                <w:szCs w:val="24"/>
                <w:lang w:val="en-US"/>
              </w:rPr>
              <w:t>4.3</w:t>
            </w:r>
            <w:r w:rsidRPr="00A4272B">
              <w:rPr>
                <w:b/>
                <w:bCs/>
                <w:szCs w:val="24"/>
                <w:lang w:val="en-US"/>
              </w:rPr>
              <w:tab/>
              <w:t>Water</w:t>
            </w:r>
          </w:p>
          <w:p w14:paraId="65E2035F" w14:textId="77777777" w:rsidR="005A6CBA" w:rsidRPr="00A4272B" w:rsidRDefault="005A6CBA" w:rsidP="00A913FE">
            <w:pPr>
              <w:rPr>
                <w:b/>
                <w:bCs/>
                <w:szCs w:val="24"/>
                <w:lang w:val="en-US"/>
              </w:rPr>
            </w:pPr>
            <w:r w:rsidRPr="00A4272B">
              <w:rPr>
                <w:b/>
                <w:bCs/>
                <w:szCs w:val="24"/>
                <w:lang w:val="en-US"/>
              </w:rPr>
              <w:t>4.4</w:t>
            </w:r>
            <w:r w:rsidRPr="00A4272B">
              <w:rPr>
                <w:b/>
                <w:bCs/>
                <w:szCs w:val="24"/>
                <w:lang w:val="en-US"/>
              </w:rPr>
              <w:tab/>
              <w:t>Other media</w:t>
            </w:r>
          </w:p>
          <w:p w14:paraId="2AA82EC7" w14:textId="12951995" w:rsidR="005A6CBA" w:rsidRPr="00A4272B" w:rsidRDefault="005A6CBA" w:rsidP="00A913FE">
            <w:pPr>
              <w:rPr>
                <w:b/>
                <w:bCs/>
                <w:szCs w:val="24"/>
                <w:lang w:val="en-US"/>
              </w:rPr>
            </w:pPr>
            <w:r w:rsidRPr="00A4272B">
              <w:rPr>
                <w:b/>
                <w:bCs/>
                <w:szCs w:val="24"/>
                <w:lang w:val="en-US"/>
              </w:rPr>
              <w:t>5.</w:t>
            </w:r>
            <w:r w:rsidRPr="00A4272B">
              <w:rPr>
                <w:b/>
                <w:bCs/>
                <w:szCs w:val="24"/>
                <w:lang w:val="en-US"/>
              </w:rPr>
              <w:tab/>
              <w:t>Long-range transport</w:t>
            </w:r>
          </w:p>
          <w:p w14:paraId="111744EA" w14:textId="77777777" w:rsidR="005A6CBA" w:rsidRPr="00A4272B" w:rsidRDefault="005A6CBA" w:rsidP="00A913FE">
            <w:pPr>
              <w:rPr>
                <w:b/>
                <w:bCs/>
                <w:sz w:val="28"/>
                <w:szCs w:val="28"/>
                <w:lang w:val="en-US"/>
              </w:rPr>
            </w:pPr>
            <w:r w:rsidRPr="00A4272B">
              <w:rPr>
                <w:b/>
                <w:bCs/>
                <w:sz w:val="28"/>
                <w:szCs w:val="28"/>
                <w:lang w:val="en-US"/>
              </w:rPr>
              <w:t>III.</w:t>
            </w:r>
            <w:r w:rsidRPr="00A4272B">
              <w:rPr>
                <w:b/>
                <w:bCs/>
                <w:sz w:val="28"/>
                <w:szCs w:val="28"/>
                <w:lang w:val="en-US"/>
              </w:rPr>
              <w:tab/>
              <w:t>Evaluation of the global monitoring plan and conclusions and recommendations for the next phase</w:t>
            </w:r>
          </w:p>
          <w:p w14:paraId="44BB7676" w14:textId="07860D90" w:rsidR="005A6CBA" w:rsidRPr="00A4272B" w:rsidRDefault="005A6CBA" w:rsidP="00A913FE">
            <w:pPr>
              <w:rPr>
                <w:b/>
                <w:bCs/>
                <w:szCs w:val="24"/>
                <w:lang w:val="en-US"/>
              </w:rPr>
            </w:pPr>
            <w:r w:rsidRPr="00A4272B">
              <w:rPr>
                <w:b/>
                <w:bCs/>
                <w:szCs w:val="24"/>
                <w:lang w:val="en-US"/>
              </w:rPr>
              <w:t>1.</w:t>
            </w:r>
            <w:r w:rsidRPr="00A4272B">
              <w:rPr>
                <w:b/>
                <w:bCs/>
                <w:szCs w:val="24"/>
                <w:lang w:val="en-US"/>
              </w:rPr>
              <w:tab/>
              <w:t>Arrangements</w:t>
            </w:r>
          </w:p>
          <w:p w14:paraId="66BC6235" w14:textId="168EDCC2" w:rsidR="005A6CBA" w:rsidRPr="00A4272B" w:rsidRDefault="005A6CBA" w:rsidP="00A913FE">
            <w:pPr>
              <w:rPr>
                <w:b/>
                <w:bCs/>
                <w:szCs w:val="24"/>
                <w:lang w:val="en-US"/>
              </w:rPr>
            </w:pPr>
            <w:r w:rsidRPr="00A4272B">
              <w:rPr>
                <w:b/>
                <w:bCs/>
                <w:szCs w:val="24"/>
                <w:lang w:val="en-US"/>
              </w:rPr>
              <w:t>2.</w:t>
            </w:r>
            <w:r w:rsidRPr="00A4272B">
              <w:rPr>
                <w:b/>
                <w:bCs/>
                <w:szCs w:val="24"/>
                <w:lang w:val="en-US"/>
              </w:rPr>
              <w:tab/>
              <w:t>Challenges to implementation</w:t>
            </w:r>
          </w:p>
          <w:p w14:paraId="2D0A134D" w14:textId="77777777" w:rsidR="00F24816" w:rsidRPr="00A4272B" w:rsidRDefault="00F24816" w:rsidP="00A913FE">
            <w:pPr>
              <w:rPr>
                <w:sz w:val="22"/>
                <w:szCs w:val="22"/>
                <w:lang w:val="en-US"/>
              </w:rPr>
            </w:pPr>
          </w:p>
          <w:p w14:paraId="69E65233" w14:textId="3771E7ED" w:rsidR="00F24816" w:rsidRPr="00A4272B" w:rsidRDefault="00F24816" w:rsidP="00A913FE">
            <w:pPr>
              <w:rPr>
                <w:b/>
                <w:bCs/>
                <w:sz w:val="22"/>
                <w:szCs w:val="22"/>
                <w:lang w:val="en-US"/>
              </w:rPr>
            </w:pPr>
            <w:r w:rsidRPr="00A4272B">
              <w:rPr>
                <w:b/>
                <w:bCs/>
                <w:sz w:val="22"/>
                <w:szCs w:val="22"/>
                <w:lang w:val="en-US"/>
              </w:rPr>
              <w:t>Report Structure:</w:t>
            </w:r>
          </w:p>
          <w:p w14:paraId="6410872F" w14:textId="6628AEE7" w:rsidR="005A6CBA" w:rsidRPr="00A4272B" w:rsidRDefault="00F24816" w:rsidP="00A913FE">
            <w:pPr>
              <w:rPr>
                <w:lang w:val="en-US"/>
              </w:rPr>
            </w:pPr>
            <w:r w:rsidRPr="00A4272B">
              <w:rPr>
                <w:lang w:val="en-US"/>
              </w:rPr>
              <w:t>All chapters will follow the following structure, as appropriate</w:t>
            </w:r>
            <w:r w:rsidR="005A6CBA" w:rsidRPr="00A4272B">
              <w:rPr>
                <w:lang w:val="en-US"/>
              </w:rPr>
              <w:t>:</w:t>
            </w:r>
          </w:p>
          <w:p w14:paraId="691F008C" w14:textId="77777777" w:rsidR="005A6CBA" w:rsidRPr="00A4272B" w:rsidRDefault="005A6CBA" w:rsidP="00A913FE">
            <w:pPr>
              <w:rPr>
                <w:b/>
                <w:bCs/>
                <w:szCs w:val="24"/>
                <w:lang w:val="en-US"/>
              </w:rPr>
            </w:pPr>
            <w:r w:rsidRPr="00A4272B">
              <w:rPr>
                <w:b/>
                <w:bCs/>
                <w:szCs w:val="24"/>
                <w:lang w:val="en-US"/>
              </w:rPr>
              <w:t>Introduction</w:t>
            </w:r>
          </w:p>
          <w:p w14:paraId="6564D8F8" w14:textId="77777777" w:rsidR="005A6CBA" w:rsidRPr="00A4272B" w:rsidRDefault="005A6CBA" w:rsidP="00A913FE">
            <w:pPr>
              <w:rPr>
                <w:b/>
                <w:bCs/>
                <w:szCs w:val="24"/>
                <w:lang w:val="en-US"/>
              </w:rPr>
            </w:pPr>
            <w:r w:rsidRPr="00A4272B">
              <w:rPr>
                <w:b/>
                <w:bCs/>
                <w:szCs w:val="24"/>
                <w:lang w:val="en-US"/>
              </w:rPr>
              <w:t>Overview</w:t>
            </w:r>
          </w:p>
          <w:p w14:paraId="68E48153" w14:textId="77777777" w:rsidR="005A6CBA" w:rsidRPr="00A4272B" w:rsidRDefault="005A6CBA" w:rsidP="00A913FE">
            <w:pPr>
              <w:rPr>
                <w:b/>
                <w:bCs/>
                <w:szCs w:val="24"/>
                <w:lang w:val="en-US"/>
              </w:rPr>
            </w:pPr>
            <w:r w:rsidRPr="00A4272B">
              <w:rPr>
                <w:b/>
                <w:bCs/>
                <w:szCs w:val="24"/>
                <w:lang w:val="en-US"/>
              </w:rPr>
              <w:t>Main findings</w:t>
            </w:r>
          </w:p>
          <w:p w14:paraId="21424830" w14:textId="77777777" w:rsidR="005A6CBA" w:rsidRPr="00A4272B" w:rsidRDefault="005A6CBA" w:rsidP="00A913FE">
            <w:pPr>
              <w:rPr>
                <w:b/>
                <w:bCs/>
                <w:szCs w:val="24"/>
                <w:lang w:val="en-US"/>
              </w:rPr>
            </w:pPr>
            <w:r w:rsidRPr="00A4272B">
              <w:rPr>
                <w:b/>
                <w:bCs/>
                <w:szCs w:val="24"/>
                <w:lang w:val="en-US"/>
              </w:rPr>
              <w:t>Conclusions and recommendations</w:t>
            </w:r>
          </w:p>
          <w:p w14:paraId="11599BCE" w14:textId="39A6D5A2" w:rsidR="005A6CBA" w:rsidRPr="00A4272B" w:rsidRDefault="00F24816" w:rsidP="0023432F">
            <w:pPr>
              <w:pStyle w:val="BodyText"/>
            </w:pPr>
            <w:r w:rsidRPr="00A4272B">
              <w:t>The Executive Summary will mirror the structure of the full report, summarizing the main findings, conclusions, and recommendations for each section</w:t>
            </w:r>
            <w:r w:rsidR="005A6CBA" w:rsidRPr="00A4272B">
              <w:t>.</w:t>
            </w:r>
          </w:p>
        </w:tc>
      </w:tr>
    </w:tbl>
    <w:p w14:paraId="2D2C3BC3" w14:textId="023BC9AA" w:rsidR="00F3536C" w:rsidRPr="00A4272B" w:rsidRDefault="00F3536C" w:rsidP="002A04E0">
      <w:pPr>
        <w:pStyle w:val="GMPHeading1"/>
        <w:rPr>
          <w:rFonts w:hint="eastAsia"/>
        </w:rPr>
      </w:pPr>
      <w:r w:rsidRPr="00A4272B">
        <w:br w:type="page"/>
      </w:r>
      <w:bookmarkStart w:id="709" w:name="_Toc187270534"/>
      <w:r w:rsidR="004D771B" w:rsidRPr="00A4272B">
        <w:lastRenderedPageBreak/>
        <w:t>8.</w:t>
      </w:r>
      <w:r w:rsidR="004D771B" w:rsidRPr="00A4272B">
        <w:tab/>
      </w:r>
      <w:r w:rsidRPr="00A4272B">
        <w:t xml:space="preserve">Environmental </w:t>
      </w:r>
      <w:r w:rsidR="009C7F35" w:rsidRPr="00A4272B">
        <w:t>s</w:t>
      </w:r>
      <w:r w:rsidRPr="00A4272B">
        <w:t xml:space="preserve">pecimen </w:t>
      </w:r>
      <w:r w:rsidR="009C7F35" w:rsidRPr="00A4272B">
        <w:t>b</w:t>
      </w:r>
      <w:r w:rsidRPr="00A4272B">
        <w:t>anking</w:t>
      </w:r>
      <w:bookmarkEnd w:id="709"/>
    </w:p>
    <w:p w14:paraId="14FD794A" w14:textId="1ECD347E" w:rsidR="00F3536C" w:rsidRPr="00A4272B" w:rsidRDefault="004D771B" w:rsidP="005E0F12">
      <w:pPr>
        <w:pStyle w:val="GMPHeading2"/>
        <w:tabs>
          <w:tab w:val="clear" w:pos="360"/>
          <w:tab w:val="clear" w:pos="450"/>
          <w:tab w:val="clear" w:pos="540"/>
          <w:tab w:val="clear" w:pos="630"/>
        </w:tabs>
        <w:rPr>
          <w:rFonts w:hint="eastAsia"/>
        </w:rPr>
      </w:pPr>
      <w:bookmarkStart w:id="710" w:name="_Toc187270535"/>
      <w:r w:rsidRPr="00A4272B">
        <w:t>8.1</w:t>
      </w:r>
      <w:r w:rsidRPr="00A4272B">
        <w:tab/>
      </w:r>
      <w:r w:rsidR="00F3536C" w:rsidRPr="00A4272B">
        <w:t>Introduction</w:t>
      </w:r>
      <w:bookmarkEnd w:id="710"/>
    </w:p>
    <w:p w14:paraId="75E87B33" w14:textId="77777777" w:rsidR="00E23D30" w:rsidRPr="00A4272B" w:rsidRDefault="00E23D30" w:rsidP="00E23D30">
      <w:pPr>
        <w:autoSpaceDE w:val="0"/>
        <w:autoSpaceDN w:val="0"/>
        <w:adjustRightInd w:val="0"/>
        <w:rPr>
          <w:color w:val="000000"/>
          <w:lang w:val="en-US"/>
        </w:rPr>
      </w:pPr>
      <w:r w:rsidRPr="00A4272B">
        <w:rPr>
          <w:color w:val="000000"/>
          <w:lang w:val="en-US"/>
        </w:rPr>
        <w:t>Environmental Specimen Banking involves the collection and long-term storage (typically over several decades) of “representative” environmental and human samples (specimens) to preserve their chemical composition and properties, including pollutants accumulated within them (Becker et al., 2006). “Representative” samples are well-documented environmental specimens widely found in the environment, allowing future analyses to reveal temporal and spatial trends in pollutant levels.</w:t>
      </w:r>
    </w:p>
    <w:p w14:paraId="7DE1F878" w14:textId="2CDD0FE1" w:rsidR="00E23D30" w:rsidRPr="00A4272B" w:rsidRDefault="00E23D30" w:rsidP="00E23D30">
      <w:pPr>
        <w:autoSpaceDE w:val="0"/>
        <w:autoSpaceDN w:val="0"/>
        <w:adjustRightInd w:val="0"/>
        <w:rPr>
          <w:color w:val="000000"/>
          <w:lang w:val="en-US"/>
        </w:rPr>
      </w:pPr>
      <w:r w:rsidRPr="00A4272B">
        <w:rPr>
          <w:color w:val="000000"/>
          <w:lang w:val="en-US"/>
        </w:rPr>
        <w:t xml:space="preserve">The selection and collection of environmental samples should be carefully designed so that a </w:t>
      </w:r>
      <w:r w:rsidR="0027572A" w:rsidRPr="00A4272B">
        <w:rPr>
          <w:color w:val="000000"/>
          <w:lang w:val="en-US"/>
        </w:rPr>
        <w:t>minimal,</w:t>
      </w:r>
      <w:r w:rsidRPr="00A4272B">
        <w:rPr>
          <w:color w:val="000000"/>
          <w:lang w:val="en-US"/>
        </w:rPr>
        <w:t xml:space="preserve"> yet comprehensive set of archived samples provides an unbiased view of pollutant levels in a specified environment. Sampling design may need to consider factors such as sample type, quantity, location, frequency, season, and methods, all selected based on data about major sources of target POPs, transport and bioaccumulation processes, feasibility, and cost-effectiveness. This design process aligns with general environmental monitoring methods (see Chapter 3: Statistical Considerations and Chapter 4: Sampling and Sample Preparation Methodology). Additionally, long-term storage requires specialized facilities known as environmental specimen banks.</w:t>
      </w:r>
    </w:p>
    <w:p w14:paraId="414949D2" w14:textId="65E5B0FC" w:rsidR="00E23D30" w:rsidRPr="00A4272B" w:rsidRDefault="00E23D30" w:rsidP="00E23D30">
      <w:pPr>
        <w:autoSpaceDE w:val="0"/>
        <w:autoSpaceDN w:val="0"/>
        <w:adjustRightInd w:val="0"/>
        <w:rPr>
          <w:color w:val="000000"/>
          <w:lang w:val="en-US"/>
        </w:rPr>
      </w:pPr>
      <w:r w:rsidRPr="00A4272B">
        <w:rPr>
          <w:color w:val="000000"/>
          <w:lang w:val="en-US"/>
        </w:rPr>
        <w:t>Environmental Specimen Banking aims to support current and future monitoring activities under the Convention, giving it a broader scope than the present GMP.</w:t>
      </w:r>
    </w:p>
    <w:p w14:paraId="648FEA18" w14:textId="1477F375" w:rsidR="00E23D30" w:rsidRPr="00A4272B" w:rsidRDefault="00E23D30" w:rsidP="00E23D30">
      <w:pPr>
        <w:autoSpaceDE w:val="0"/>
        <w:autoSpaceDN w:val="0"/>
        <w:adjustRightInd w:val="0"/>
        <w:rPr>
          <w:color w:val="000000"/>
          <w:lang w:val="en-US"/>
        </w:rPr>
      </w:pPr>
      <w:r w:rsidRPr="00A4272B">
        <w:rPr>
          <w:color w:val="000000"/>
          <w:lang w:val="en-US"/>
        </w:rPr>
        <w:t xml:space="preserve">Environmental Specimen Banks play a critical role in many countries, supporting both scientific research and decision-making on environmental issues, particularly those involving chemical pollutants. Numerous specimen banking </w:t>
      </w:r>
      <w:r w:rsidR="002A6D39" w:rsidRPr="00A4272B">
        <w:rPr>
          <w:color w:val="000000"/>
          <w:lang w:val="en-US"/>
        </w:rPr>
        <w:t xml:space="preserve">programmes </w:t>
      </w:r>
      <w:r w:rsidRPr="00A4272B">
        <w:rPr>
          <w:color w:val="000000"/>
          <w:lang w:val="en-US"/>
        </w:rPr>
        <w:t xml:space="preserve">exist worldwide. Some have long histories and contain specimens dating back to the late 1960s and early 1970s, such as the Swedish Museum of Natural History and the National Aquatic Biological Specimen Bank / National Wildlife Specimen Bank in Canada. In the mid-1970s, the U.S. and Germany initiated pilot specimen banking </w:t>
      </w:r>
      <w:r w:rsidR="00AF4A1F" w:rsidRPr="00A4272B">
        <w:rPr>
          <w:color w:val="000000"/>
          <w:lang w:val="en-US"/>
        </w:rPr>
        <w:t>programmes,</w:t>
      </w:r>
      <w:r w:rsidRPr="00A4272B">
        <w:rPr>
          <w:color w:val="000000"/>
          <w:lang w:val="en-US"/>
        </w:rPr>
        <w:t xml:space="preserve"> which later transitioned to long-term efforts: the National Biomonitoring Specimen Bank (NIST) and the Federal Environmental Specimen Bank in Germany, respectively.</w:t>
      </w:r>
    </w:p>
    <w:p w14:paraId="3101077C" w14:textId="77777777" w:rsidR="00E23D30" w:rsidRPr="00A4272B" w:rsidRDefault="00E23D30" w:rsidP="00E23D30">
      <w:pPr>
        <w:autoSpaceDE w:val="0"/>
        <w:autoSpaceDN w:val="0"/>
        <w:adjustRightInd w:val="0"/>
        <w:rPr>
          <w:color w:val="000000"/>
          <w:lang w:val="en-US"/>
        </w:rPr>
      </w:pPr>
      <w:r w:rsidRPr="00A4272B">
        <w:rPr>
          <w:color w:val="000000"/>
          <w:lang w:val="en-US"/>
        </w:rPr>
        <w:t>Japan operates two specimen banks, archiving specimens from the 1960s (es-BANK at Ehime University) and the 1970s (Environmental Time Capsule at NIES). Since the 1980s, the number of specimen banks has expanded, including the Nordic ESB (Norway, Finland, Denmark, Faroe Islands), IFREMER and ANDRA in France, the Fish Specimen Bank in the UK, Yangtze ESB in China, the Antarctic Environmental Specimen Bank and the Mediterranean Marine Mammal Tissue Bank in Italy, NIER in the Republic of Korea, and the Biscay Bay Environmental Biospecimen Bank in Spain. Many banks also include human samples for monitoring chemical exposure (e.g., Wiesmüller et al., 2007).</w:t>
      </w:r>
    </w:p>
    <w:p w14:paraId="6CCD5125" w14:textId="77777777" w:rsidR="00BE1BD4" w:rsidRPr="00A4272B" w:rsidRDefault="00E23D30" w:rsidP="00BE1BD4">
      <w:pPr>
        <w:autoSpaceDE w:val="0"/>
        <w:autoSpaceDN w:val="0"/>
        <w:adjustRightInd w:val="0"/>
        <w:rPr>
          <w:noProof/>
          <w:color w:val="000000"/>
          <w:sz w:val="22"/>
          <w:szCs w:val="22"/>
          <w:lang w:val="en-US" w:eastAsia="ja-JP"/>
        </w:rPr>
      </w:pPr>
      <w:r w:rsidRPr="00A4272B">
        <w:rPr>
          <w:color w:val="000000"/>
          <w:lang w:val="en-US"/>
        </w:rPr>
        <w:t>The International Environmental Specimen Banking (IESB) Group was formed to facilitate information exchange and promote specimen banking activities, as an outcome of a series of symposiums, workshops, and meetings on Environmental Specimen Banking (http://www.inter-esb.org/index.html).</w:t>
      </w:r>
      <w:r w:rsidRPr="00A4272B">
        <w:rPr>
          <w:noProof/>
          <w:color w:val="000000"/>
          <w:sz w:val="22"/>
          <w:szCs w:val="22"/>
          <w:lang w:val="en-US" w:eastAsia="ja-JP"/>
        </w:rPr>
        <w:t xml:space="preserve"> </w:t>
      </w:r>
    </w:p>
    <w:p w14:paraId="1CCF8592" w14:textId="0ABC170F" w:rsidR="00F3536C" w:rsidRPr="00A4272B" w:rsidRDefault="00BE1BD4" w:rsidP="00BE1BD4">
      <w:pPr>
        <w:autoSpaceDE w:val="0"/>
        <w:autoSpaceDN w:val="0"/>
        <w:adjustRightInd w:val="0"/>
        <w:jc w:val="center"/>
        <w:rPr>
          <w:color w:val="000000"/>
          <w:lang w:val="en-US"/>
        </w:rPr>
      </w:pPr>
      <w:r w:rsidRPr="00A4272B">
        <w:rPr>
          <w:noProof/>
          <w:color w:val="000000"/>
          <w:sz w:val="22"/>
          <w:szCs w:val="22"/>
          <w:lang w:val="en-US" w:eastAsia="ja-JP"/>
        </w:rPr>
        <w:drawing>
          <wp:inline distT="0" distB="0" distL="0" distR="0" wp14:anchorId="79543041" wp14:editId="2DCC1E88">
            <wp:extent cx="4603750" cy="2813050"/>
            <wp:effectExtent l="0" t="0" r="6350" b="6350"/>
            <wp:docPr id="519321226" name="図 2" descr="A map of the world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21226" name="図 2" descr="A map of the world with red circle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603750" cy="2813050"/>
                    </a:xfrm>
                    <a:prstGeom prst="rect">
                      <a:avLst/>
                    </a:prstGeom>
                  </pic:spPr>
                </pic:pic>
              </a:graphicData>
            </a:graphic>
          </wp:inline>
        </w:drawing>
      </w:r>
    </w:p>
    <w:p w14:paraId="762A3142" w14:textId="27953685" w:rsidR="003179F0" w:rsidRPr="00A4272B" w:rsidRDefault="003179F0" w:rsidP="003179F0">
      <w:pPr>
        <w:autoSpaceDE w:val="0"/>
        <w:autoSpaceDN w:val="0"/>
        <w:adjustRightInd w:val="0"/>
        <w:jc w:val="center"/>
        <w:rPr>
          <w:b/>
          <w:lang w:val="en-US" w:eastAsia="ja-JP"/>
        </w:rPr>
      </w:pPr>
      <w:r w:rsidRPr="00A4272B">
        <w:rPr>
          <w:b/>
          <w:lang w:val="en-US" w:eastAsia="ja-JP"/>
        </w:rPr>
        <w:t>Figure 8.1: Environmental Specimen Banks Worldwide (adapted from the IESB Group homepage)</w:t>
      </w:r>
      <w:r w:rsidR="00BE1BD4" w:rsidRPr="00A4272B">
        <w:rPr>
          <w:b/>
          <w:lang w:val="en-US" w:eastAsia="ja-JP"/>
        </w:rPr>
        <w:t>.</w:t>
      </w:r>
    </w:p>
    <w:p w14:paraId="51064C03" w14:textId="77777777" w:rsidR="003179F0" w:rsidRPr="00A4272B" w:rsidRDefault="003179F0" w:rsidP="003179F0">
      <w:pPr>
        <w:autoSpaceDE w:val="0"/>
        <w:autoSpaceDN w:val="0"/>
        <w:adjustRightInd w:val="0"/>
        <w:rPr>
          <w:bCs/>
          <w:lang w:val="en-US" w:eastAsia="ja-JP"/>
        </w:rPr>
      </w:pPr>
      <w:r w:rsidRPr="00A4272B">
        <w:rPr>
          <w:bCs/>
          <w:lang w:val="en-US" w:eastAsia="ja-JP"/>
        </w:rPr>
        <w:lastRenderedPageBreak/>
        <w:t>Many of these institutions have dedicated websites detailing their Environmental Specimen Banks (ESBs), including information on archived samples, major scientific findings, and research publications. For further details on each bank’s activities, refer to the links on the IESB homepage.</w:t>
      </w:r>
    </w:p>
    <w:p w14:paraId="603565D0" w14:textId="77777777" w:rsidR="003179F0" w:rsidRPr="00A4272B" w:rsidRDefault="003179F0" w:rsidP="003179F0">
      <w:pPr>
        <w:autoSpaceDE w:val="0"/>
        <w:autoSpaceDN w:val="0"/>
        <w:adjustRightInd w:val="0"/>
        <w:rPr>
          <w:bCs/>
          <w:lang w:val="en-US" w:eastAsia="ja-JP"/>
        </w:rPr>
      </w:pPr>
      <w:r w:rsidRPr="00A4272B">
        <w:rPr>
          <w:bCs/>
          <w:lang w:val="en-US" w:eastAsia="ja-JP"/>
        </w:rPr>
        <w:t>Environmental Specimen Banking is anticipated to play a key role in supporting POPs monitoring under the Stockholm Convention's Global Monitoring Plan (GMP) (UNEP/POPS/COP.4/31). By systematically archiving portions of environmental samples collected for monitoring, each Party can reanalyze samples in the future to establish baselines for newly added POPs, assess temporal and spatial trends of current and newly listed POPs, identify emerging pollutants, reassess the quality of past analytical data, and quantify previously undetected or unmonitored compounds using advanced analytical methods.</w:t>
      </w:r>
    </w:p>
    <w:p w14:paraId="558E857B" w14:textId="77777777" w:rsidR="003179F0" w:rsidRPr="00A4272B" w:rsidRDefault="003179F0" w:rsidP="003179F0">
      <w:pPr>
        <w:autoSpaceDE w:val="0"/>
        <w:autoSpaceDN w:val="0"/>
        <w:adjustRightInd w:val="0"/>
        <w:rPr>
          <w:bCs/>
          <w:lang w:val="en-US" w:eastAsia="ja-JP"/>
        </w:rPr>
      </w:pPr>
      <w:r w:rsidRPr="00A4272B">
        <w:rPr>
          <w:bCs/>
          <w:lang w:val="en-US" w:eastAsia="ja-JP"/>
        </w:rPr>
        <w:t>For example, Figure 8.2 illustrates the temporal trends of PFOS and other perfluorinated surfactants in human milk from Stockholm, Sweden, archived in the Swedish Museum of Natural History’s specimen bank (Nyberg et al., 2010). Such temporal and spatial trend data are invaluable for reviewing chemicals proposed for listing under the Convention and for effectiveness evaluations.</w:t>
      </w:r>
    </w:p>
    <w:p w14:paraId="3E674BC3" w14:textId="26AFCABF" w:rsidR="003179F0" w:rsidRPr="00A4272B" w:rsidRDefault="003179F0" w:rsidP="003179F0">
      <w:pPr>
        <w:autoSpaceDE w:val="0"/>
        <w:autoSpaceDN w:val="0"/>
        <w:adjustRightInd w:val="0"/>
        <w:rPr>
          <w:bCs/>
          <w:lang w:val="en-US" w:eastAsia="ja-JP"/>
        </w:rPr>
      </w:pPr>
      <w:r w:rsidRPr="00A4272B">
        <w:rPr>
          <w:bCs/>
          <w:lang w:val="en-US" w:eastAsia="ja-JP"/>
        </w:rPr>
        <w:t xml:space="preserve">Additionally, Environmental Specimen Banking can support Convention implementation, particularly in developing countries, by enabling earlier sample collection and storage. Analysis can then be conducted once capacity-building efforts are complete. Under the UNEP/GEF-GMP-2 </w:t>
      </w:r>
      <w:r w:rsidR="00AF4A1F" w:rsidRPr="00A4272B">
        <w:rPr>
          <w:bCs/>
          <w:lang w:val="en-US" w:eastAsia="ja-JP"/>
        </w:rPr>
        <w:t>programme,</w:t>
      </w:r>
      <w:r w:rsidRPr="00A4272B">
        <w:rPr>
          <w:bCs/>
          <w:lang w:val="en-US" w:eastAsia="ja-JP"/>
        </w:rPr>
        <w:t xml:space="preserve"> which supports data collection on POPs in human breast milk for the Convention's effectiveness evaluation, a portion of pooled milk samples from each country is archived in the WHO Global Human Milk Bank for future POPs analysis (Malisch et al., 2017).</w:t>
      </w:r>
    </w:p>
    <w:p w14:paraId="05BD9980" w14:textId="6EABD491" w:rsidR="00F3536C" w:rsidRPr="00A4272B" w:rsidRDefault="003179F0" w:rsidP="00A1795D">
      <w:pPr>
        <w:autoSpaceDE w:val="0"/>
        <w:autoSpaceDN w:val="0"/>
        <w:adjustRightInd w:val="0"/>
        <w:jc w:val="center"/>
        <w:rPr>
          <w:lang w:val="en-US"/>
        </w:rPr>
      </w:pPr>
      <w:r w:rsidRPr="00A4272B">
        <w:rPr>
          <w:noProof/>
          <w:color w:val="000000"/>
          <w:sz w:val="22"/>
          <w:szCs w:val="22"/>
          <w:lang w:val="en-US" w:eastAsia="ja-JP"/>
        </w:rPr>
        <w:drawing>
          <wp:inline distT="0" distB="0" distL="0" distR="0" wp14:anchorId="5106AA1F" wp14:editId="1951B20A">
            <wp:extent cx="6245225" cy="2869565"/>
            <wp:effectExtent l="0" t="0" r="3175" b="6985"/>
            <wp:docPr id="183690174" name="図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174" name="図 1" descr="A graph of different colored bar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6245225" cy="2869565"/>
                    </a:xfrm>
                    <a:prstGeom prst="rect">
                      <a:avLst/>
                    </a:prstGeom>
                  </pic:spPr>
                </pic:pic>
              </a:graphicData>
            </a:graphic>
          </wp:inline>
        </w:drawing>
      </w:r>
    </w:p>
    <w:p w14:paraId="2858D6B5" w14:textId="7CB9C314" w:rsidR="003179F0" w:rsidRPr="00A4272B" w:rsidRDefault="003179F0" w:rsidP="003179F0">
      <w:pPr>
        <w:autoSpaceDE w:val="0"/>
        <w:autoSpaceDN w:val="0"/>
        <w:adjustRightInd w:val="0"/>
        <w:rPr>
          <w:b/>
          <w:lang w:val="en-US" w:eastAsia="ja-JP"/>
        </w:rPr>
      </w:pPr>
      <w:r w:rsidRPr="00A4272B">
        <w:rPr>
          <w:b/>
          <w:lang w:val="en-US" w:eastAsia="ja-JP"/>
        </w:rPr>
        <w:t xml:space="preserve">Figure 8.2: Lower bound estimates of mean PFAS concentrations in milk sampled from Stockholm (1972–2016) and Gothenburg (2007–2015). </w:t>
      </w:r>
      <w:r w:rsidRPr="00A4272B">
        <w:rPr>
          <w:bCs/>
          <w:sz w:val="18"/>
          <w:szCs w:val="18"/>
          <w:lang w:val="en-US" w:eastAsia="ja-JP"/>
        </w:rPr>
        <w:t>(Each year represents the average of 1–3 pooled samples, except for 2012, where the mean is derived from individual samples (n = 20 for Stockholm and n = 16 for Gothenburg) (Nyberg et al., 2018).)</w:t>
      </w:r>
    </w:p>
    <w:p w14:paraId="51E7BBB9" w14:textId="77777777" w:rsidR="003179F0" w:rsidRPr="00A4272B" w:rsidRDefault="003179F0" w:rsidP="003179F0">
      <w:pPr>
        <w:autoSpaceDE w:val="0"/>
        <w:autoSpaceDN w:val="0"/>
        <w:adjustRightInd w:val="0"/>
        <w:rPr>
          <w:bCs/>
          <w:lang w:val="en-US" w:eastAsia="ja-JP"/>
        </w:rPr>
      </w:pPr>
      <w:r w:rsidRPr="00A4272B">
        <w:rPr>
          <w:bCs/>
          <w:lang w:val="en-US" w:eastAsia="ja-JP"/>
        </w:rPr>
        <w:t>Beyond supporting the Convention, Environmental Specimen Banking plays an essential role during environmental incidents and disasters by enabling the quantitative assessment of a disaster’s impact and providing a baseline of pre-disaster conditions through analysis of archived samples. Figure 8.3 illustrates temporal trends of benzo(a)pyrene (B(a)P) levels in bivalves along a coastline affected by a tanker accident (Shibata, 1998). Gray dots represent B(a)P levels in archived samples collected before the accident, showing that B(a)P levels in bivalves, while spiking to two to three orders of magnitude higher after the accident, eventually returned to baseline levels over several years.</w:t>
      </w:r>
    </w:p>
    <w:p w14:paraId="558EB484" w14:textId="0ED30FED" w:rsidR="00F3536C" w:rsidRPr="00A4272B" w:rsidRDefault="003179F0" w:rsidP="003179F0">
      <w:pPr>
        <w:autoSpaceDE w:val="0"/>
        <w:autoSpaceDN w:val="0"/>
        <w:adjustRightInd w:val="0"/>
        <w:rPr>
          <w:bCs/>
          <w:lang w:val="en-US" w:eastAsia="ja-JP"/>
        </w:rPr>
      </w:pPr>
      <w:r w:rsidRPr="00A4272B">
        <w:rPr>
          <w:bCs/>
          <w:lang w:val="en-US" w:eastAsia="ja-JP"/>
        </w:rPr>
        <w:t>Specimen banks also offer crucial insights into historical pollution when adverse effects from pollutants with delayed toxicities, such as carcinogens or endocrine-disrupting chemicals, emerge decades after exposure. Figure 8.4 shows the stability of organoselenium compounds in human urine at various temperatures, with selenourea being the least stable. At 20°C, selenourea is estimated to remain stable for up to 30 days (Zheng et al., 2002).</w:t>
      </w:r>
    </w:p>
    <w:p w14:paraId="1C87B975" w14:textId="1DE28ECE" w:rsidR="003179F0" w:rsidRPr="00A4272B" w:rsidRDefault="003179F0" w:rsidP="003179F0">
      <w:pPr>
        <w:autoSpaceDE w:val="0"/>
        <w:autoSpaceDN w:val="0"/>
        <w:adjustRightInd w:val="0"/>
        <w:rPr>
          <w:bCs/>
          <w:noProof/>
          <w:lang w:val="en-US"/>
        </w:rPr>
      </w:pPr>
      <w:r w:rsidRPr="00A4272B">
        <w:rPr>
          <w:noProof/>
          <w:lang w:val="en-US"/>
        </w:rPr>
        <w:lastRenderedPageBreak/>
        <w:drawing>
          <wp:inline distT="0" distB="0" distL="0" distR="0" wp14:anchorId="178D2B63" wp14:editId="1DC6316F">
            <wp:extent cx="2903220" cy="25389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3259" cy="2547718"/>
                    </a:xfrm>
                    <a:prstGeom prst="rect">
                      <a:avLst/>
                    </a:prstGeom>
                    <a:noFill/>
                    <a:ln>
                      <a:noFill/>
                    </a:ln>
                  </pic:spPr>
                </pic:pic>
              </a:graphicData>
            </a:graphic>
          </wp:inline>
        </w:drawing>
      </w:r>
    </w:p>
    <w:p w14:paraId="3D9A88CD" w14:textId="6C7F0553" w:rsidR="003179F0" w:rsidRPr="00A4272B" w:rsidRDefault="003179F0" w:rsidP="0098016E">
      <w:pPr>
        <w:autoSpaceDE w:val="0"/>
        <w:autoSpaceDN w:val="0"/>
        <w:adjustRightInd w:val="0"/>
        <w:rPr>
          <w:bCs/>
          <w:sz w:val="18"/>
          <w:szCs w:val="18"/>
          <w:lang w:val="en-US" w:eastAsia="ja-JP"/>
        </w:rPr>
      </w:pPr>
      <w:r w:rsidRPr="00A4272B">
        <w:rPr>
          <w:b/>
          <w:lang w:val="en-US" w:eastAsia="ja-JP"/>
        </w:rPr>
        <w:t xml:space="preserve">Figure 8.3: Benzo(a)pyrene (B(a)P) levels in bivalve samples collected along the Japanese coastline before and after a tanker accident in January 1997. </w:t>
      </w:r>
      <w:r w:rsidRPr="00A4272B">
        <w:rPr>
          <w:bCs/>
          <w:lang w:val="en-US" w:eastAsia="ja-JP"/>
        </w:rPr>
        <w:t>(Shibata, 1998).</w:t>
      </w:r>
    </w:p>
    <w:p w14:paraId="65C38680" w14:textId="190BDCB4" w:rsidR="003179F0" w:rsidRPr="00A4272B" w:rsidRDefault="003179F0" w:rsidP="0098016E">
      <w:pPr>
        <w:autoSpaceDE w:val="0"/>
        <w:autoSpaceDN w:val="0"/>
        <w:adjustRightInd w:val="0"/>
        <w:rPr>
          <w:b/>
          <w:lang w:val="en-US" w:eastAsia="ja-JP"/>
        </w:rPr>
      </w:pPr>
      <w:r w:rsidRPr="00A4272B">
        <w:rPr>
          <w:noProof/>
          <w:lang w:val="en-US"/>
        </w:rPr>
        <w:drawing>
          <wp:inline distT="0" distB="0" distL="0" distR="0" wp14:anchorId="771EB70F" wp14:editId="1831CD72">
            <wp:extent cx="2827020" cy="4589996"/>
            <wp:effectExtent l="0" t="0" r="0" b="1270"/>
            <wp:docPr id="3" name="Picture 3" descr="Fil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9" cstate="print">
                      <a:extLst>
                        <a:ext uri="{28A0092B-C50C-407E-A947-70E740481C1C}">
                          <a14:useLocalDpi xmlns:a14="http://schemas.microsoft.com/office/drawing/2010/main" val="0"/>
                        </a:ext>
                      </a:extLst>
                    </a:blip>
                    <a:srcRect r="4747" b="1811"/>
                    <a:stretch>
                      <a:fillRect/>
                    </a:stretch>
                  </pic:blipFill>
                  <pic:spPr>
                    <a:xfrm>
                      <a:off x="0" y="0"/>
                      <a:ext cx="2828537" cy="4592459"/>
                    </a:xfrm>
                    <a:prstGeom prst="rect">
                      <a:avLst/>
                    </a:prstGeom>
                  </pic:spPr>
                </pic:pic>
              </a:graphicData>
            </a:graphic>
          </wp:inline>
        </w:drawing>
      </w:r>
    </w:p>
    <w:p w14:paraId="5DB62D94" w14:textId="63101B5C" w:rsidR="003179F0" w:rsidRPr="00A4272B" w:rsidRDefault="003179F0" w:rsidP="003179F0">
      <w:pPr>
        <w:autoSpaceDE w:val="0"/>
        <w:autoSpaceDN w:val="0"/>
        <w:adjustRightInd w:val="0"/>
        <w:rPr>
          <w:color w:val="000000"/>
          <w:lang w:val="en-US" w:eastAsia="ja-JP"/>
        </w:rPr>
      </w:pPr>
      <w:r w:rsidRPr="00A4272B">
        <w:rPr>
          <w:b/>
          <w:bCs/>
          <w:color w:val="000000"/>
          <w:lang w:val="en-US" w:eastAsia="ja-JP"/>
        </w:rPr>
        <w:t>Figure 8.4: Stability of organoselenium compounds added to human urine at various temperatures.</w:t>
      </w:r>
      <w:r w:rsidRPr="00A4272B">
        <w:rPr>
          <w:color w:val="000000"/>
          <w:lang w:val="en-US" w:eastAsia="ja-JP"/>
        </w:rPr>
        <w:t xml:space="preserve"> (Zheng et al., 2002).</w:t>
      </w:r>
    </w:p>
    <w:p w14:paraId="30FF8193" w14:textId="50403187" w:rsidR="003179F0" w:rsidRPr="00A4272B" w:rsidRDefault="003179F0" w:rsidP="003179F0">
      <w:pPr>
        <w:autoSpaceDE w:val="0"/>
        <w:autoSpaceDN w:val="0"/>
        <w:adjustRightInd w:val="0"/>
        <w:rPr>
          <w:color w:val="000000"/>
          <w:lang w:val="en-US" w:eastAsia="ja-JP"/>
        </w:rPr>
      </w:pPr>
      <w:r w:rsidRPr="00A4272B">
        <w:rPr>
          <w:color w:val="000000"/>
          <w:lang w:val="en-US" w:eastAsia="ja-JP"/>
        </w:rPr>
        <w:t xml:space="preserve">Many Environmental Specimen Banking </w:t>
      </w:r>
      <w:r w:rsidR="002A6D39" w:rsidRPr="00A4272B">
        <w:rPr>
          <w:color w:val="000000"/>
          <w:lang w:val="en-US" w:eastAsia="ja-JP"/>
        </w:rPr>
        <w:t xml:space="preserve">programmes </w:t>
      </w:r>
      <w:r w:rsidRPr="00A4272B">
        <w:rPr>
          <w:color w:val="000000"/>
          <w:lang w:val="en-US" w:eastAsia="ja-JP"/>
        </w:rPr>
        <w:t xml:space="preserve">have substantial capacity to produce chemically homogeneous materials and analyze a wide range of pollutants. These </w:t>
      </w:r>
      <w:r w:rsidR="002A6D39" w:rsidRPr="00A4272B">
        <w:rPr>
          <w:color w:val="000000"/>
          <w:lang w:val="en-US" w:eastAsia="ja-JP"/>
        </w:rPr>
        <w:t xml:space="preserve">programmes </w:t>
      </w:r>
      <w:r w:rsidRPr="00A4272B">
        <w:rPr>
          <w:color w:val="000000"/>
          <w:lang w:val="en-US" w:eastAsia="ja-JP"/>
        </w:rPr>
        <w:t xml:space="preserve">often contribute to QA/QC in environmental analysis by producing reference materials, such as those from the National Institute of Standards and Technology (NIST, USA) </w:t>
      </w:r>
      <w:r w:rsidRPr="00A4272B">
        <w:rPr>
          <w:color w:val="000000"/>
          <w:lang w:val="en-US" w:eastAsia="ja-JP"/>
        </w:rPr>
        <w:lastRenderedPageBreak/>
        <w:t>and the National Institute for Environmental Studies (NIES, Japan), which offer a series of standard reference materials and certified environmental reference materials. Thus, Environmental Specimen Banking is expected to support the GMP of the Stockholm Convention, not only by archiving monitoring samples but also by building and enhancing analytical capacity.</w:t>
      </w:r>
    </w:p>
    <w:p w14:paraId="69BEF716" w14:textId="00889FA4" w:rsidR="00F3536C" w:rsidRPr="00A4272B" w:rsidRDefault="00A1795D" w:rsidP="00C3222E">
      <w:pPr>
        <w:pStyle w:val="GMPHeading2"/>
        <w:tabs>
          <w:tab w:val="clear" w:pos="360"/>
          <w:tab w:val="clear" w:pos="450"/>
          <w:tab w:val="clear" w:pos="540"/>
          <w:tab w:val="clear" w:pos="630"/>
        </w:tabs>
        <w:rPr>
          <w:rFonts w:hint="eastAsia"/>
        </w:rPr>
      </w:pPr>
      <w:bookmarkStart w:id="711" w:name="_Toc187270536"/>
      <w:r w:rsidRPr="00A4272B">
        <w:t>8.2</w:t>
      </w:r>
      <w:r w:rsidRPr="00A4272B">
        <w:tab/>
      </w:r>
      <w:r w:rsidR="00F3536C" w:rsidRPr="00A4272B">
        <w:t>Basic concept and requirements</w:t>
      </w:r>
      <w:bookmarkEnd w:id="711"/>
    </w:p>
    <w:p w14:paraId="5E1A0672" w14:textId="0E58069B" w:rsidR="00F3536C" w:rsidRPr="00A4272B" w:rsidRDefault="001F665D" w:rsidP="00817D9F">
      <w:pPr>
        <w:pStyle w:val="Heading3"/>
        <w:rPr>
          <w:rFonts w:hint="eastAsia"/>
        </w:rPr>
      </w:pPr>
      <w:bookmarkStart w:id="712" w:name="_Toc535584430"/>
      <w:bookmarkStart w:id="713" w:name="_Toc531721"/>
      <w:bookmarkStart w:id="714" w:name="_Toc532241"/>
      <w:bookmarkStart w:id="715" w:name="_Toc532454"/>
      <w:bookmarkStart w:id="716" w:name="_Toc1467945"/>
      <w:bookmarkStart w:id="717" w:name="_Toc1468118"/>
      <w:bookmarkStart w:id="718" w:name="_Toc1484002"/>
      <w:bookmarkStart w:id="719" w:name="_Toc65306546"/>
      <w:bookmarkStart w:id="720" w:name="_Toc187270537"/>
      <w:r w:rsidRPr="00A4272B">
        <w:t>8</w:t>
      </w:r>
      <w:r w:rsidR="00F3536C" w:rsidRPr="00A4272B">
        <w:t>.2.1</w:t>
      </w:r>
      <w:r w:rsidRPr="00A4272B">
        <w:tab/>
      </w:r>
      <w:r w:rsidR="00F3536C" w:rsidRPr="00A4272B">
        <w:t>Basic concept of environmental specimen banking</w:t>
      </w:r>
      <w:bookmarkEnd w:id="712"/>
      <w:bookmarkEnd w:id="713"/>
      <w:bookmarkEnd w:id="714"/>
      <w:bookmarkEnd w:id="715"/>
      <w:bookmarkEnd w:id="716"/>
      <w:bookmarkEnd w:id="717"/>
      <w:bookmarkEnd w:id="718"/>
      <w:bookmarkEnd w:id="719"/>
      <w:bookmarkEnd w:id="720"/>
    </w:p>
    <w:p w14:paraId="2D998BC3" w14:textId="77777777" w:rsidR="0020413A" w:rsidRPr="00A4272B" w:rsidRDefault="0020413A" w:rsidP="0020413A">
      <w:pPr>
        <w:autoSpaceDE w:val="0"/>
        <w:autoSpaceDN w:val="0"/>
        <w:adjustRightInd w:val="0"/>
        <w:rPr>
          <w:color w:val="000000"/>
          <w:lang w:val="en-US"/>
        </w:rPr>
      </w:pPr>
      <w:r w:rsidRPr="00A4272B">
        <w:rPr>
          <w:color w:val="000000"/>
          <w:lang w:val="en-US"/>
        </w:rPr>
        <w:t>Environmental Specimen Banking is a highly controlled operation designed for long-term continuity without changes to fundamental procedures, ensuring sample comparability and preservation of chemical properties and integrity. Consequently, all aspects of the process—such as sample type, sampling locations, intervals, archived sample amounts, container types, transport methods, sample homogenization and processing, homogeneity verification, sub-sample portioning, storage methods, and facility maintenance—must be meticulously planned, executed, and documented.</w:t>
      </w:r>
    </w:p>
    <w:p w14:paraId="11F8C38C" w14:textId="77777777" w:rsidR="0020413A" w:rsidRPr="00A4272B" w:rsidRDefault="0020413A" w:rsidP="0020413A">
      <w:pPr>
        <w:autoSpaceDE w:val="0"/>
        <w:autoSpaceDN w:val="0"/>
        <w:adjustRightInd w:val="0"/>
        <w:rPr>
          <w:color w:val="000000"/>
          <w:lang w:val="en-US"/>
        </w:rPr>
      </w:pPr>
      <w:r w:rsidRPr="00A4272B">
        <w:rPr>
          <w:color w:val="000000"/>
          <w:lang w:val="en-US"/>
        </w:rPr>
        <w:t>A comprehensive procedural manual or SOPs covering sample collection, processing, and storage, along with regular updates to these documents, are essential for the effective operation of a specimen bank. Stored samples should include sufficient supplementary information to enable future statistical analysis, interpretation, and traceability. The quality and detail of associated data significantly impact the value of archived samples (see Table 8.1).</w:t>
      </w:r>
    </w:p>
    <w:p w14:paraId="7921FA39" w14:textId="5CF2B9B9" w:rsidR="00F3536C" w:rsidRPr="00A4272B" w:rsidRDefault="00F3536C" w:rsidP="0098016E">
      <w:pPr>
        <w:keepNext/>
        <w:autoSpaceDE w:val="0"/>
        <w:autoSpaceDN w:val="0"/>
        <w:adjustRightInd w:val="0"/>
        <w:rPr>
          <w:b/>
          <w:color w:val="000000"/>
          <w:lang w:val="en-US"/>
        </w:rPr>
      </w:pPr>
      <w:r w:rsidRPr="00A4272B">
        <w:rPr>
          <w:b/>
          <w:color w:val="000000"/>
          <w:lang w:val="en-US"/>
        </w:rPr>
        <w:t xml:space="preserve">Table 8.1: Additional information that could be stored in connection </w:t>
      </w:r>
      <w:r w:rsidR="00BE1BD4" w:rsidRPr="00A4272B">
        <w:rPr>
          <w:b/>
          <w:color w:val="000000"/>
          <w:lang w:val="en-US"/>
        </w:rPr>
        <w:t>with</w:t>
      </w:r>
      <w:r w:rsidRPr="00A4272B">
        <w:rPr>
          <w:b/>
          <w:color w:val="000000"/>
          <w:lang w:val="en-US"/>
        </w:rPr>
        <w:t xml:space="preserve"> the stored samples.</w:t>
      </w:r>
    </w:p>
    <w:tbl>
      <w:tblPr>
        <w:tblW w:w="7098" w:type="dxa"/>
        <w:tblCellMar>
          <w:left w:w="99" w:type="dxa"/>
          <w:right w:w="99" w:type="dxa"/>
        </w:tblCellMar>
        <w:tblLook w:val="04A0" w:firstRow="1" w:lastRow="0" w:firstColumn="1" w:lastColumn="0" w:noHBand="0" w:noVBand="1"/>
      </w:tblPr>
      <w:tblGrid>
        <w:gridCol w:w="1932"/>
        <w:gridCol w:w="966"/>
        <w:gridCol w:w="960"/>
        <w:gridCol w:w="960"/>
        <w:gridCol w:w="1320"/>
        <w:gridCol w:w="960"/>
      </w:tblGrid>
      <w:tr w:rsidR="0098016E" w:rsidRPr="00A4272B" w14:paraId="1BFCBA98" w14:textId="77777777" w:rsidTr="0098016E">
        <w:trPr>
          <w:trHeight w:val="264"/>
        </w:trPr>
        <w:tc>
          <w:tcPr>
            <w:tcW w:w="1932" w:type="dxa"/>
            <w:tcBorders>
              <w:top w:val="single" w:sz="4" w:space="0" w:color="auto"/>
              <w:left w:val="single" w:sz="4" w:space="0" w:color="auto"/>
              <w:bottom w:val="nil"/>
              <w:right w:val="nil"/>
            </w:tcBorders>
            <w:shd w:val="clear" w:color="auto" w:fill="auto"/>
            <w:noWrap/>
            <w:vAlign w:val="center"/>
          </w:tcPr>
          <w:p w14:paraId="27894D8D"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&lt;Human Samples&gt;</w:t>
            </w:r>
          </w:p>
        </w:tc>
        <w:tc>
          <w:tcPr>
            <w:tcW w:w="963" w:type="dxa"/>
            <w:tcBorders>
              <w:top w:val="single" w:sz="4" w:space="0" w:color="auto"/>
              <w:left w:val="nil"/>
              <w:bottom w:val="nil"/>
              <w:right w:val="nil"/>
            </w:tcBorders>
            <w:shd w:val="clear" w:color="auto" w:fill="auto"/>
            <w:noWrap/>
            <w:vAlign w:val="center"/>
          </w:tcPr>
          <w:p w14:paraId="5970E2FA" w14:textId="77777777" w:rsidR="0098016E" w:rsidRPr="00A4272B" w:rsidRDefault="0098016E" w:rsidP="00A41632">
            <w:pPr>
              <w:rPr>
                <w:rFonts w:eastAsia="MS PGothic"/>
                <w:b/>
                <w:bCs/>
                <w:color w:val="000000"/>
                <w:lang w:val="en-US" w:eastAsia="ja-JP"/>
              </w:rPr>
            </w:pPr>
            <w:r w:rsidRPr="00A4272B">
              <w:rPr>
                <w:rFonts w:eastAsia="MS PGothic" w:hAnsi="MS PGothic"/>
                <w:b/>
                <w:bCs/>
                <w:color w:val="000000"/>
                <w:lang w:val="en-US" w:eastAsia="ja-JP"/>
              </w:rPr>
              <w:t xml:space="preserve">　</w:t>
            </w:r>
          </w:p>
        </w:tc>
        <w:tc>
          <w:tcPr>
            <w:tcW w:w="960" w:type="dxa"/>
            <w:tcBorders>
              <w:top w:val="single" w:sz="4" w:space="0" w:color="auto"/>
              <w:left w:val="nil"/>
              <w:bottom w:val="nil"/>
              <w:right w:val="nil"/>
            </w:tcBorders>
            <w:shd w:val="clear" w:color="auto" w:fill="auto"/>
            <w:noWrap/>
            <w:vAlign w:val="center"/>
          </w:tcPr>
          <w:p w14:paraId="5AC078F8" w14:textId="77777777" w:rsidR="0098016E" w:rsidRPr="00A4272B" w:rsidRDefault="0098016E" w:rsidP="00A41632">
            <w:pPr>
              <w:rPr>
                <w:rFonts w:eastAsia="MS PGothic"/>
                <w:b/>
                <w:bCs/>
                <w:color w:val="000000"/>
                <w:lang w:val="en-US" w:eastAsia="ja-JP"/>
              </w:rPr>
            </w:pPr>
            <w:r w:rsidRPr="00A4272B">
              <w:rPr>
                <w:rFonts w:eastAsia="MS PGothic" w:hAnsi="MS PGothic"/>
                <w:b/>
                <w:bCs/>
                <w:color w:val="000000"/>
                <w:lang w:val="en-US" w:eastAsia="ja-JP"/>
              </w:rPr>
              <w:t xml:space="preserve">　</w:t>
            </w:r>
          </w:p>
        </w:tc>
        <w:tc>
          <w:tcPr>
            <w:tcW w:w="960" w:type="dxa"/>
            <w:tcBorders>
              <w:top w:val="single" w:sz="4" w:space="0" w:color="auto"/>
              <w:left w:val="nil"/>
              <w:bottom w:val="nil"/>
              <w:right w:val="nil"/>
            </w:tcBorders>
            <w:shd w:val="clear" w:color="auto" w:fill="auto"/>
            <w:noWrap/>
            <w:vAlign w:val="center"/>
          </w:tcPr>
          <w:p w14:paraId="24EDAE5E" w14:textId="77777777" w:rsidR="0098016E" w:rsidRPr="00A4272B" w:rsidRDefault="0098016E" w:rsidP="00A41632">
            <w:pPr>
              <w:rPr>
                <w:rFonts w:eastAsia="MS PGothic"/>
                <w:b/>
                <w:bCs/>
                <w:color w:val="000000"/>
                <w:lang w:val="en-US" w:eastAsia="ja-JP"/>
              </w:rPr>
            </w:pPr>
            <w:r w:rsidRPr="00A4272B">
              <w:rPr>
                <w:rFonts w:eastAsia="MS PGothic" w:hAnsi="MS PGothic"/>
                <w:b/>
                <w:bCs/>
                <w:color w:val="000000"/>
                <w:lang w:val="en-US" w:eastAsia="ja-JP"/>
              </w:rPr>
              <w:t xml:space="preserve">　</w:t>
            </w:r>
          </w:p>
        </w:tc>
        <w:tc>
          <w:tcPr>
            <w:tcW w:w="1320" w:type="dxa"/>
            <w:tcBorders>
              <w:top w:val="single" w:sz="4" w:space="0" w:color="auto"/>
              <w:left w:val="nil"/>
              <w:bottom w:val="nil"/>
              <w:right w:val="nil"/>
            </w:tcBorders>
            <w:shd w:val="clear" w:color="auto" w:fill="auto"/>
            <w:noWrap/>
            <w:vAlign w:val="center"/>
          </w:tcPr>
          <w:p w14:paraId="4D4711AE" w14:textId="77777777" w:rsidR="0098016E" w:rsidRPr="00A4272B" w:rsidRDefault="0098016E" w:rsidP="00A41632">
            <w:pPr>
              <w:rPr>
                <w:rFonts w:eastAsia="MS PGothic"/>
                <w:b/>
                <w:bCs/>
                <w:color w:val="000000"/>
                <w:lang w:val="en-US" w:eastAsia="ja-JP"/>
              </w:rPr>
            </w:pPr>
            <w:r w:rsidRPr="00A4272B">
              <w:rPr>
                <w:rFonts w:eastAsia="MS PGothic" w:hAnsi="MS PGothic"/>
                <w:b/>
                <w:bCs/>
                <w:color w:val="000000"/>
                <w:lang w:val="en-US" w:eastAsia="ja-JP"/>
              </w:rPr>
              <w:t xml:space="preserve">　</w:t>
            </w:r>
          </w:p>
        </w:tc>
        <w:tc>
          <w:tcPr>
            <w:tcW w:w="960" w:type="dxa"/>
            <w:tcBorders>
              <w:top w:val="single" w:sz="4" w:space="0" w:color="auto"/>
              <w:left w:val="nil"/>
              <w:bottom w:val="nil"/>
              <w:right w:val="single" w:sz="4" w:space="0" w:color="auto"/>
            </w:tcBorders>
            <w:shd w:val="clear" w:color="auto" w:fill="auto"/>
            <w:noWrap/>
            <w:vAlign w:val="center"/>
          </w:tcPr>
          <w:p w14:paraId="3A7E2FA1"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699272EF" w14:textId="77777777" w:rsidTr="0098016E">
        <w:trPr>
          <w:trHeight w:val="264"/>
        </w:trPr>
        <w:tc>
          <w:tcPr>
            <w:tcW w:w="1932" w:type="dxa"/>
            <w:tcBorders>
              <w:top w:val="nil"/>
              <w:left w:val="single" w:sz="4" w:space="0" w:color="auto"/>
              <w:bottom w:val="nil"/>
              <w:right w:val="nil"/>
            </w:tcBorders>
            <w:shd w:val="clear" w:color="auto" w:fill="auto"/>
            <w:noWrap/>
            <w:vAlign w:val="center"/>
          </w:tcPr>
          <w:p w14:paraId="498F2040"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Age, gender</w:t>
            </w:r>
          </w:p>
        </w:tc>
        <w:tc>
          <w:tcPr>
            <w:tcW w:w="963" w:type="dxa"/>
            <w:tcBorders>
              <w:top w:val="nil"/>
              <w:left w:val="nil"/>
              <w:bottom w:val="nil"/>
              <w:right w:val="nil"/>
            </w:tcBorders>
            <w:shd w:val="clear" w:color="auto" w:fill="auto"/>
            <w:noWrap/>
            <w:vAlign w:val="center"/>
          </w:tcPr>
          <w:p w14:paraId="12D51896"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141CE419"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33675000"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1D74DD54"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275BA460"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553E119F" w14:textId="77777777" w:rsidTr="0098016E">
        <w:trPr>
          <w:trHeight w:val="264"/>
        </w:trPr>
        <w:tc>
          <w:tcPr>
            <w:tcW w:w="1932" w:type="dxa"/>
            <w:tcBorders>
              <w:top w:val="nil"/>
              <w:left w:val="single" w:sz="4" w:space="0" w:color="auto"/>
              <w:bottom w:val="nil"/>
              <w:right w:val="nil"/>
            </w:tcBorders>
            <w:shd w:val="clear" w:color="auto" w:fill="auto"/>
            <w:noWrap/>
            <w:vAlign w:val="center"/>
          </w:tcPr>
          <w:p w14:paraId="3250399B"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Weight, hight</w:t>
            </w:r>
          </w:p>
        </w:tc>
        <w:tc>
          <w:tcPr>
            <w:tcW w:w="963" w:type="dxa"/>
            <w:tcBorders>
              <w:top w:val="nil"/>
              <w:left w:val="nil"/>
              <w:bottom w:val="nil"/>
              <w:right w:val="nil"/>
            </w:tcBorders>
            <w:shd w:val="clear" w:color="auto" w:fill="auto"/>
            <w:noWrap/>
            <w:vAlign w:val="center"/>
          </w:tcPr>
          <w:p w14:paraId="4ABEC6AD"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13D8ACBF"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7A67E351"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7E8882A6"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56090D9E"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1B88DAD2" w14:textId="77777777" w:rsidTr="0098016E">
        <w:trPr>
          <w:trHeight w:val="264"/>
        </w:trPr>
        <w:tc>
          <w:tcPr>
            <w:tcW w:w="7098" w:type="dxa"/>
            <w:gridSpan w:val="6"/>
            <w:tcBorders>
              <w:top w:val="nil"/>
              <w:left w:val="single" w:sz="4" w:space="0" w:color="auto"/>
              <w:bottom w:val="nil"/>
              <w:right w:val="single" w:sz="4" w:space="0" w:color="000000"/>
            </w:tcBorders>
            <w:shd w:val="clear" w:color="auto" w:fill="auto"/>
            <w:noWrap/>
            <w:vAlign w:val="center"/>
          </w:tcPr>
          <w:p w14:paraId="4936D727"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Information on living place, occupation, other questionnaire data</w:t>
            </w:r>
          </w:p>
        </w:tc>
      </w:tr>
      <w:tr w:rsidR="0098016E" w:rsidRPr="00A4272B" w14:paraId="36F29B5F" w14:textId="77777777" w:rsidTr="0098016E">
        <w:trPr>
          <w:trHeight w:val="264"/>
        </w:trPr>
        <w:tc>
          <w:tcPr>
            <w:tcW w:w="2898" w:type="dxa"/>
            <w:gridSpan w:val="2"/>
            <w:tcBorders>
              <w:top w:val="nil"/>
              <w:left w:val="single" w:sz="4" w:space="0" w:color="auto"/>
              <w:bottom w:val="nil"/>
              <w:right w:val="nil"/>
            </w:tcBorders>
            <w:shd w:val="clear" w:color="auto" w:fill="auto"/>
            <w:noWrap/>
            <w:vAlign w:val="center"/>
          </w:tcPr>
          <w:p w14:paraId="6C3F6747"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Date of collection, location</w:t>
            </w:r>
          </w:p>
        </w:tc>
        <w:tc>
          <w:tcPr>
            <w:tcW w:w="960" w:type="dxa"/>
            <w:tcBorders>
              <w:top w:val="nil"/>
              <w:left w:val="nil"/>
              <w:bottom w:val="nil"/>
              <w:right w:val="nil"/>
            </w:tcBorders>
            <w:shd w:val="clear" w:color="auto" w:fill="auto"/>
            <w:noWrap/>
            <w:vAlign w:val="center"/>
          </w:tcPr>
          <w:p w14:paraId="576A0973"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19F967F5"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1015DA0E"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315AF978"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347FD0A9" w14:textId="77777777" w:rsidTr="0098016E">
        <w:trPr>
          <w:trHeight w:val="264"/>
        </w:trPr>
        <w:tc>
          <w:tcPr>
            <w:tcW w:w="2898" w:type="dxa"/>
            <w:gridSpan w:val="2"/>
            <w:tcBorders>
              <w:top w:val="nil"/>
              <w:left w:val="single" w:sz="4" w:space="0" w:color="auto"/>
              <w:bottom w:val="nil"/>
              <w:right w:val="nil"/>
            </w:tcBorders>
            <w:shd w:val="clear" w:color="auto" w:fill="auto"/>
            <w:noWrap/>
            <w:vAlign w:val="center"/>
          </w:tcPr>
          <w:p w14:paraId="143F66A1"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Type of sample, Volume</w:t>
            </w:r>
          </w:p>
        </w:tc>
        <w:tc>
          <w:tcPr>
            <w:tcW w:w="960" w:type="dxa"/>
            <w:tcBorders>
              <w:top w:val="nil"/>
              <w:left w:val="nil"/>
              <w:bottom w:val="nil"/>
              <w:right w:val="nil"/>
            </w:tcBorders>
            <w:shd w:val="clear" w:color="auto" w:fill="auto"/>
            <w:noWrap/>
            <w:vAlign w:val="center"/>
          </w:tcPr>
          <w:p w14:paraId="5F50DD2B"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3C419AAE"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3BD7D9CE"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62CB9072"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75B133DA" w14:textId="77777777" w:rsidTr="0098016E">
        <w:trPr>
          <w:trHeight w:val="264"/>
        </w:trPr>
        <w:tc>
          <w:tcPr>
            <w:tcW w:w="6138" w:type="dxa"/>
            <w:gridSpan w:val="5"/>
            <w:tcBorders>
              <w:top w:val="nil"/>
              <w:left w:val="single" w:sz="4" w:space="0" w:color="auto"/>
              <w:bottom w:val="nil"/>
              <w:right w:val="nil"/>
            </w:tcBorders>
            <w:shd w:val="clear" w:color="auto" w:fill="auto"/>
            <w:noWrap/>
            <w:vAlign w:val="center"/>
          </w:tcPr>
          <w:p w14:paraId="2674BF7C"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Sampling procedure, transport, sample processing records</w:t>
            </w:r>
          </w:p>
        </w:tc>
        <w:tc>
          <w:tcPr>
            <w:tcW w:w="960" w:type="dxa"/>
            <w:tcBorders>
              <w:top w:val="nil"/>
              <w:left w:val="nil"/>
              <w:bottom w:val="nil"/>
              <w:right w:val="single" w:sz="4" w:space="0" w:color="auto"/>
            </w:tcBorders>
            <w:shd w:val="clear" w:color="auto" w:fill="auto"/>
            <w:noWrap/>
            <w:vAlign w:val="center"/>
          </w:tcPr>
          <w:p w14:paraId="67E2B496"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029E8552" w14:textId="77777777" w:rsidTr="0098016E">
        <w:trPr>
          <w:trHeight w:val="264"/>
        </w:trPr>
        <w:tc>
          <w:tcPr>
            <w:tcW w:w="6138" w:type="dxa"/>
            <w:gridSpan w:val="5"/>
            <w:tcBorders>
              <w:top w:val="nil"/>
              <w:left w:val="single" w:sz="4" w:space="0" w:color="auto"/>
              <w:bottom w:val="nil"/>
              <w:right w:val="nil"/>
            </w:tcBorders>
            <w:shd w:val="clear" w:color="auto" w:fill="auto"/>
            <w:noWrap/>
            <w:vAlign w:val="center"/>
          </w:tcPr>
          <w:p w14:paraId="2A1F2DE7"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Fat contents, other clinical examination results</w:t>
            </w:r>
          </w:p>
        </w:tc>
        <w:tc>
          <w:tcPr>
            <w:tcW w:w="960" w:type="dxa"/>
            <w:tcBorders>
              <w:top w:val="nil"/>
              <w:left w:val="nil"/>
              <w:bottom w:val="nil"/>
              <w:right w:val="single" w:sz="4" w:space="0" w:color="auto"/>
            </w:tcBorders>
            <w:shd w:val="clear" w:color="auto" w:fill="auto"/>
            <w:noWrap/>
            <w:vAlign w:val="center"/>
          </w:tcPr>
          <w:p w14:paraId="0930CC91"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05CC11E6" w14:textId="77777777" w:rsidTr="0098016E">
        <w:trPr>
          <w:trHeight w:val="264"/>
        </w:trPr>
        <w:tc>
          <w:tcPr>
            <w:tcW w:w="3858" w:type="dxa"/>
            <w:gridSpan w:val="3"/>
            <w:tcBorders>
              <w:top w:val="nil"/>
              <w:left w:val="single" w:sz="4" w:space="0" w:color="auto"/>
              <w:bottom w:val="nil"/>
              <w:right w:val="nil"/>
            </w:tcBorders>
            <w:shd w:val="clear" w:color="auto" w:fill="auto"/>
            <w:noWrap/>
            <w:vAlign w:val="center"/>
          </w:tcPr>
          <w:p w14:paraId="7A46ED6A"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Results of the POPs analysis</w:t>
            </w:r>
          </w:p>
          <w:p w14:paraId="166D540A"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7B3DAE6A"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085924DA"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5EE77AE9"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07BDFE23" w14:textId="77777777" w:rsidTr="0098016E">
        <w:trPr>
          <w:trHeight w:val="264"/>
        </w:trPr>
        <w:tc>
          <w:tcPr>
            <w:tcW w:w="2898" w:type="dxa"/>
            <w:gridSpan w:val="2"/>
            <w:tcBorders>
              <w:top w:val="nil"/>
              <w:left w:val="single" w:sz="4" w:space="0" w:color="auto"/>
              <w:bottom w:val="nil"/>
              <w:right w:val="nil"/>
            </w:tcBorders>
            <w:shd w:val="clear" w:color="auto" w:fill="auto"/>
            <w:noWrap/>
            <w:vAlign w:val="center"/>
          </w:tcPr>
          <w:p w14:paraId="00D74F58"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&lt;Atmospheric samples&gt;</w:t>
            </w:r>
          </w:p>
        </w:tc>
        <w:tc>
          <w:tcPr>
            <w:tcW w:w="960" w:type="dxa"/>
            <w:tcBorders>
              <w:top w:val="nil"/>
              <w:left w:val="nil"/>
              <w:bottom w:val="nil"/>
              <w:right w:val="nil"/>
            </w:tcBorders>
            <w:shd w:val="clear" w:color="auto" w:fill="auto"/>
            <w:noWrap/>
            <w:vAlign w:val="center"/>
          </w:tcPr>
          <w:p w14:paraId="5F0B8B94"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58F697D7"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072BE7B4"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3A649AA4"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788329DD" w14:textId="77777777" w:rsidTr="0098016E">
        <w:trPr>
          <w:trHeight w:val="264"/>
        </w:trPr>
        <w:tc>
          <w:tcPr>
            <w:tcW w:w="2898" w:type="dxa"/>
            <w:gridSpan w:val="2"/>
            <w:tcBorders>
              <w:top w:val="nil"/>
              <w:left w:val="single" w:sz="4" w:space="0" w:color="auto"/>
              <w:bottom w:val="nil"/>
              <w:right w:val="nil"/>
            </w:tcBorders>
            <w:shd w:val="clear" w:color="auto" w:fill="auto"/>
            <w:noWrap/>
            <w:vAlign w:val="center"/>
          </w:tcPr>
          <w:p w14:paraId="1ECB3A71"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Date of collection, location</w:t>
            </w:r>
          </w:p>
        </w:tc>
        <w:tc>
          <w:tcPr>
            <w:tcW w:w="960" w:type="dxa"/>
            <w:tcBorders>
              <w:top w:val="nil"/>
              <w:left w:val="nil"/>
              <w:bottom w:val="nil"/>
              <w:right w:val="nil"/>
            </w:tcBorders>
            <w:shd w:val="clear" w:color="auto" w:fill="auto"/>
            <w:noWrap/>
            <w:vAlign w:val="center"/>
          </w:tcPr>
          <w:p w14:paraId="758DBD97"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59AF4111"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336002B7"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055502A5"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63DA325B" w14:textId="77777777" w:rsidTr="0098016E">
        <w:trPr>
          <w:trHeight w:val="264"/>
        </w:trPr>
        <w:tc>
          <w:tcPr>
            <w:tcW w:w="2898" w:type="dxa"/>
            <w:gridSpan w:val="2"/>
            <w:tcBorders>
              <w:top w:val="nil"/>
              <w:left w:val="single" w:sz="4" w:space="0" w:color="auto"/>
              <w:bottom w:val="nil"/>
              <w:right w:val="nil"/>
            </w:tcBorders>
            <w:shd w:val="clear" w:color="auto" w:fill="auto"/>
            <w:noWrap/>
            <w:vAlign w:val="center"/>
          </w:tcPr>
          <w:p w14:paraId="5AEA037C"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Air volume, sampling period</w:t>
            </w:r>
          </w:p>
        </w:tc>
        <w:tc>
          <w:tcPr>
            <w:tcW w:w="960" w:type="dxa"/>
            <w:tcBorders>
              <w:top w:val="nil"/>
              <w:left w:val="nil"/>
              <w:bottom w:val="nil"/>
              <w:right w:val="nil"/>
            </w:tcBorders>
            <w:shd w:val="clear" w:color="auto" w:fill="auto"/>
            <w:noWrap/>
            <w:vAlign w:val="center"/>
          </w:tcPr>
          <w:p w14:paraId="5E94A428"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076A72E5"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19C65EEF"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6A34C2F3"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73999E70" w14:textId="77777777" w:rsidTr="0098016E">
        <w:trPr>
          <w:trHeight w:val="264"/>
        </w:trPr>
        <w:tc>
          <w:tcPr>
            <w:tcW w:w="1932" w:type="dxa"/>
            <w:tcBorders>
              <w:top w:val="nil"/>
              <w:left w:val="single" w:sz="4" w:space="0" w:color="auto"/>
              <w:bottom w:val="nil"/>
              <w:right w:val="nil"/>
            </w:tcBorders>
            <w:shd w:val="clear" w:color="auto" w:fill="auto"/>
            <w:noWrap/>
            <w:vAlign w:val="center"/>
          </w:tcPr>
          <w:p w14:paraId="44CAC9D0"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Climatic data</w:t>
            </w:r>
          </w:p>
        </w:tc>
        <w:tc>
          <w:tcPr>
            <w:tcW w:w="963" w:type="dxa"/>
            <w:tcBorders>
              <w:top w:val="nil"/>
              <w:left w:val="nil"/>
              <w:bottom w:val="nil"/>
              <w:right w:val="nil"/>
            </w:tcBorders>
            <w:shd w:val="clear" w:color="auto" w:fill="auto"/>
            <w:noWrap/>
            <w:vAlign w:val="center"/>
          </w:tcPr>
          <w:p w14:paraId="32AD1AF6"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35F02682"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59022C95"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4375246C"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00032A57"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7C306D74" w14:textId="77777777" w:rsidTr="0098016E">
        <w:trPr>
          <w:trHeight w:val="264"/>
        </w:trPr>
        <w:tc>
          <w:tcPr>
            <w:tcW w:w="2898" w:type="dxa"/>
            <w:gridSpan w:val="2"/>
            <w:tcBorders>
              <w:top w:val="nil"/>
              <w:left w:val="single" w:sz="4" w:space="0" w:color="auto"/>
              <w:bottom w:val="nil"/>
              <w:right w:val="nil"/>
            </w:tcBorders>
            <w:shd w:val="clear" w:color="auto" w:fill="auto"/>
            <w:noWrap/>
            <w:vAlign w:val="center"/>
          </w:tcPr>
          <w:p w14:paraId="676026AF"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Sampling procedure</w:t>
            </w:r>
          </w:p>
        </w:tc>
        <w:tc>
          <w:tcPr>
            <w:tcW w:w="960" w:type="dxa"/>
            <w:tcBorders>
              <w:top w:val="nil"/>
              <w:left w:val="nil"/>
              <w:bottom w:val="nil"/>
              <w:right w:val="nil"/>
            </w:tcBorders>
            <w:shd w:val="clear" w:color="auto" w:fill="auto"/>
            <w:noWrap/>
            <w:vAlign w:val="center"/>
          </w:tcPr>
          <w:p w14:paraId="6EB8F0B2"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nil"/>
            </w:tcBorders>
            <w:shd w:val="clear" w:color="auto" w:fill="auto"/>
            <w:noWrap/>
            <w:vAlign w:val="center"/>
          </w:tcPr>
          <w:p w14:paraId="47F6D6CC" w14:textId="77777777" w:rsidR="0098016E" w:rsidRPr="00A4272B" w:rsidRDefault="0098016E" w:rsidP="00A41632">
            <w:pPr>
              <w:rPr>
                <w:rFonts w:eastAsia="MS PGothic"/>
                <w:b/>
                <w:bCs/>
                <w:color w:val="000000"/>
                <w:lang w:val="en-US" w:eastAsia="ja-JP"/>
              </w:rPr>
            </w:pPr>
          </w:p>
        </w:tc>
        <w:tc>
          <w:tcPr>
            <w:tcW w:w="1320" w:type="dxa"/>
            <w:tcBorders>
              <w:top w:val="nil"/>
              <w:left w:val="nil"/>
              <w:bottom w:val="nil"/>
              <w:right w:val="nil"/>
            </w:tcBorders>
            <w:shd w:val="clear" w:color="auto" w:fill="auto"/>
            <w:noWrap/>
            <w:vAlign w:val="center"/>
          </w:tcPr>
          <w:p w14:paraId="639B2CF2" w14:textId="77777777" w:rsidR="0098016E" w:rsidRPr="00A4272B" w:rsidRDefault="0098016E" w:rsidP="00A41632">
            <w:pPr>
              <w:rPr>
                <w:rFonts w:eastAsia="MS PGothic"/>
                <w:b/>
                <w:bCs/>
                <w:color w:val="000000"/>
                <w:lang w:val="en-US" w:eastAsia="ja-JP"/>
              </w:rPr>
            </w:pPr>
          </w:p>
        </w:tc>
        <w:tc>
          <w:tcPr>
            <w:tcW w:w="960" w:type="dxa"/>
            <w:tcBorders>
              <w:top w:val="nil"/>
              <w:left w:val="nil"/>
              <w:bottom w:val="nil"/>
              <w:right w:val="single" w:sz="4" w:space="0" w:color="auto"/>
            </w:tcBorders>
            <w:shd w:val="clear" w:color="auto" w:fill="auto"/>
            <w:noWrap/>
            <w:vAlign w:val="center"/>
          </w:tcPr>
          <w:p w14:paraId="53181BC6"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74D60A27" w14:textId="77777777" w:rsidTr="0098016E">
        <w:trPr>
          <w:trHeight w:val="264"/>
        </w:trPr>
        <w:tc>
          <w:tcPr>
            <w:tcW w:w="6138" w:type="dxa"/>
            <w:gridSpan w:val="5"/>
            <w:tcBorders>
              <w:top w:val="nil"/>
              <w:left w:val="single" w:sz="4" w:space="0" w:color="auto"/>
              <w:bottom w:val="nil"/>
              <w:right w:val="nil"/>
            </w:tcBorders>
            <w:shd w:val="clear" w:color="auto" w:fill="auto"/>
            <w:noWrap/>
            <w:vAlign w:val="center"/>
          </w:tcPr>
          <w:p w14:paraId="68E3F9D8"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Pre-cleaning, transport, other processing records</w:t>
            </w:r>
          </w:p>
        </w:tc>
        <w:tc>
          <w:tcPr>
            <w:tcW w:w="960" w:type="dxa"/>
            <w:tcBorders>
              <w:top w:val="nil"/>
              <w:left w:val="nil"/>
              <w:bottom w:val="nil"/>
              <w:right w:val="single" w:sz="4" w:space="0" w:color="auto"/>
            </w:tcBorders>
            <w:shd w:val="clear" w:color="auto" w:fill="auto"/>
            <w:noWrap/>
            <w:vAlign w:val="center"/>
          </w:tcPr>
          <w:p w14:paraId="0CF4B34E"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r w:rsidR="0098016E" w:rsidRPr="00A4272B" w14:paraId="310F3178" w14:textId="77777777" w:rsidTr="0098016E">
        <w:trPr>
          <w:trHeight w:val="264"/>
        </w:trPr>
        <w:tc>
          <w:tcPr>
            <w:tcW w:w="6138" w:type="dxa"/>
            <w:gridSpan w:val="5"/>
            <w:tcBorders>
              <w:top w:val="nil"/>
              <w:left w:val="single" w:sz="4" w:space="0" w:color="auto"/>
              <w:bottom w:val="single" w:sz="4" w:space="0" w:color="auto"/>
              <w:right w:val="nil"/>
            </w:tcBorders>
            <w:shd w:val="clear" w:color="auto" w:fill="auto"/>
            <w:noWrap/>
            <w:vAlign w:val="center"/>
          </w:tcPr>
          <w:p w14:paraId="5250665D" w14:textId="77777777" w:rsidR="0098016E" w:rsidRPr="00A4272B" w:rsidRDefault="0098016E" w:rsidP="00A41632">
            <w:pPr>
              <w:rPr>
                <w:rFonts w:eastAsia="MS PGothic"/>
                <w:b/>
                <w:bCs/>
                <w:color w:val="000000"/>
                <w:lang w:val="en-US" w:eastAsia="ja-JP"/>
              </w:rPr>
            </w:pPr>
            <w:r w:rsidRPr="00A4272B">
              <w:rPr>
                <w:rFonts w:eastAsia="MS PGothic"/>
                <w:b/>
                <w:bCs/>
                <w:color w:val="000000"/>
                <w:lang w:val="en-US" w:eastAsia="ja-JP"/>
              </w:rPr>
              <w:t>Responsible person, source of additional information</w:t>
            </w:r>
          </w:p>
        </w:tc>
        <w:tc>
          <w:tcPr>
            <w:tcW w:w="960" w:type="dxa"/>
            <w:tcBorders>
              <w:top w:val="nil"/>
              <w:left w:val="nil"/>
              <w:bottom w:val="single" w:sz="4" w:space="0" w:color="auto"/>
              <w:right w:val="single" w:sz="4" w:space="0" w:color="auto"/>
            </w:tcBorders>
            <w:shd w:val="clear" w:color="auto" w:fill="auto"/>
            <w:noWrap/>
            <w:vAlign w:val="center"/>
          </w:tcPr>
          <w:p w14:paraId="7173E2B6" w14:textId="77777777" w:rsidR="0098016E" w:rsidRPr="00A4272B" w:rsidRDefault="0098016E" w:rsidP="00A41632">
            <w:pPr>
              <w:rPr>
                <w:rFonts w:eastAsia="MS PGothic"/>
                <w:color w:val="000000"/>
                <w:lang w:val="en-US" w:eastAsia="ja-JP"/>
              </w:rPr>
            </w:pPr>
            <w:r w:rsidRPr="00A4272B">
              <w:rPr>
                <w:rFonts w:eastAsia="MS PGothic" w:hAnsi="MS PGothic"/>
                <w:color w:val="000000"/>
                <w:lang w:val="en-US" w:eastAsia="ja-JP"/>
              </w:rPr>
              <w:t xml:space="preserve">　</w:t>
            </w:r>
          </w:p>
        </w:tc>
      </w:tr>
    </w:tbl>
    <w:p w14:paraId="2EE98F7A" w14:textId="37ED3FC2" w:rsidR="00F3536C" w:rsidRPr="00A4272B" w:rsidRDefault="001F665D" w:rsidP="00817D9F">
      <w:pPr>
        <w:pStyle w:val="Heading3"/>
        <w:rPr>
          <w:rFonts w:hint="eastAsia"/>
        </w:rPr>
      </w:pPr>
      <w:bookmarkStart w:id="721" w:name="_Toc535584431"/>
      <w:bookmarkStart w:id="722" w:name="_Toc531722"/>
      <w:bookmarkStart w:id="723" w:name="_Toc532242"/>
      <w:bookmarkStart w:id="724" w:name="_Toc532455"/>
      <w:bookmarkStart w:id="725" w:name="_Toc1467946"/>
      <w:bookmarkStart w:id="726" w:name="_Toc1468119"/>
      <w:bookmarkStart w:id="727" w:name="_Toc1484003"/>
      <w:bookmarkStart w:id="728" w:name="_Toc65306547"/>
      <w:bookmarkStart w:id="729" w:name="_Toc187270538"/>
      <w:r w:rsidRPr="00A4272B">
        <w:t>8</w:t>
      </w:r>
      <w:r w:rsidR="00F3536C" w:rsidRPr="00A4272B">
        <w:t>.2.2</w:t>
      </w:r>
      <w:r w:rsidR="00C61730" w:rsidRPr="00A4272B">
        <w:tab/>
      </w:r>
      <w:r w:rsidR="00F3536C" w:rsidRPr="00A4272B">
        <w:t>Samples to be stored</w:t>
      </w:r>
      <w:bookmarkEnd w:id="721"/>
      <w:bookmarkEnd w:id="722"/>
      <w:bookmarkEnd w:id="723"/>
      <w:bookmarkEnd w:id="724"/>
      <w:bookmarkEnd w:id="725"/>
      <w:bookmarkEnd w:id="726"/>
      <w:bookmarkEnd w:id="727"/>
      <w:bookmarkEnd w:id="728"/>
      <w:bookmarkEnd w:id="729"/>
    </w:p>
    <w:p w14:paraId="5D8E59A8" w14:textId="0D2AE181" w:rsidR="003C7868" w:rsidRPr="00A4272B" w:rsidRDefault="003C7868" w:rsidP="003C7868">
      <w:pPr>
        <w:autoSpaceDE w:val="0"/>
        <w:autoSpaceDN w:val="0"/>
        <w:adjustRightInd w:val="0"/>
        <w:rPr>
          <w:color w:val="000000"/>
          <w:lang w:val="en-US" w:eastAsia="ja-JP"/>
        </w:rPr>
      </w:pPr>
      <w:r w:rsidRPr="00A4272B">
        <w:rPr>
          <w:color w:val="000000"/>
          <w:lang w:val="en-US" w:eastAsia="ja-JP"/>
        </w:rPr>
        <w:t>Under the Stockholm Convention, priority samples for storage include those selected as core monitoring media, such as air (filters or adsorbents) and human samples (breast milk and/or blood). Additionally, water (filters, passive sampling adsorbents) is a key medium for monitoring PFAS</w:t>
      </w:r>
      <w:r w:rsidR="00526070" w:rsidRPr="00A4272B">
        <w:rPr>
          <w:color w:val="000000"/>
          <w:lang w:val="en-US" w:eastAsia="ja-JP"/>
        </w:rPr>
        <w:t>s</w:t>
      </w:r>
      <w:r w:rsidRPr="00A4272B">
        <w:rPr>
          <w:color w:val="000000"/>
          <w:lang w:val="en-US" w:eastAsia="ja-JP"/>
        </w:rPr>
        <w:t xml:space="preserve"> (see Chapter 4.3). Since specimen banking will support future Convention activities, its scope is expected to be broader than the current Global Monitoring Plan (GMP). Consequently, this </w:t>
      </w:r>
      <w:r w:rsidR="002A6D39" w:rsidRPr="00A4272B">
        <w:rPr>
          <w:color w:val="000000"/>
          <w:lang w:val="en-US" w:eastAsia="ja-JP"/>
        </w:rPr>
        <w:t>chapter</w:t>
      </w:r>
      <w:r w:rsidRPr="00A4272B">
        <w:rPr>
          <w:color w:val="000000"/>
          <w:lang w:val="en-US" w:eastAsia="ja-JP"/>
        </w:rPr>
        <w:t xml:space="preserve"> includes general aspects of Environmental Specimen Banking.</w:t>
      </w:r>
    </w:p>
    <w:p w14:paraId="13242B9D" w14:textId="77777777" w:rsidR="003C7868" w:rsidRPr="00A4272B" w:rsidRDefault="003C7868" w:rsidP="003C7868">
      <w:pPr>
        <w:autoSpaceDE w:val="0"/>
        <w:autoSpaceDN w:val="0"/>
        <w:adjustRightInd w:val="0"/>
        <w:rPr>
          <w:color w:val="000000"/>
          <w:lang w:val="en-US" w:eastAsia="ja-JP"/>
        </w:rPr>
      </w:pPr>
      <w:r w:rsidRPr="00A4272B">
        <w:rPr>
          <w:color w:val="000000"/>
          <w:lang w:val="en-US" w:eastAsia="ja-JP"/>
        </w:rPr>
        <w:t xml:space="preserve">Environmental monitoring addresses several objectives, including measuring pollutant concentrations across environmental compartments (to identify sources, levels, and pollutant dynamics, or to verify compliance with environmental quality standards), assessing exposure levels for risk evaluation and management, and evaluating pollutant </w:t>
      </w:r>
      <w:r w:rsidRPr="00A4272B">
        <w:rPr>
          <w:color w:val="000000"/>
          <w:lang w:val="en-US" w:eastAsia="ja-JP"/>
        </w:rPr>
        <w:lastRenderedPageBreak/>
        <w:t>effects on wildlife and humans (effect monitoring) (see, for example, Rüdel et al., 2009, for environmental monitoring concepts). Biological samples are preferred for specimen banking because they tend to bioaccumulate chemicals such as POPs at higher concentrations through the food web, and POP levels in biological samples tend to reflect average exposure due to their longer half-lives in organisms. Thus, a small quantity of biological samples collected annually, for example, can provide representative POP levels (e.g., pollution levels or exposure status) for a given area each year, provided a well-designed sampling protocol is followed to minimize external variability, such as differences in species, sex, age, size, and season. If water or air is sampled, larger quantities and more frequent sampling at shorter intervals—or continuous sampling via passive samplers—are needed to obtain comparably reliable data on environmental levels and trends.</w:t>
      </w:r>
    </w:p>
    <w:p w14:paraId="2A09F13E" w14:textId="77777777" w:rsidR="003C7868" w:rsidRPr="00A4272B" w:rsidRDefault="003C7868" w:rsidP="003C7868">
      <w:pPr>
        <w:autoSpaceDE w:val="0"/>
        <w:autoSpaceDN w:val="0"/>
        <w:adjustRightInd w:val="0"/>
        <w:rPr>
          <w:color w:val="000000"/>
          <w:lang w:val="en-US" w:eastAsia="ja-JP"/>
        </w:rPr>
      </w:pPr>
      <w:r w:rsidRPr="00A4272B">
        <w:rPr>
          <w:color w:val="000000"/>
          <w:lang w:val="en-US" w:eastAsia="ja-JP"/>
        </w:rPr>
        <w:t>Biological samples also offer valuable insights into pollutant effects on wildlife and human health, making them particularly suitable for effect monitoring.</w:t>
      </w:r>
    </w:p>
    <w:p w14:paraId="62759740" w14:textId="77777777" w:rsidR="003C7868" w:rsidRPr="00A4272B" w:rsidRDefault="003C7868" w:rsidP="003C7868">
      <w:pPr>
        <w:autoSpaceDE w:val="0"/>
        <w:autoSpaceDN w:val="0"/>
        <w:adjustRightInd w:val="0"/>
        <w:rPr>
          <w:color w:val="000000"/>
          <w:lang w:val="en-US" w:eastAsia="ja-JP"/>
        </w:rPr>
      </w:pPr>
      <w:r w:rsidRPr="00A4272B">
        <w:rPr>
          <w:color w:val="000000"/>
          <w:lang w:val="en-US" w:eastAsia="ja-JP"/>
        </w:rPr>
        <w:t>Biological samples for specimen banking can be classified into three groups:</w:t>
      </w:r>
    </w:p>
    <w:p w14:paraId="107B0CA2" w14:textId="3ECC3175" w:rsidR="003C7868" w:rsidRPr="00A4272B" w:rsidRDefault="003C7868">
      <w:pPr>
        <w:pStyle w:val="ListParagraph"/>
        <w:numPr>
          <w:ilvl w:val="0"/>
          <w:numId w:val="112"/>
        </w:numPr>
        <w:autoSpaceDE w:val="0"/>
        <w:autoSpaceDN w:val="0"/>
        <w:adjustRightInd w:val="0"/>
        <w:rPr>
          <w:color w:val="000000"/>
          <w:lang w:eastAsia="ja-JP"/>
        </w:rPr>
      </w:pPr>
      <w:r w:rsidRPr="00A4272B">
        <w:rPr>
          <w:color w:val="000000"/>
          <w:lang w:eastAsia="ja-JP"/>
        </w:rPr>
        <w:t>Common, short-lived organisms in lower trophic levels (e.g., fish, bivalves) – ideal for detailed spatial and temporal trend analysis</w:t>
      </w:r>
      <w:r w:rsidR="003F50B4" w:rsidRPr="00A4272B">
        <w:rPr>
          <w:color w:val="000000"/>
          <w:lang w:eastAsia="ja-JP"/>
        </w:rPr>
        <w:t>;</w:t>
      </w:r>
    </w:p>
    <w:p w14:paraId="5BA05188" w14:textId="15FB2B76" w:rsidR="003C7868" w:rsidRPr="00A4272B" w:rsidRDefault="003C7868">
      <w:pPr>
        <w:pStyle w:val="ListParagraph"/>
        <w:numPr>
          <w:ilvl w:val="0"/>
          <w:numId w:val="112"/>
        </w:numPr>
        <w:autoSpaceDE w:val="0"/>
        <w:autoSpaceDN w:val="0"/>
        <w:adjustRightInd w:val="0"/>
        <w:rPr>
          <w:color w:val="000000"/>
          <w:lang w:eastAsia="ja-JP"/>
        </w:rPr>
      </w:pPr>
      <w:r w:rsidRPr="00A4272B">
        <w:rPr>
          <w:color w:val="000000"/>
          <w:lang w:eastAsia="ja-JP"/>
        </w:rPr>
        <w:t>Long-lived, high-trophic level organisms (e.g., top predators such as fish-eating birds, their eggs, and marine mammals, using tissue from live or deceased animals) – serve as sentinel species for POPs, as they accumulate these chemicals at higher concentrations than species in lower trophic levels</w:t>
      </w:r>
      <w:r w:rsidR="003F50B4" w:rsidRPr="00A4272B">
        <w:rPr>
          <w:color w:val="000000"/>
          <w:lang w:eastAsia="ja-JP"/>
        </w:rPr>
        <w:t>;</w:t>
      </w:r>
    </w:p>
    <w:p w14:paraId="3064AE77" w14:textId="77777777" w:rsidR="003C7868" w:rsidRPr="00A4272B" w:rsidRDefault="003C7868">
      <w:pPr>
        <w:pStyle w:val="ListParagraph"/>
        <w:numPr>
          <w:ilvl w:val="0"/>
          <w:numId w:val="112"/>
        </w:numPr>
        <w:autoSpaceDE w:val="0"/>
        <w:autoSpaceDN w:val="0"/>
        <w:adjustRightInd w:val="0"/>
        <w:rPr>
          <w:color w:val="000000"/>
          <w:lang w:eastAsia="ja-JP"/>
        </w:rPr>
      </w:pPr>
      <w:r w:rsidRPr="00A4272B">
        <w:rPr>
          <w:color w:val="000000"/>
          <w:lang w:eastAsia="ja-JP"/>
        </w:rPr>
        <w:t>Human samples – primarily used to assess chemical exposure and associated health risks in humans and to guide regulatory priorities.</w:t>
      </w:r>
    </w:p>
    <w:p w14:paraId="2185DFD4" w14:textId="77777777" w:rsidR="003C7868" w:rsidRPr="00A4272B" w:rsidRDefault="003C7868" w:rsidP="003C7868">
      <w:pPr>
        <w:autoSpaceDE w:val="0"/>
        <w:autoSpaceDN w:val="0"/>
        <w:adjustRightInd w:val="0"/>
        <w:rPr>
          <w:color w:val="000000"/>
          <w:lang w:val="en-US" w:eastAsia="ja-JP"/>
        </w:rPr>
      </w:pPr>
      <w:r w:rsidRPr="00A4272B">
        <w:rPr>
          <w:color w:val="000000"/>
          <w:lang w:val="en-US" w:eastAsia="ja-JP"/>
        </w:rPr>
        <w:t>Other types of specimens suitable for banking include soil, vegetation, and samples with annual rings or layered structures, such as sediment cores and tree trunks (Becker et al., 2006, and references therein). Tree bark pockets, for example, serve as “time capsules” for historical environmental conditions (Satake et al., 1996). Time-integrated air or water samples, such as those collected with passive air samplers, may also be stored for long-term monitoring purposes (see Table 8.2).</w:t>
      </w:r>
    </w:p>
    <w:p w14:paraId="4DD7BBF6" w14:textId="110952E2" w:rsidR="00F3536C" w:rsidRPr="00A4272B" w:rsidRDefault="00F3536C" w:rsidP="0020413A">
      <w:pPr>
        <w:autoSpaceDE w:val="0"/>
        <w:autoSpaceDN w:val="0"/>
        <w:adjustRightInd w:val="0"/>
        <w:rPr>
          <w:b/>
          <w:color w:val="000000"/>
          <w:lang w:val="en-US" w:eastAsia="ja-JP"/>
        </w:rPr>
      </w:pPr>
      <w:r w:rsidRPr="00A4272B">
        <w:rPr>
          <w:b/>
          <w:color w:val="000000"/>
          <w:lang w:val="en-US" w:eastAsia="ja-JP"/>
        </w:rPr>
        <w:t>Table 8.2: Samples suitable for banking.</w:t>
      </w:r>
    </w:p>
    <w:tbl>
      <w:tblPr>
        <w:tblW w:w="9845" w:type="dxa"/>
        <w:tblInd w:w="84" w:type="dxa"/>
        <w:tblCellMar>
          <w:left w:w="99" w:type="dxa"/>
          <w:right w:w="99" w:type="dxa"/>
        </w:tblCellMar>
        <w:tblLook w:val="04A0" w:firstRow="1" w:lastRow="0" w:firstColumn="1" w:lastColumn="0" w:noHBand="0" w:noVBand="1"/>
      </w:tblPr>
      <w:tblGrid>
        <w:gridCol w:w="2791"/>
        <w:gridCol w:w="7054"/>
      </w:tblGrid>
      <w:tr w:rsidR="008456A4" w:rsidRPr="00A4272B" w14:paraId="2B3BE47A" w14:textId="77777777" w:rsidTr="00E16672">
        <w:trPr>
          <w:trHeight w:val="230"/>
        </w:trPr>
        <w:tc>
          <w:tcPr>
            <w:tcW w:w="2791"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3C1484B3" w14:textId="77777777" w:rsidR="008456A4" w:rsidRPr="00A4272B" w:rsidRDefault="008456A4" w:rsidP="00E16672">
            <w:pPr>
              <w:spacing w:after="0"/>
              <w:rPr>
                <w:rFonts w:eastAsia="MS PGothic"/>
                <w:color w:val="000000"/>
                <w:lang w:val="en-US" w:eastAsia="ja-JP"/>
              </w:rPr>
            </w:pPr>
            <w:bookmarkStart w:id="730" w:name="_Toc535584432"/>
            <w:bookmarkStart w:id="731" w:name="_Toc531723"/>
            <w:bookmarkStart w:id="732" w:name="_Toc532243"/>
            <w:bookmarkStart w:id="733" w:name="_Toc532456"/>
            <w:bookmarkStart w:id="734" w:name="_Toc1467947"/>
            <w:bookmarkStart w:id="735" w:name="_Toc1468120"/>
            <w:bookmarkStart w:id="736" w:name="_Toc1484004"/>
            <w:bookmarkStart w:id="737" w:name="_Toc65306548"/>
            <w:r w:rsidRPr="00A4272B">
              <w:rPr>
                <w:rFonts w:eastAsia="MS PGothic"/>
                <w:color w:val="000000"/>
                <w:lang w:val="en-US" w:eastAsia="ja-JP"/>
              </w:rPr>
              <w:t>Low trophic level organism</w:t>
            </w:r>
          </w:p>
        </w:tc>
        <w:tc>
          <w:tcPr>
            <w:tcW w:w="7054"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7A33AB34" w14:textId="337AB2D5"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Useful for periodic monitoring of local pollution status</w:t>
            </w:r>
          </w:p>
        </w:tc>
      </w:tr>
      <w:tr w:rsidR="008456A4" w:rsidRPr="00A4272B" w14:paraId="17A80EDD" w14:textId="77777777" w:rsidTr="00E16672">
        <w:trPr>
          <w:trHeight w:val="230"/>
        </w:trPr>
        <w:tc>
          <w:tcPr>
            <w:tcW w:w="2791" w:type="dxa"/>
            <w:vMerge/>
            <w:tcBorders>
              <w:top w:val="single" w:sz="4" w:space="0" w:color="auto"/>
              <w:left w:val="single" w:sz="4" w:space="0" w:color="auto"/>
              <w:bottom w:val="single" w:sz="4" w:space="0" w:color="auto"/>
              <w:right w:val="single" w:sz="4" w:space="0" w:color="000000"/>
            </w:tcBorders>
            <w:vAlign w:val="center"/>
          </w:tcPr>
          <w:p w14:paraId="33B8D617" w14:textId="77777777" w:rsidR="008456A4" w:rsidRPr="00A4272B" w:rsidRDefault="008456A4" w:rsidP="00E16672">
            <w:pPr>
              <w:spacing w:after="0"/>
              <w:rPr>
                <w:rFonts w:eastAsia="MS PGothic"/>
                <w:color w:val="000000"/>
                <w:lang w:val="en-US" w:eastAsia="ja-JP"/>
              </w:rPr>
            </w:pPr>
          </w:p>
        </w:tc>
        <w:tc>
          <w:tcPr>
            <w:tcW w:w="7054" w:type="dxa"/>
            <w:vMerge/>
            <w:tcBorders>
              <w:top w:val="single" w:sz="4" w:space="0" w:color="auto"/>
              <w:left w:val="single" w:sz="4" w:space="0" w:color="auto"/>
              <w:bottom w:val="single" w:sz="4" w:space="0" w:color="auto"/>
              <w:right w:val="single" w:sz="4" w:space="0" w:color="000000"/>
            </w:tcBorders>
            <w:vAlign w:val="center"/>
          </w:tcPr>
          <w:p w14:paraId="54FA0BEB" w14:textId="77777777" w:rsidR="008456A4" w:rsidRPr="00A4272B" w:rsidRDefault="008456A4" w:rsidP="00E16672">
            <w:pPr>
              <w:spacing w:after="0"/>
              <w:rPr>
                <w:rFonts w:eastAsia="MS PGothic"/>
                <w:color w:val="000000"/>
                <w:lang w:val="en-US" w:eastAsia="ja-JP"/>
              </w:rPr>
            </w:pPr>
          </w:p>
        </w:tc>
      </w:tr>
      <w:tr w:rsidR="008456A4" w:rsidRPr="00A4272B" w14:paraId="42441901" w14:textId="77777777" w:rsidTr="00E16672">
        <w:trPr>
          <w:trHeight w:val="230"/>
        </w:trPr>
        <w:tc>
          <w:tcPr>
            <w:tcW w:w="2791"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254EFB9E" w14:textId="77777777"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High trophic level organism</w:t>
            </w:r>
          </w:p>
        </w:tc>
        <w:tc>
          <w:tcPr>
            <w:tcW w:w="7054"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6217B33D" w14:textId="77777777"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Useful for risk assessment of POPs pollution in an ecosystem</w:t>
            </w:r>
          </w:p>
        </w:tc>
      </w:tr>
      <w:tr w:rsidR="008456A4" w:rsidRPr="00A4272B" w14:paraId="5500FABD" w14:textId="77777777" w:rsidTr="00E16672">
        <w:trPr>
          <w:trHeight w:val="230"/>
        </w:trPr>
        <w:tc>
          <w:tcPr>
            <w:tcW w:w="2791" w:type="dxa"/>
            <w:vMerge/>
            <w:tcBorders>
              <w:top w:val="single" w:sz="4" w:space="0" w:color="auto"/>
              <w:left w:val="single" w:sz="4" w:space="0" w:color="auto"/>
              <w:bottom w:val="single" w:sz="4" w:space="0" w:color="auto"/>
              <w:right w:val="single" w:sz="4" w:space="0" w:color="000000"/>
            </w:tcBorders>
            <w:vAlign w:val="center"/>
          </w:tcPr>
          <w:p w14:paraId="49802024" w14:textId="77777777" w:rsidR="008456A4" w:rsidRPr="00A4272B" w:rsidRDefault="008456A4" w:rsidP="00E16672">
            <w:pPr>
              <w:spacing w:after="0"/>
              <w:rPr>
                <w:rFonts w:eastAsia="MS PGothic"/>
                <w:color w:val="000000"/>
                <w:lang w:val="en-US" w:eastAsia="ja-JP"/>
              </w:rPr>
            </w:pPr>
          </w:p>
        </w:tc>
        <w:tc>
          <w:tcPr>
            <w:tcW w:w="7054" w:type="dxa"/>
            <w:vMerge/>
            <w:tcBorders>
              <w:top w:val="single" w:sz="4" w:space="0" w:color="auto"/>
              <w:left w:val="single" w:sz="4" w:space="0" w:color="auto"/>
              <w:bottom w:val="single" w:sz="4" w:space="0" w:color="auto"/>
              <w:right w:val="single" w:sz="4" w:space="0" w:color="000000"/>
            </w:tcBorders>
            <w:vAlign w:val="center"/>
          </w:tcPr>
          <w:p w14:paraId="535DEAAE" w14:textId="77777777" w:rsidR="008456A4" w:rsidRPr="00A4272B" w:rsidRDefault="008456A4" w:rsidP="00E16672">
            <w:pPr>
              <w:spacing w:after="0"/>
              <w:rPr>
                <w:rFonts w:eastAsia="MS PGothic"/>
                <w:color w:val="000000"/>
                <w:lang w:val="en-US" w:eastAsia="ja-JP"/>
              </w:rPr>
            </w:pPr>
          </w:p>
        </w:tc>
      </w:tr>
      <w:tr w:rsidR="008456A4" w:rsidRPr="00A4272B" w14:paraId="602BEE7C" w14:textId="77777777" w:rsidTr="00E16672">
        <w:trPr>
          <w:trHeight w:val="230"/>
        </w:trPr>
        <w:tc>
          <w:tcPr>
            <w:tcW w:w="2791"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21A00339" w14:textId="77777777"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Human samples</w:t>
            </w:r>
          </w:p>
        </w:tc>
        <w:tc>
          <w:tcPr>
            <w:tcW w:w="7054"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12A85E07" w14:textId="77777777"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Useful for human risk assessment and priority of regulation</w:t>
            </w:r>
          </w:p>
        </w:tc>
      </w:tr>
      <w:tr w:rsidR="008456A4" w:rsidRPr="00A4272B" w14:paraId="498B089C" w14:textId="77777777" w:rsidTr="00E16672">
        <w:trPr>
          <w:trHeight w:val="230"/>
        </w:trPr>
        <w:tc>
          <w:tcPr>
            <w:tcW w:w="2791" w:type="dxa"/>
            <w:vMerge/>
            <w:tcBorders>
              <w:top w:val="single" w:sz="4" w:space="0" w:color="auto"/>
              <w:left w:val="single" w:sz="4" w:space="0" w:color="auto"/>
              <w:bottom w:val="single" w:sz="4" w:space="0" w:color="auto"/>
              <w:right w:val="single" w:sz="4" w:space="0" w:color="000000"/>
            </w:tcBorders>
            <w:vAlign w:val="center"/>
          </w:tcPr>
          <w:p w14:paraId="1068F0E1" w14:textId="77777777" w:rsidR="008456A4" w:rsidRPr="00A4272B" w:rsidRDefault="008456A4" w:rsidP="00E16672">
            <w:pPr>
              <w:spacing w:after="0"/>
              <w:rPr>
                <w:rFonts w:eastAsia="MS PGothic"/>
                <w:color w:val="000000"/>
                <w:lang w:val="en-US" w:eastAsia="ja-JP"/>
              </w:rPr>
            </w:pPr>
          </w:p>
        </w:tc>
        <w:tc>
          <w:tcPr>
            <w:tcW w:w="7054" w:type="dxa"/>
            <w:vMerge/>
            <w:tcBorders>
              <w:top w:val="single" w:sz="4" w:space="0" w:color="auto"/>
              <w:left w:val="single" w:sz="4" w:space="0" w:color="auto"/>
              <w:bottom w:val="single" w:sz="4" w:space="0" w:color="auto"/>
              <w:right w:val="single" w:sz="4" w:space="0" w:color="000000"/>
            </w:tcBorders>
            <w:vAlign w:val="center"/>
          </w:tcPr>
          <w:p w14:paraId="24ED9572" w14:textId="77777777" w:rsidR="008456A4" w:rsidRPr="00A4272B" w:rsidRDefault="008456A4" w:rsidP="00E16672">
            <w:pPr>
              <w:spacing w:after="0"/>
              <w:rPr>
                <w:rFonts w:eastAsia="MS PGothic"/>
                <w:color w:val="000000"/>
                <w:lang w:val="en-US" w:eastAsia="ja-JP"/>
              </w:rPr>
            </w:pPr>
          </w:p>
        </w:tc>
      </w:tr>
      <w:tr w:rsidR="008456A4" w:rsidRPr="00A4272B" w14:paraId="0BC26044" w14:textId="77777777" w:rsidTr="00E16672">
        <w:trPr>
          <w:trHeight w:val="230"/>
        </w:trPr>
        <w:tc>
          <w:tcPr>
            <w:tcW w:w="2791"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75D62C79" w14:textId="6E4269EB"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Soils, sediments, and vegetation</w:t>
            </w:r>
          </w:p>
        </w:tc>
        <w:tc>
          <w:tcPr>
            <w:tcW w:w="7054"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34751C10" w14:textId="3B0C85BD"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Useful for periodic monitoring of local</w:t>
            </w:r>
            <w:r w:rsidR="00E16672" w:rsidRPr="00A4272B">
              <w:rPr>
                <w:rFonts w:eastAsia="MS PGothic"/>
                <w:color w:val="000000"/>
                <w:lang w:val="en-US" w:eastAsia="ja-JP"/>
              </w:rPr>
              <w:t xml:space="preserve"> </w:t>
            </w:r>
            <w:r w:rsidRPr="00A4272B">
              <w:rPr>
                <w:rFonts w:eastAsia="MS PGothic"/>
                <w:color w:val="000000"/>
                <w:lang w:val="en-US" w:eastAsia="ja-JP"/>
              </w:rPr>
              <w:t>pollution status, their trends and understanding environmental chemodynamics of chemicals</w:t>
            </w:r>
          </w:p>
        </w:tc>
      </w:tr>
      <w:tr w:rsidR="008456A4" w:rsidRPr="00A4272B" w14:paraId="0E692F0B" w14:textId="77777777" w:rsidTr="00E16672">
        <w:trPr>
          <w:trHeight w:val="230"/>
        </w:trPr>
        <w:tc>
          <w:tcPr>
            <w:tcW w:w="2791" w:type="dxa"/>
            <w:vMerge/>
            <w:tcBorders>
              <w:top w:val="single" w:sz="4" w:space="0" w:color="auto"/>
              <w:left w:val="single" w:sz="4" w:space="0" w:color="auto"/>
              <w:bottom w:val="single" w:sz="4" w:space="0" w:color="auto"/>
              <w:right w:val="single" w:sz="4" w:space="0" w:color="000000"/>
            </w:tcBorders>
            <w:vAlign w:val="center"/>
          </w:tcPr>
          <w:p w14:paraId="3AF3CAFF" w14:textId="77777777" w:rsidR="008456A4" w:rsidRPr="00A4272B" w:rsidRDefault="008456A4" w:rsidP="00E16672">
            <w:pPr>
              <w:spacing w:after="0"/>
              <w:rPr>
                <w:rFonts w:eastAsia="MS PGothic"/>
                <w:color w:val="000000"/>
                <w:lang w:val="en-US" w:eastAsia="ja-JP"/>
              </w:rPr>
            </w:pPr>
          </w:p>
        </w:tc>
        <w:tc>
          <w:tcPr>
            <w:tcW w:w="7054" w:type="dxa"/>
            <w:vMerge/>
            <w:tcBorders>
              <w:top w:val="single" w:sz="4" w:space="0" w:color="auto"/>
              <w:left w:val="single" w:sz="4" w:space="0" w:color="auto"/>
              <w:bottom w:val="single" w:sz="4" w:space="0" w:color="auto"/>
              <w:right w:val="single" w:sz="4" w:space="0" w:color="000000"/>
            </w:tcBorders>
            <w:vAlign w:val="center"/>
          </w:tcPr>
          <w:p w14:paraId="35BF7E9D" w14:textId="77777777" w:rsidR="008456A4" w:rsidRPr="00A4272B" w:rsidRDefault="008456A4" w:rsidP="00E16672">
            <w:pPr>
              <w:spacing w:after="0"/>
              <w:rPr>
                <w:rFonts w:eastAsia="MS PGothic"/>
                <w:color w:val="000000"/>
                <w:lang w:val="en-US" w:eastAsia="ja-JP"/>
              </w:rPr>
            </w:pPr>
          </w:p>
        </w:tc>
      </w:tr>
      <w:tr w:rsidR="008456A4" w:rsidRPr="00A4272B" w14:paraId="36B8243A" w14:textId="77777777" w:rsidTr="00E16672">
        <w:trPr>
          <w:trHeight w:val="230"/>
        </w:trPr>
        <w:tc>
          <w:tcPr>
            <w:tcW w:w="2791" w:type="dxa"/>
            <w:vMerge/>
            <w:tcBorders>
              <w:top w:val="single" w:sz="4" w:space="0" w:color="auto"/>
              <w:left w:val="single" w:sz="4" w:space="0" w:color="auto"/>
              <w:bottom w:val="single" w:sz="4" w:space="0" w:color="auto"/>
              <w:right w:val="single" w:sz="4" w:space="0" w:color="000000"/>
            </w:tcBorders>
            <w:vAlign w:val="center"/>
          </w:tcPr>
          <w:p w14:paraId="743E82F3" w14:textId="77777777" w:rsidR="008456A4" w:rsidRPr="00A4272B" w:rsidRDefault="008456A4" w:rsidP="00E16672">
            <w:pPr>
              <w:spacing w:after="0"/>
              <w:rPr>
                <w:rFonts w:eastAsia="MS PGothic"/>
                <w:color w:val="000000"/>
                <w:lang w:val="en-US" w:eastAsia="ja-JP"/>
              </w:rPr>
            </w:pPr>
          </w:p>
        </w:tc>
        <w:tc>
          <w:tcPr>
            <w:tcW w:w="7054" w:type="dxa"/>
            <w:vMerge/>
            <w:tcBorders>
              <w:top w:val="single" w:sz="4" w:space="0" w:color="auto"/>
              <w:left w:val="single" w:sz="4" w:space="0" w:color="auto"/>
              <w:bottom w:val="single" w:sz="4" w:space="0" w:color="auto"/>
              <w:right w:val="single" w:sz="4" w:space="0" w:color="000000"/>
            </w:tcBorders>
            <w:vAlign w:val="center"/>
          </w:tcPr>
          <w:p w14:paraId="1D3288D5" w14:textId="77777777" w:rsidR="008456A4" w:rsidRPr="00A4272B" w:rsidRDefault="008456A4" w:rsidP="00E16672">
            <w:pPr>
              <w:spacing w:after="0"/>
              <w:rPr>
                <w:rFonts w:eastAsia="MS PGothic"/>
                <w:color w:val="000000"/>
                <w:lang w:val="en-US" w:eastAsia="ja-JP"/>
              </w:rPr>
            </w:pPr>
          </w:p>
        </w:tc>
      </w:tr>
      <w:tr w:rsidR="008456A4" w:rsidRPr="00A4272B" w14:paraId="247C455D" w14:textId="77777777" w:rsidTr="00E16672">
        <w:trPr>
          <w:trHeight w:val="230"/>
        </w:trPr>
        <w:tc>
          <w:tcPr>
            <w:tcW w:w="2791"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51529E89" w14:textId="77777777"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Filters, adsorbents and their extracts of air, water</w:t>
            </w:r>
          </w:p>
        </w:tc>
        <w:tc>
          <w:tcPr>
            <w:tcW w:w="7054"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14:paraId="6998C2F6" w14:textId="67297F93" w:rsidR="008456A4" w:rsidRPr="00A4272B" w:rsidRDefault="008456A4" w:rsidP="00E16672">
            <w:pPr>
              <w:spacing w:after="0"/>
              <w:rPr>
                <w:rFonts w:eastAsia="MS PGothic"/>
                <w:color w:val="000000"/>
                <w:lang w:val="en-US" w:eastAsia="ja-JP"/>
              </w:rPr>
            </w:pPr>
            <w:r w:rsidRPr="00A4272B">
              <w:rPr>
                <w:rFonts w:eastAsia="MS PGothic"/>
                <w:color w:val="000000"/>
                <w:lang w:val="en-US" w:eastAsia="ja-JP"/>
              </w:rPr>
              <w:t>Useful for background monitoring, and understanding environmental chemodynamics including long range transboundary transport of chemicals</w:t>
            </w:r>
          </w:p>
        </w:tc>
      </w:tr>
      <w:tr w:rsidR="008456A4" w:rsidRPr="00A4272B" w14:paraId="14EAE02F" w14:textId="77777777" w:rsidTr="00E16672">
        <w:trPr>
          <w:trHeight w:val="285"/>
        </w:trPr>
        <w:tc>
          <w:tcPr>
            <w:tcW w:w="2791" w:type="dxa"/>
            <w:vMerge/>
            <w:tcBorders>
              <w:top w:val="single" w:sz="4" w:space="0" w:color="auto"/>
              <w:left w:val="single" w:sz="4" w:space="0" w:color="auto"/>
              <w:bottom w:val="single" w:sz="4" w:space="0" w:color="auto"/>
              <w:right w:val="single" w:sz="4" w:space="0" w:color="000000"/>
            </w:tcBorders>
            <w:vAlign w:val="center"/>
          </w:tcPr>
          <w:p w14:paraId="4E7DCD23" w14:textId="77777777" w:rsidR="008456A4" w:rsidRPr="00A4272B" w:rsidRDefault="008456A4" w:rsidP="00E16672">
            <w:pPr>
              <w:spacing w:after="0"/>
              <w:jc w:val="both"/>
              <w:rPr>
                <w:rFonts w:ascii="MS PGothic" w:eastAsia="MS PGothic" w:hAnsi="MS PGothic" w:cs="MS PGothic"/>
                <w:color w:val="000000"/>
                <w:sz w:val="22"/>
                <w:szCs w:val="22"/>
                <w:lang w:val="en-US" w:eastAsia="ja-JP"/>
              </w:rPr>
            </w:pPr>
          </w:p>
        </w:tc>
        <w:tc>
          <w:tcPr>
            <w:tcW w:w="7054" w:type="dxa"/>
            <w:vMerge/>
            <w:tcBorders>
              <w:top w:val="single" w:sz="4" w:space="0" w:color="auto"/>
              <w:left w:val="single" w:sz="4" w:space="0" w:color="auto"/>
              <w:bottom w:val="single" w:sz="4" w:space="0" w:color="auto"/>
              <w:right w:val="single" w:sz="4" w:space="0" w:color="000000"/>
            </w:tcBorders>
            <w:vAlign w:val="center"/>
          </w:tcPr>
          <w:p w14:paraId="4B339513" w14:textId="77777777" w:rsidR="008456A4" w:rsidRPr="00A4272B" w:rsidRDefault="008456A4" w:rsidP="00E16672">
            <w:pPr>
              <w:spacing w:after="0"/>
              <w:jc w:val="both"/>
              <w:rPr>
                <w:rFonts w:ascii="MS PGothic" w:eastAsia="MS PGothic" w:hAnsi="MS PGothic" w:cs="MS PGothic"/>
                <w:color w:val="000000"/>
                <w:sz w:val="22"/>
                <w:szCs w:val="22"/>
                <w:lang w:val="en-US" w:eastAsia="ja-JP"/>
              </w:rPr>
            </w:pPr>
          </w:p>
        </w:tc>
      </w:tr>
      <w:tr w:rsidR="008456A4" w:rsidRPr="00A4272B" w14:paraId="4545CFF8" w14:textId="77777777" w:rsidTr="00E16672">
        <w:trPr>
          <w:trHeight w:val="285"/>
        </w:trPr>
        <w:tc>
          <w:tcPr>
            <w:tcW w:w="2791" w:type="dxa"/>
            <w:vMerge/>
            <w:tcBorders>
              <w:top w:val="single" w:sz="4" w:space="0" w:color="auto"/>
              <w:left w:val="single" w:sz="4" w:space="0" w:color="auto"/>
              <w:bottom w:val="single" w:sz="4" w:space="0" w:color="auto"/>
              <w:right w:val="single" w:sz="4" w:space="0" w:color="000000"/>
            </w:tcBorders>
            <w:vAlign w:val="center"/>
          </w:tcPr>
          <w:p w14:paraId="11A71C3B" w14:textId="77777777" w:rsidR="008456A4" w:rsidRPr="00A4272B" w:rsidRDefault="008456A4" w:rsidP="00E16672">
            <w:pPr>
              <w:spacing w:after="0"/>
              <w:jc w:val="both"/>
              <w:rPr>
                <w:rFonts w:ascii="MS PGothic" w:eastAsia="MS PGothic" w:hAnsi="MS PGothic" w:cs="MS PGothic"/>
                <w:color w:val="000000"/>
                <w:sz w:val="22"/>
                <w:szCs w:val="22"/>
                <w:lang w:val="en-US" w:eastAsia="ja-JP"/>
              </w:rPr>
            </w:pPr>
          </w:p>
        </w:tc>
        <w:tc>
          <w:tcPr>
            <w:tcW w:w="7054" w:type="dxa"/>
            <w:vMerge/>
            <w:tcBorders>
              <w:top w:val="single" w:sz="4" w:space="0" w:color="auto"/>
              <w:left w:val="single" w:sz="4" w:space="0" w:color="auto"/>
              <w:bottom w:val="single" w:sz="4" w:space="0" w:color="auto"/>
              <w:right w:val="single" w:sz="4" w:space="0" w:color="000000"/>
            </w:tcBorders>
            <w:vAlign w:val="center"/>
          </w:tcPr>
          <w:p w14:paraId="52F2BCE7" w14:textId="77777777" w:rsidR="008456A4" w:rsidRPr="00A4272B" w:rsidRDefault="008456A4" w:rsidP="00E16672">
            <w:pPr>
              <w:spacing w:after="0"/>
              <w:jc w:val="both"/>
              <w:rPr>
                <w:rFonts w:ascii="MS PGothic" w:eastAsia="MS PGothic" w:hAnsi="MS PGothic" w:cs="MS PGothic"/>
                <w:color w:val="000000"/>
                <w:sz w:val="22"/>
                <w:szCs w:val="22"/>
                <w:lang w:val="en-US" w:eastAsia="ja-JP"/>
              </w:rPr>
            </w:pPr>
          </w:p>
        </w:tc>
      </w:tr>
    </w:tbl>
    <w:p w14:paraId="605CCEB2" w14:textId="7BF4A5ED" w:rsidR="0020413A" w:rsidRPr="00A4272B" w:rsidRDefault="00C5545D" w:rsidP="0020413A">
      <w:pPr>
        <w:spacing w:before="120"/>
        <w:rPr>
          <w:b/>
          <w:bCs/>
          <w:lang w:val="en-US" w:eastAsia="ja-JP"/>
        </w:rPr>
      </w:pPr>
      <w:r w:rsidRPr="00A4272B">
        <w:rPr>
          <w:lang w:val="en-US" w:eastAsia="ja-JP"/>
        </w:rPr>
        <w:t>Human samples suitable for POPs analysis include breast milk and blood (see Chapter 4.2). Other biological media used in environmental monitoring include urine, hair, saliva, and umbilical cords. Non-invasive urine samples, in particular, have been widely used to analyze metabolites of POPs and other chemicals of concern</w:t>
      </w:r>
      <w:r w:rsidR="0020413A" w:rsidRPr="00A4272B">
        <w:rPr>
          <w:lang w:val="en-US" w:eastAsia="ja-JP"/>
        </w:rPr>
        <w:t>.</w:t>
      </w:r>
    </w:p>
    <w:p w14:paraId="7EB12883" w14:textId="6DC2AC67" w:rsidR="00F3536C" w:rsidRPr="00A4272B" w:rsidRDefault="001F665D" w:rsidP="00817D9F">
      <w:pPr>
        <w:pStyle w:val="Heading3"/>
        <w:rPr>
          <w:rFonts w:hint="eastAsia"/>
        </w:rPr>
      </w:pPr>
      <w:bookmarkStart w:id="738" w:name="_Toc187270539"/>
      <w:r w:rsidRPr="00A4272B">
        <w:t>8</w:t>
      </w:r>
      <w:r w:rsidR="00F3536C" w:rsidRPr="00A4272B">
        <w:t>.2.3</w:t>
      </w:r>
      <w:r w:rsidR="00C61730" w:rsidRPr="00A4272B">
        <w:tab/>
      </w:r>
      <w:r w:rsidR="00F3536C" w:rsidRPr="00A4272B">
        <w:t>Long-term storage method</w:t>
      </w:r>
      <w:bookmarkEnd w:id="730"/>
      <w:bookmarkEnd w:id="731"/>
      <w:bookmarkEnd w:id="732"/>
      <w:bookmarkEnd w:id="733"/>
      <w:bookmarkEnd w:id="734"/>
      <w:bookmarkEnd w:id="735"/>
      <w:bookmarkEnd w:id="736"/>
      <w:bookmarkEnd w:id="737"/>
      <w:bookmarkEnd w:id="738"/>
    </w:p>
    <w:p w14:paraId="5AA7BB07" w14:textId="2ACF3A01" w:rsidR="008608A3" w:rsidRPr="00A4272B" w:rsidRDefault="008608A3" w:rsidP="008608A3">
      <w:pPr>
        <w:autoSpaceDE w:val="0"/>
        <w:autoSpaceDN w:val="0"/>
        <w:adjustRightInd w:val="0"/>
        <w:rPr>
          <w:color w:val="000000"/>
          <w:lang w:val="en-US" w:eastAsia="ja-JP"/>
        </w:rPr>
      </w:pPr>
      <w:r w:rsidRPr="00A4272B">
        <w:rPr>
          <w:color w:val="000000"/>
          <w:lang w:val="en-US" w:eastAsia="ja-JP"/>
        </w:rPr>
        <w:t>Cryopreservation techniques, including electric freezers, cold rooms, and liquid nitrogen freezers, are widely used for the long-term storage of various environmental specimens. Some specimens, such as air-dried soils, sediments, wood, seeds, bone, feathers, hair, and nails, can be preserved at higher temperatures, even at room temperature. However, wet biological samples should be kept frozen for long-term storage. Freeze-dried samples can be stored at slightly higher temperatures (e.g., 4 °C) for extended periods, although the freeze-drying process may lead to the loss of volatile chemicals and potential contamination by oil vapor. Even air-dried samples, such as human umbilical cords stored at ambient temperature, have been successfully used for assessing exposure to POPs or heavy metals accumulated during pregnancy (e.g., Nagayama et al., 201</w:t>
      </w:r>
      <w:r w:rsidR="000A3BFD" w:rsidRPr="00A4272B">
        <w:rPr>
          <w:color w:val="000000"/>
          <w:lang w:val="en-US" w:eastAsia="ja-JP"/>
        </w:rPr>
        <w:t>0</w:t>
      </w:r>
      <w:r w:rsidRPr="00A4272B">
        <w:rPr>
          <w:color w:val="000000"/>
          <w:lang w:val="en-US" w:eastAsia="ja-JP"/>
        </w:rPr>
        <w:t>).</w:t>
      </w:r>
    </w:p>
    <w:p w14:paraId="6FBEED5B" w14:textId="179D5AED" w:rsidR="008608A3" w:rsidRPr="00A4272B" w:rsidRDefault="008608A3" w:rsidP="008608A3">
      <w:pPr>
        <w:autoSpaceDE w:val="0"/>
        <w:autoSpaceDN w:val="0"/>
        <w:adjustRightInd w:val="0"/>
        <w:rPr>
          <w:color w:val="000000"/>
          <w:lang w:val="en-US" w:eastAsia="ja-JP"/>
        </w:rPr>
      </w:pPr>
      <w:r w:rsidRPr="00A4272B">
        <w:rPr>
          <w:color w:val="000000"/>
          <w:lang w:val="en-US" w:eastAsia="ja-JP"/>
        </w:rPr>
        <w:lastRenderedPageBreak/>
        <w:t>There are no universal criteria for storage temperatures in specimen banks, although different temperatures are selected for specific purposes (see Table 8.3). Generally, lower temperatures provide better preservation (Zheng et al., 2002). Biological samples stored at liquid nitrogen temperatures (</w:t>
      </w:r>
      <w:r w:rsidR="002E6DB8" w:rsidRPr="00A4272B">
        <w:rPr>
          <w:rFonts w:eastAsia="MS PGothic"/>
          <w:b/>
          <w:bCs/>
          <w:color w:val="000000"/>
          <w:lang w:val="en-US" w:eastAsia="ja-JP"/>
        </w:rPr>
        <w:t>-</w:t>
      </w:r>
      <w:r w:rsidRPr="00A4272B">
        <w:rPr>
          <w:color w:val="000000"/>
          <w:lang w:val="en-US" w:eastAsia="ja-JP"/>
        </w:rPr>
        <w:t>196 °C) or in the vapor phase of liquid nitrogen storage facilities (</w:t>
      </w:r>
      <w:r w:rsidR="002E6DB8" w:rsidRPr="00A4272B">
        <w:rPr>
          <w:rFonts w:eastAsia="MS PGothic"/>
          <w:b/>
          <w:bCs/>
          <w:color w:val="000000"/>
          <w:lang w:val="en-US" w:eastAsia="ja-JP"/>
        </w:rPr>
        <w:t>-</w:t>
      </w:r>
      <w:r w:rsidRPr="00A4272B">
        <w:rPr>
          <w:color w:val="000000"/>
          <w:lang w:val="en-US" w:eastAsia="ja-JP"/>
        </w:rPr>
        <w:t xml:space="preserve">150 to </w:t>
      </w:r>
      <w:r w:rsidR="002E6DB8" w:rsidRPr="00A4272B">
        <w:rPr>
          <w:rFonts w:eastAsia="MS PGothic"/>
          <w:b/>
          <w:bCs/>
          <w:color w:val="000000"/>
          <w:lang w:val="en-US" w:eastAsia="ja-JP"/>
        </w:rPr>
        <w:t>-</w:t>
      </w:r>
      <w:r w:rsidRPr="00A4272B">
        <w:rPr>
          <w:color w:val="000000"/>
          <w:lang w:val="en-US" w:eastAsia="ja-JP"/>
        </w:rPr>
        <w:t>160 °C) remain stable and chemically unchanged for decades</w:t>
      </w:r>
      <w:r w:rsidR="001C43E1" w:rsidRPr="00A4272B">
        <w:rPr>
          <w:color w:val="000000"/>
          <w:lang w:val="en-US" w:eastAsia="ja-JP"/>
        </w:rPr>
        <w:t>.</w:t>
      </w:r>
      <w:r w:rsidRPr="00A4272B">
        <w:rPr>
          <w:color w:val="000000"/>
          <w:lang w:val="en-US" w:eastAsia="ja-JP"/>
        </w:rPr>
        <w:t xml:space="preserve"> Deep freezers set to –80 or –85 °C, initially intended for dry-ice storage, are widely used in many specimen banks and other applications and have proven effective for long-term preservation of various sample types.</w:t>
      </w:r>
    </w:p>
    <w:p w14:paraId="0AA4B8E5" w14:textId="0689B0BF" w:rsidR="008608A3" w:rsidRPr="00A4272B" w:rsidRDefault="008608A3" w:rsidP="008608A3">
      <w:pPr>
        <w:autoSpaceDE w:val="0"/>
        <w:autoSpaceDN w:val="0"/>
        <w:adjustRightInd w:val="0"/>
        <w:rPr>
          <w:color w:val="000000"/>
          <w:lang w:val="en-US" w:eastAsia="ja-JP"/>
        </w:rPr>
      </w:pPr>
      <w:r w:rsidRPr="00A4272B">
        <w:rPr>
          <w:color w:val="000000"/>
          <w:lang w:val="en-US" w:eastAsia="ja-JP"/>
        </w:rPr>
        <w:t xml:space="preserve">Another temperature commonly used for large-scale biological storage is around </w:t>
      </w:r>
      <w:r w:rsidR="002E6DB8" w:rsidRPr="00A4272B">
        <w:rPr>
          <w:rFonts w:eastAsia="MS PGothic"/>
          <w:b/>
          <w:bCs/>
          <w:color w:val="000000"/>
          <w:lang w:val="en-US" w:eastAsia="ja-JP"/>
        </w:rPr>
        <w:t>-</w:t>
      </w:r>
      <w:r w:rsidRPr="00A4272B">
        <w:rPr>
          <w:color w:val="000000"/>
          <w:lang w:val="en-US" w:eastAsia="ja-JP"/>
        </w:rPr>
        <w:t xml:space="preserve">60 °C, often applied for fish and meat preservation. This temperature is also suitable for long-term storage of biological samples. Techniques for constructing and maintaining large, refrigerated warehouses at </w:t>
      </w:r>
      <w:r w:rsidR="002E6DB8" w:rsidRPr="00A4272B">
        <w:rPr>
          <w:rFonts w:eastAsia="MS PGothic"/>
          <w:b/>
          <w:bCs/>
          <w:color w:val="000000"/>
          <w:lang w:val="en-US" w:eastAsia="ja-JP"/>
        </w:rPr>
        <w:t>-</w:t>
      </w:r>
      <w:r w:rsidRPr="00A4272B">
        <w:rPr>
          <w:color w:val="000000"/>
          <w:lang w:val="en-US" w:eastAsia="ja-JP"/>
        </w:rPr>
        <w:t>60 °C are well-established, and substantial storage capacity at this temperature is now available worldwide, particularly near fishing ports, airports, and other transport hubs</w:t>
      </w:r>
      <w:r w:rsidR="001C43E1" w:rsidRPr="00A4272B">
        <w:rPr>
          <w:color w:val="000000"/>
          <w:lang w:val="en-US" w:eastAsia="ja-JP"/>
        </w:rPr>
        <w:t xml:space="preserve">. </w:t>
      </w:r>
    </w:p>
    <w:p w14:paraId="2A5163A1" w14:textId="4331EF90" w:rsidR="00F3536C" w:rsidRPr="00A4272B" w:rsidRDefault="00F3536C" w:rsidP="008608A3">
      <w:pPr>
        <w:autoSpaceDE w:val="0"/>
        <w:autoSpaceDN w:val="0"/>
        <w:adjustRightInd w:val="0"/>
        <w:rPr>
          <w:color w:val="000000"/>
          <w:lang w:val="en-US" w:eastAsia="ja-JP"/>
        </w:rPr>
      </w:pPr>
      <w:r w:rsidRPr="00A4272B">
        <w:rPr>
          <w:b/>
          <w:color w:val="000000"/>
          <w:lang w:val="en-US" w:eastAsia="ja-JP"/>
        </w:rPr>
        <w:t>Table 8.3: Typical temperatures used for banking of specimens.</w:t>
      </w:r>
    </w:p>
    <w:tbl>
      <w:tblPr>
        <w:tblW w:w="9845" w:type="dxa"/>
        <w:tblInd w:w="84" w:type="dxa"/>
        <w:tblCellMar>
          <w:left w:w="99" w:type="dxa"/>
          <w:right w:w="99" w:type="dxa"/>
        </w:tblCellMar>
        <w:tblLook w:val="04A0" w:firstRow="1" w:lastRow="0" w:firstColumn="1" w:lastColumn="0" w:noHBand="0" w:noVBand="1"/>
      </w:tblPr>
      <w:tblGrid>
        <w:gridCol w:w="3601"/>
        <w:gridCol w:w="6244"/>
      </w:tblGrid>
      <w:tr w:rsidR="008608A3" w:rsidRPr="00A4272B" w14:paraId="0687B694" w14:textId="77777777" w:rsidTr="00200BA4">
        <w:trPr>
          <w:trHeight w:val="20"/>
        </w:trPr>
        <w:tc>
          <w:tcPr>
            <w:tcW w:w="3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F0895"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Room Temperature</w:t>
            </w:r>
          </w:p>
        </w:tc>
        <w:tc>
          <w:tcPr>
            <w:tcW w:w="6244" w:type="dxa"/>
            <w:tcBorders>
              <w:top w:val="single" w:sz="4" w:space="0" w:color="auto"/>
              <w:left w:val="nil"/>
              <w:bottom w:val="single" w:sz="4" w:space="0" w:color="auto"/>
              <w:right w:val="single" w:sz="4" w:space="0" w:color="auto"/>
            </w:tcBorders>
            <w:shd w:val="clear" w:color="auto" w:fill="auto"/>
            <w:vAlign w:val="center"/>
            <w:hideMark/>
          </w:tcPr>
          <w:p w14:paraId="44B8F47A" w14:textId="16F2CF8F" w:rsidR="008608A3" w:rsidRPr="00A4272B" w:rsidRDefault="008608A3" w:rsidP="00200BA4">
            <w:pPr>
              <w:spacing w:before="40" w:after="40"/>
              <w:jc w:val="both"/>
              <w:rPr>
                <w:rFonts w:eastAsia="MS PGothic"/>
                <w:b/>
                <w:bCs/>
                <w:color w:val="000000"/>
                <w:lang w:val="fr-CH" w:eastAsia="ja-JP"/>
              </w:rPr>
            </w:pPr>
            <w:r w:rsidRPr="00A4272B">
              <w:rPr>
                <w:rFonts w:eastAsia="MS PGothic"/>
                <w:b/>
                <w:bCs/>
                <w:color w:val="000000"/>
                <w:lang w:val="fr-CH" w:eastAsia="ja-JP"/>
              </w:rPr>
              <w:t xml:space="preserve">Dry samples (soils, vegetation, bird </w:t>
            </w:r>
            <w:r w:rsidR="00E16672" w:rsidRPr="00A4272B">
              <w:rPr>
                <w:rFonts w:eastAsia="MS PGothic"/>
                <w:b/>
                <w:bCs/>
                <w:color w:val="000000"/>
                <w:lang w:val="fr-CH" w:eastAsia="ja-JP"/>
              </w:rPr>
              <w:t>eggshells</w:t>
            </w:r>
            <w:r w:rsidRPr="00A4272B">
              <w:rPr>
                <w:rFonts w:eastAsia="MS PGothic"/>
                <w:b/>
                <w:bCs/>
                <w:color w:val="000000"/>
                <w:lang w:val="fr-CH" w:eastAsia="ja-JP"/>
              </w:rPr>
              <w:t>, hair, etc.)</w:t>
            </w:r>
          </w:p>
        </w:tc>
      </w:tr>
      <w:tr w:rsidR="008608A3" w:rsidRPr="00A4272B" w14:paraId="64D8986B" w14:textId="77777777" w:rsidTr="00200BA4">
        <w:trPr>
          <w:trHeight w:val="20"/>
        </w:trPr>
        <w:tc>
          <w:tcPr>
            <w:tcW w:w="3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3FF78" w14:textId="0AF5D480"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4 degrees of Celcius</w:t>
            </w:r>
          </w:p>
          <w:p w14:paraId="401C5ECF"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(refrigerator, cold room)</w:t>
            </w:r>
          </w:p>
        </w:tc>
        <w:tc>
          <w:tcPr>
            <w:tcW w:w="6244" w:type="dxa"/>
            <w:tcBorders>
              <w:top w:val="single" w:sz="4" w:space="0" w:color="auto"/>
              <w:left w:val="nil"/>
              <w:bottom w:val="single" w:sz="4" w:space="0" w:color="auto"/>
              <w:right w:val="single" w:sz="4" w:space="0" w:color="auto"/>
            </w:tcBorders>
            <w:shd w:val="clear" w:color="auto" w:fill="auto"/>
            <w:vAlign w:val="center"/>
            <w:hideMark/>
          </w:tcPr>
          <w:p w14:paraId="1B6DF83A" w14:textId="3A55954E"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Dry samples, water</w:t>
            </w:r>
            <w:r w:rsidR="00641465" w:rsidRPr="00A4272B">
              <w:rPr>
                <w:rFonts w:eastAsia="MS PGothic"/>
                <w:b/>
                <w:bCs/>
                <w:color w:val="000000"/>
                <w:lang w:val="en-US" w:eastAsia="ja-JP"/>
              </w:rPr>
              <w:t xml:space="preserve"> (water samples can be freezed and stored in plastic containers)</w:t>
            </w:r>
          </w:p>
        </w:tc>
      </w:tr>
      <w:tr w:rsidR="008608A3" w:rsidRPr="00A4272B" w14:paraId="28674643" w14:textId="77777777" w:rsidTr="00200BA4">
        <w:trPr>
          <w:trHeight w:val="20"/>
        </w:trPr>
        <w:tc>
          <w:tcPr>
            <w:tcW w:w="3601" w:type="dxa"/>
            <w:tcBorders>
              <w:top w:val="nil"/>
              <w:left w:val="single" w:sz="4" w:space="0" w:color="auto"/>
              <w:bottom w:val="single" w:sz="4" w:space="0" w:color="auto"/>
              <w:right w:val="single" w:sz="4" w:space="0" w:color="auto"/>
            </w:tcBorders>
            <w:shd w:val="clear" w:color="auto" w:fill="auto"/>
            <w:noWrap/>
            <w:vAlign w:val="center"/>
            <w:hideMark/>
          </w:tcPr>
          <w:p w14:paraId="645C286C"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-20 / -25 degrees of Celcius</w:t>
            </w:r>
          </w:p>
          <w:p w14:paraId="3E87921F"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(freezer, freezing chamber)</w:t>
            </w:r>
          </w:p>
        </w:tc>
        <w:tc>
          <w:tcPr>
            <w:tcW w:w="6244" w:type="dxa"/>
            <w:tcBorders>
              <w:top w:val="single" w:sz="4" w:space="0" w:color="auto"/>
              <w:left w:val="nil"/>
              <w:bottom w:val="single" w:sz="4" w:space="0" w:color="auto"/>
              <w:right w:val="single" w:sz="4" w:space="0" w:color="auto"/>
            </w:tcBorders>
            <w:shd w:val="clear" w:color="auto" w:fill="auto"/>
            <w:vAlign w:val="center"/>
            <w:hideMark/>
          </w:tcPr>
          <w:p w14:paraId="71FD95C3" w14:textId="1FA1A25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Biological samples, sediments etc. for heavy metals, POPs analysis (not suitable for long-term storage) (</w:t>
            </w:r>
            <w:r w:rsidR="00641465" w:rsidRPr="00A4272B">
              <w:rPr>
                <w:rFonts w:eastAsia="MS PGothic"/>
                <w:b/>
                <w:bCs/>
                <w:color w:val="000000"/>
                <w:lang w:val="en-US" w:eastAsia="ja-JP"/>
              </w:rPr>
              <w:t>Zheng et al., 2002</w:t>
            </w:r>
            <w:r w:rsidRPr="00A4272B">
              <w:rPr>
                <w:rFonts w:eastAsia="MS PGothic"/>
                <w:b/>
                <w:bCs/>
                <w:color w:val="000000"/>
                <w:lang w:val="en-US" w:eastAsia="ja-JP"/>
              </w:rPr>
              <w:t>)</w:t>
            </w:r>
          </w:p>
        </w:tc>
      </w:tr>
      <w:tr w:rsidR="008608A3" w:rsidRPr="00A4272B" w14:paraId="2E3D7578" w14:textId="77777777" w:rsidTr="00200BA4">
        <w:trPr>
          <w:trHeight w:val="20"/>
        </w:trPr>
        <w:tc>
          <w:tcPr>
            <w:tcW w:w="3601" w:type="dxa"/>
            <w:tcBorders>
              <w:top w:val="nil"/>
              <w:left w:val="single" w:sz="4" w:space="0" w:color="auto"/>
              <w:bottom w:val="single" w:sz="4" w:space="0" w:color="auto"/>
              <w:right w:val="single" w:sz="4" w:space="0" w:color="auto"/>
            </w:tcBorders>
            <w:shd w:val="clear" w:color="auto" w:fill="auto"/>
            <w:noWrap/>
            <w:vAlign w:val="center"/>
            <w:hideMark/>
          </w:tcPr>
          <w:p w14:paraId="1CFF4BE3"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-60 / -90 degrees of Celcius</w:t>
            </w:r>
          </w:p>
          <w:p w14:paraId="090F0B40"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(deep freezer, deep freezing chamber)</w:t>
            </w:r>
          </w:p>
        </w:tc>
        <w:tc>
          <w:tcPr>
            <w:tcW w:w="6244" w:type="dxa"/>
            <w:tcBorders>
              <w:top w:val="single" w:sz="4" w:space="0" w:color="auto"/>
              <w:left w:val="nil"/>
              <w:bottom w:val="single" w:sz="4" w:space="0" w:color="auto"/>
              <w:right w:val="single" w:sz="4" w:space="0" w:color="auto"/>
            </w:tcBorders>
            <w:shd w:val="clear" w:color="auto" w:fill="auto"/>
            <w:vAlign w:val="center"/>
            <w:hideMark/>
          </w:tcPr>
          <w:p w14:paraId="212F4A2D"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Biological samples, sediments for long-term storage; useful also for biochemical analysis</w:t>
            </w:r>
          </w:p>
        </w:tc>
      </w:tr>
      <w:tr w:rsidR="008608A3" w:rsidRPr="00A4272B" w14:paraId="6A9E61C3" w14:textId="77777777" w:rsidTr="00200BA4">
        <w:trPr>
          <w:trHeight w:val="20"/>
        </w:trPr>
        <w:tc>
          <w:tcPr>
            <w:tcW w:w="3601" w:type="dxa"/>
            <w:tcBorders>
              <w:top w:val="nil"/>
              <w:left w:val="single" w:sz="4" w:space="0" w:color="auto"/>
              <w:bottom w:val="single" w:sz="4" w:space="0" w:color="auto"/>
              <w:right w:val="single" w:sz="4" w:space="0" w:color="auto"/>
            </w:tcBorders>
            <w:shd w:val="clear" w:color="auto" w:fill="auto"/>
            <w:noWrap/>
            <w:vAlign w:val="center"/>
            <w:hideMark/>
          </w:tcPr>
          <w:p w14:paraId="06D03D43"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-160 / -196 degrees of Celcius ((vapor phase) liquid nitrogen freezer)</w:t>
            </w:r>
          </w:p>
        </w:tc>
        <w:tc>
          <w:tcPr>
            <w:tcW w:w="6244" w:type="dxa"/>
            <w:tcBorders>
              <w:top w:val="single" w:sz="4" w:space="0" w:color="auto"/>
              <w:left w:val="nil"/>
              <w:bottom w:val="single" w:sz="4" w:space="0" w:color="auto"/>
              <w:right w:val="single" w:sz="4" w:space="0" w:color="auto"/>
            </w:tcBorders>
            <w:shd w:val="clear" w:color="auto" w:fill="auto"/>
            <w:vAlign w:val="center"/>
            <w:hideMark/>
          </w:tcPr>
          <w:p w14:paraId="7DCADD72" w14:textId="77777777" w:rsidR="008608A3" w:rsidRPr="00A4272B" w:rsidRDefault="008608A3" w:rsidP="00200BA4">
            <w:pPr>
              <w:spacing w:before="40" w:after="40"/>
              <w:jc w:val="both"/>
              <w:rPr>
                <w:rFonts w:eastAsia="MS PGothic"/>
                <w:b/>
                <w:bCs/>
                <w:color w:val="000000"/>
                <w:lang w:val="en-US" w:eastAsia="ja-JP"/>
              </w:rPr>
            </w:pPr>
            <w:r w:rsidRPr="00A4272B">
              <w:rPr>
                <w:rFonts w:eastAsia="MS PGothic"/>
                <w:b/>
                <w:bCs/>
                <w:color w:val="000000"/>
                <w:lang w:val="en-US" w:eastAsia="ja-JP"/>
              </w:rPr>
              <w:t>Biological samples; chemically most appropriate for long-term storage</w:t>
            </w:r>
          </w:p>
        </w:tc>
      </w:tr>
    </w:tbl>
    <w:p w14:paraId="020379B6" w14:textId="77777777" w:rsidR="008608A3" w:rsidRPr="00A4272B" w:rsidRDefault="008608A3" w:rsidP="008608A3">
      <w:pPr>
        <w:autoSpaceDE w:val="0"/>
        <w:autoSpaceDN w:val="0"/>
        <w:adjustRightInd w:val="0"/>
        <w:spacing w:before="120"/>
        <w:rPr>
          <w:color w:val="000000"/>
          <w:lang w:val="en-US" w:eastAsia="ja-JP"/>
        </w:rPr>
      </w:pPr>
      <w:r w:rsidRPr="00A4272B">
        <w:rPr>
          <w:color w:val="000000"/>
          <w:lang w:val="en-US" w:eastAsia="ja-JP"/>
        </w:rPr>
        <w:t>It is important to consider that electric freezers require regular maintenance of mechanical refrigeration components, which can be costly (Owen and Woods, 2008). Additionally, measurable recrystallization processes within water may occur at temperatures above –130 °C (Eisenberg and Kauzmann, 2005). Therefore, the optimal method for long-term storage is to keep samples in the vapor phase of liquid nitrogen, where temperatures are typically around –150 to –160 °C in an oxygen-free environment. While this system requires a high initial investment, it may be cost-effective in the long run depending on the volume of stored samples and the availability and cost of liquid nitrogen. Furthermore, liquid nitrogen systems provide a more reliable low-temperature environment than electric freezers or cold rooms during power outages or disasters.</w:t>
      </w:r>
    </w:p>
    <w:p w14:paraId="5A60E527" w14:textId="3956013A" w:rsidR="008608A3" w:rsidRPr="00A4272B" w:rsidRDefault="008608A3" w:rsidP="008608A3">
      <w:pPr>
        <w:autoSpaceDE w:val="0"/>
        <w:autoSpaceDN w:val="0"/>
        <w:adjustRightInd w:val="0"/>
        <w:spacing w:before="120"/>
        <w:rPr>
          <w:color w:val="000000"/>
          <w:lang w:val="en-US" w:eastAsia="ja-JP"/>
        </w:rPr>
      </w:pPr>
      <w:r w:rsidRPr="00A4272B">
        <w:rPr>
          <w:color w:val="000000"/>
          <w:lang w:val="en-US" w:eastAsia="ja-JP"/>
        </w:rPr>
        <w:t xml:space="preserve">For example, during the Great East Japan Earthquake in March 2011, the Environmental Specimen Bank at Japan's National Institute for Environmental Studies experienced a three-day power outage that threatened stored samples. </w:t>
      </w:r>
      <w:r w:rsidR="00D94074" w:rsidRPr="00A4272B">
        <w:rPr>
          <w:color w:val="000000"/>
          <w:lang w:val="en-US" w:eastAsia="ja-JP"/>
        </w:rPr>
        <w:t xml:space="preserve">Despite this, </w:t>
      </w:r>
      <w:r w:rsidRPr="00A4272B">
        <w:rPr>
          <w:color w:val="000000"/>
          <w:lang w:val="en-US" w:eastAsia="ja-JP"/>
        </w:rPr>
        <w:t>vapor-phase liquid nitrogen freezers maintained temperatures at –160 °C</w:t>
      </w:r>
      <w:r w:rsidR="00D94074" w:rsidRPr="00A4272B">
        <w:rPr>
          <w:color w:val="000000"/>
          <w:lang w:val="en-US" w:eastAsia="ja-JP"/>
        </w:rPr>
        <w:t>, thanks</w:t>
      </w:r>
      <w:r w:rsidRPr="00A4272B">
        <w:rPr>
          <w:color w:val="000000"/>
          <w:lang w:val="en-US" w:eastAsia="ja-JP"/>
        </w:rPr>
        <w:t xml:space="preserve"> to residual liquid nitrogen and vacuum insulation</w:t>
      </w:r>
      <w:r w:rsidR="00D94074" w:rsidRPr="00A4272B">
        <w:rPr>
          <w:color w:val="000000"/>
          <w:lang w:val="en-US" w:eastAsia="ja-JP"/>
        </w:rPr>
        <w:t>. Mean</w:t>
      </w:r>
      <w:r w:rsidRPr="00A4272B">
        <w:rPr>
          <w:color w:val="000000"/>
          <w:lang w:val="en-US" w:eastAsia="ja-JP"/>
        </w:rPr>
        <w:t>while</w:t>
      </w:r>
      <w:r w:rsidR="00D94074" w:rsidRPr="00A4272B">
        <w:rPr>
          <w:color w:val="000000"/>
          <w:lang w:val="en-US" w:eastAsia="ja-JP"/>
        </w:rPr>
        <w:t>,</w:t>
      </w:r>
      <w:r w:rsidRPr="00A4272B">
        <w:rPr>
          <w:color w:val="000000"/>
          <w:lang w:val="en-US" w:eastAsia="ja-JP"/>
        </w:rPr>
        <w:t xml:space="preserve"> large cold rooms initially set to –60 °C </w:t>
      </w:r>
      <w:r w:rsidR="00D94074" w:rsidRPr="00A4272B">
        <w:rPr>
          <w:color w:val="000000"/>
          <w:lang w:val="en-US" w:eastAsia="ja-JP"/>
        </w:rPr>
        <w:t>gradually</w:t>
      </w:r>
      <w:r w:rsidRPr="00A4272B">
        <w:rPr>
          <w:color w:val="000000"/>
          <w:lang w:val="en-US" w:eastAsia="ja-JP"/>
        </w:rPr>
        <w:t xml:space="preserve"> rose to –47 °C after three days. In contrast, temperatures in –80 °C electric freezers </w:t>
      </w:r>
      <w:r w:rsidR="00D94074" w:rsidRPr="00A4272B">
        <w:rPr>
          <w:color w:val="000000"/>
          <w:lang w:val="en-US" w:eastAsia="ja-JP"/>
        </w:rPr>
        <w:t>climbed</w:t>
      </w:r>
      <w:r w:rsidRPr="00A4272B">
        <w:rPr>
          <w:color w:val="000000"/>
          <w:lang w:val="en-US" w:eastAsia="ja-JP"/>
        </w:rPr>
        <w:t xml:space="preserve"> to nearly 0 °C within a day, requiring </w:t>
      </w:r>
      <w:r w:rsidR="00D94074" w:rsidRPr="00A4272B">
        <w:rPr>
          <w:color w:val="000000"/>
          <w:lang w:val="en-US" w:eastAsia="ja-JP"/>
        </w:rPr>
        <w:t xml:space="preserve">the </w:t>
      </w:r>
      <w:r w:rsidRPr="00A4272B">
        <w:rPr>
          <w:color w:val="000000"/>
          <w:lang w:val="en-US" w:eastAsia="ja-JP"/>
        </w:rPr>
        <w:t xml:space="preserve">daily addition of dry ice to keep samples frozen. This highlights the importance of </w:t>
      </w:r>
      <w:r w:rsidR="00D94074" w:rsidRPr="00A4272B">
        <w:rPr>
          <w:color w:val="000000"/>
          <w:lang w:val="en-US" w:eastAsia="ja-JP"/>
        </w:rPr>
        <w:t xml:space="preserve">robust </w:t>
      </w:r>
      <w:r w:rsidRPr="00A4272B">
        <w:rPr>
          <w:color w:val="000000"/>
          <w:lang w:val="en-US" w:eastAsia="ja-JP"/>
        </w:rPr>
        <w:t>emergency protocols to protect specimens during rare but potentially devastating events.</w:t>
      </w:r>
    </w:p>
    <w:p w14:paraId="5243DF30" w14:textId="77777777" w:rsidR="008608A3" w:rsidRPr="00A4272B" w:rsidRDefault="008608A3" w:rsidP="008608A3">
      <w:pPr>
        <w:autoSpaceDE w:val="0"/>
        <w:autoSpaceDN w:val="0"/>
        <w:adjustRightInd w:val="0"/>
        <w:spacing w:before="120"/>
        <w:rPr>
          <w:color w:val="000000"/>
          <w:lang w:val="en-US" w:eastAsia="ja-JP"/>
        </w:rPr>
      </w:pPr>
      <w:r w:rsidRPr="00A4272B">
        <w:rPr>
          <w:color w:val="000000"/>
          <w:lang w:val="en-US" w:eastAsia="ja-JP"/>
        </w:rPr>
        <w:t>It should be noted that sample storage for chemical analysis, as discussed in this chapter, differs from the storage of cells or genetic material for medical or livestock applications, where cell viability, rather than chemical integrity, is the primary concern.</w:t>
      </w:r>
    </w:p>
    <w:p w14:paraId="612B75BA" w14:textId="5D8D9C41" w:rsidR="00F3536C" w:rsidRPr="00A4272B" w:rsidRDefault="001F665D" w:rsidP="00817D9F">
      <w:pPr>
        <w:pStyle w:val="Heading3"/>
        <w:rPr>
          <w:rFonts w:hint="eastAsia"/>
        </w:rPr>
      </w:pPr>
      <w:bookmarkStart w:id="739" w:name="_Toc535584433"/>
      <w:bookmarkStart w:id="740" w:name="_Toc531724"/>
      <w:bookmarkStart w:id="741" w:name="_Toc532244"/>
      <w:bookmarkStart w:id="742" w:name="_Toc532457"/>
      <w:bookmarkStart w:id="743" w:name="_Toc1467948"/>
      <w:bookmarkStart w:id="744" w:name="_Toc1468121"/>
      <w:bookmarkStart w:id="745" w:name="_Toc1484005"/>
      <w:bookmarkStart w:id="746" w:name="_Toc65306549"/>
      <w:bookmarkStart w:id="747" w:name="_Toc187270540"/>
      <w:r w:rsidRPr="00A4272B">
        <w:t>8</w:t>
      </w:r>
      <w:r w:rsidR="00F3536C" w:rsidRPr="00A4272B">
        <w:t>.2.4</w:t>
      </w:r>
      <w:r w:rsidR="00C61730" w:rsidRPr="00A4272B">
        <w:tab/>
      </w:r>
      <w:r w:rsidR="00F3536C" w:rsidRPr="00A4272B">
        <w:t>Facility requirement</w:t>
      </w:r>
      <w:bookmarkEnd w:id="739"/>
      <w:bookmarkEnd w:id="740"/>
      <w:bookmarkEnd w:id="741"/>
      <w:bookmarkEnd w:id="742"/>
      <w:bookmarkEnd w:id="743"/>
      <w:bookmarkEnd w:id="744"/>
      <w:bookmarkEnd w:id="745"/>
      <w:bookmarkEnd w:id="746"/>
      <w:bookmarkEnd w:id="747"/>
    </w:p>
    <w:p w14:paraId="519C435C" w14:textId="77777777" w:rsidR="00BE21A1" w:rsidRPr="00A4272B" w:rsidRDefault="00BE21A1" w:rsidP="00BE21A1">
      <w:pPr>
        <w:autoSpaceDE w:val="0"/>
        <w:autoSpaceDN w:val="0"/>
        <w:adjustRightInd w:val="0"/>
        <w:rPr>
          <w:color w:val="000000"/>
          <w:lang w:val="en-US" w:eastAsia="ja-JP"/>
        </w:rPr>
      </w:pPr>
      <w:r w:rsidRPr="00A4272B">
        <w:rPr>
          <w:color w:val="000000"/>
          <w:lang w:val="en-US" w:eastAsia="ja-JP"/>
        </w:rPr>
        <w:t>Environmental specimen banks typically consist of a low-temperature storage facility, sample processing area, analysis room, and a data storage and analysis center. To ensure the secure, long-term preservation of valuable samples, it is crucial to include backup systems, such as an extra storage facility, backup power generator, or a CO₂/liquid nitrogen (LN2) supply for temporary power outages. The size and temperature range of the storage facility can vary greatly, from a few freezers to multiple large cold rooms or liquid nitrogen freezers, depending on the type and quantity of samples being stored and available resources. Even a modest setup with just a few freezers can be highly effective, particularly for human biomonitoring activities where limited yet valuable samples, such as breast milk or blood, are collected.</w:t>
      </w:r>
    </w:p>
    <w:p w14:paraId="72D1080C" w14:textId="77777777" w:rsidR="00BE21A1" w:rsidRPr="00A4272B" w:rsidRDefault="00BE21A1" w:rsidP="00BE21A1">
      <w:pPr>
        <w:autoSpaceDE w:val="0"/>
        <w:autoSpaceDN w:val="0"/>
        <w:adjustRightInd w:val="0"/>
        <w:rPr>
          <w:color w:val="000000"/>
          <w:lang w:val="en-US" w:eastAsia="ja-JP"/>
        </w:rPr>
      </w:pPr>
      <w:r w:rsidRPr="00A4272B">
        <w:rPr>
          <w:color w:val="000000"/>
          <w:lang w:val="en-US" w:eastAsia="ja-JP"/>
        </w:rPr>
        <w:t>Repeated thawing and re-freezing can damage samples and alter their chemical composition (Zheng et al., 2002). To mitigate this, samples should be stored in small aliquots to preserve multiple opportunities for retrospective analysis as technology advances and requires smaller amounts of material.</w:t>
      </w:r>
    </w:p>
    <w:p w14:paraId="582E9637" w14:textId="77777777" w:rsidR="00BE21A1" w:rsidRPr="00A4272B" w:rsidRDefault="00BE21A1" w:rsidP="00BE21A1">
      <w:pPr>
        <w:autoSpaceDE w:val="0"/>
        <w:autoSpaceDN w:val="0"/>
        <w:adjustRightInd w:val="0"/>
        <w:rPr>
          <w:color w:val="000000"/>
          <w:lang w:val="en-US" w:eastAsia="ja-JP"/>
        </w:rPr>
      </w:pPr>
      <w:r w:rsidRPr="00A4272B">
        <w:rPr>
          <w:color w:val="000000"/>
          <w:lang w:val="en-US" w:eastAsia="ja-JP"/>
        </w:rPr>
        <w:lastRenderedPageBreak/>
        <w:t>Having an on-site sample analysis capability alongside storage and processing facilities is recommended to verify sample homogeneity, assess the “cleanliness” of the facility, and ensure contamination-free handling during collection, transport, processing, and archiving. Homogeneity can be verified through chemical analysis, evaluating consistency both within a single container and across multiple containers by analyzing various elements, including trace ones. For process control, laser-diffraction particle size analysis can be used to assess particle size distribution and homogeneity during processing. Alternatively, storing individual organisms or tissues without homogenization preserves valuable information for future retrospective analysis.</w:t>
      </w:r>
    </w:p>
    <w:p w14:paraId="0E459E84" w14:textId="4119C7BD" w:rsidR="00BE21A1" w:rsidRPr="00A4272B" w:rsidRDefault="00BE21A1" w:rsidP="00BE21A1">
      <w:pPr>
        <w:autoSpaceDE w:val="0"/>
        <w:autoSpaceDN w:val="0"/>
        <w:adjustRightInd w:val="0"/>
        <w:rPr>
          <w:color w:val="000000"/>
          <w:lang w:val="en-US" w:eastAsia="ja-JP"/>
        </w:rPr>
      </w:pPr>
      <w:r w:rsidRPr="00A4272B">
        <w:rPr>
          <w:color w:val="000000"/>
          <w:lang w:val="en-US" w:eastAsia="ja-JP"/>
        </w:rPr>
        <w:t>Contamination control is essential for reliable environmental and human monitoring, particularly for compounds such as surfactants (including PFAS</w:t>
      </w:r>
      <w:r w:rsidR="00526070" w:rsidRPr="00A4272B">
        <w:rPr>
          <w:color w:val="000000"/>
          <w:lang w:val="en-US" w:eastAsia="ja-JP"/>
        </w:rPr>
        <w:t>s</w:t>
      </w:r>
      <w:r w:rsidRPr="00A4272B">
        <w:rPr>
          <w:color w:val="000000"/>
          <w:lang w:val="en-US" w:eastAsia="ja-JP"/>
        </w:rPr>
        <w:t>), flame retardants, and other industrial chemicals commonly used in consumer products and laboratory environments. Contamination can occur at any stage—sampling, transport, or processing—before long-term storage. Regular monitoring of these processes helps prevent contamination and ensures the reliability of future analyses. Potential contaminants include elements like alkali metals, boron, and arsenic from glassware, perfluoroalkyl carboxylic acids from fluoropolymer products, and additives like bisphenol A, phthalates, alkylphenol ethoxylates, polybrominated diphenyl ethers, chlorinated paraffins, organophosphorus compounds, and antimony from plasticware, furniture, and building materials.</w:t>
      </w:r>
    </w:p>
    <w:p w14:paraId="1FDEDBF6" w14:textId="69E81F76" w:rsidR="00BE21A1" w:rsidRPr="00A4272B" w:rsidRDefault="00BE21A1" w:rsidP="00BE21A1">
      <w:pPr>
        <w:autoSpaceDE w:val="0"/>
        <w:autoSpaceDN w:val="0"/>
        <w:adjustRightInd w:val="0"/>
        <w:rPr>
          <w:color w:val="000000"/>
          <w:lang w:val="en-US" w:eastAsia="ja-JP"/>
        </w:rPr>
      </w:pPr>
      <w:r w:rsidRPr="00A4272B">
        <w:rPr>
          <w:color w:val="000000"/>
          <w:lang w:val="en-US" w:eastAsia="ja-JP"/>
        </w:rPr>
        <w:t xml:space="preserve">To track contamination, it is advisable to store and periodically analyze “blank” samples (e.g., purified water) alongside environmental samples. This practice ensures that any chemicals detected in future analyses are inherent to the sample and </w:t>
      </w:r>
      <w:r w:rsidR="0027572A" w:rsidRPr="00A4272B">
        <w:rPr>
          <w:color w:val="000000"/>
          <w:lang w:val="en-US" w:eastAsia="ja-JP"/>
        </w:rPr>
        <w:t>are not</w:t>
      </w:r>
      <w:r w:rsidRPr="00A4272B">
        <w:rPr>
          <w:color w:val="000000"/>
          <w:lang w:val="en-US" w:eastAsia="ja-JP"/>
        </w:rPr>
        <w:t xml:space="preserve"> introduced during handling (Karube et al., 2015). Some specimen banks also use passive samplers within the storage and processing rooms to monitor ambient contamination, storing these samples alongside the primary specimens for comparison.</w:t>
      </w:r>
    </w:p>
    <w:p w14:paraId="5973DEC9" w14:textId="334ED156" w:rsidR="00F3536C" w:rsidRPr="00A4272B" w:rsidRDefault="001F665D" w:rsidP="00817D9F">
      <w:pPr>
        <w:pStyle w:val="Heading3"/>
        <w:rPr>
          <w:rFonts w:hint="eastAsia"/>
        </w:rPr>
      </w:pPr>
      <w:bookmarkStart w:id="748" w:name="_Toc535584434"/>
      <w:bookmarkStart w:id="749" w:name="_Toc531725"/>
      <w:bookmarkStart w:id="750" w:name="_Toc532245"/>
      <w:bookmarkStart w:id="751" w:name="_Toc532458"/>
      <w:bookmarkStart w:id="752" w:name="_Toc1467949"/>
      <w:bookmarkStart w:id="753" w:name="_Toc1468122"/>
      <w:bookmarkStart w:id="754" w:name="_Toc1484006"/>
      <w:bookmarkStart w:id="755" w:name="_Toc65306550"/>
      <w:bookmarkStart w:id="756" w:name="_Toc187270541"/>
      <w:r w:rsidRPr="00A4272B">
        <w:t>8</w:t>
      </w:r>
      <w:r w:rsidR="00F3536C" w:rsidRPr="00A4272B">
        <w:t>.2.5</w:t>
      </w:r>
      <w:r w:rsidR="00C61730" w:rsidRPr="00A4272B">
        <w:tab/>
      </w:r>
      <w:r w:rsidR="00F3536C" w:rsidRPr="00A4272B">
        <w:t>Administrative system</w:t>
      </w:r>
      <w:bookmarkEnd w:id="748"/>
      <w:bookmarkEnd w:id="749"/>
      <w:bookmarkEnd w:id="750"/>
      <w:bookmarkEnd w:id="751"/>
      <w:bookmarkEnd w:id="752"/>
      <w:bookmarkEnd w:id="753"/>
      <w:bookmarkEnd w:id="754"/>
      <w:bookmarkEnd w:id="755"/>
      <w:bookmarkEnd w:id="756"/>
    </w:p>
    <w:p w14:paraId="29E7A7A9" w14:textId="77777777" w:rsidR="00BE21A1" w:rsidRPr="00A4272B" w:rsidRDefault="00BE21A1" w:rsidP="00BE21A1">
      <w:pPr>
        <w:autoSpaceDE w:val="0"/>
        <w:autoSpaceDN w:val="0"/>
        <w:adjustRightInd w:val="0"/>
        <w:rPr>
          <w:color w:val="000000"/>
          <w:lang w:val="en-US" w:eastAsia="ja-JP"/>
        </w:rPr>
      </w:pPr>
      <w:r w:rsidRPr="00A4272B">
        <w:rPr>
          <w:color w:val="000000"/>
          <w:lang w:val="en-US" w:eastAsia="ja-JP"/>
        </w:rPr>
        <w:t>A team with diverse roles is essential for the effective operation of specimen bank activities. These roles may include sample collection/receipt, sample processing, verification of sample homogeneity and other properties, management and maintenance of storage equipment (and analytical laboratories), data management, and database maintenance, along with supervisory and managerial roles overseeing the entire operation. This work requires collaboration among individuals from various professional backgrounds. Often, specimen banking is conducted alongside systematic, long-term environmental monitoring; in such cases, support and guidance from professionals in related fields, such as analytical chemists, atmospheric chemists, biologists, and medical doctors, can greatly enhance the bank's operations.</w:t>
      </w:r>
    </w:p>
    <w:p w14:paraId="42FD9528" w14:textId="25EE0438" w:rsidR="00F3536C" w:rsidRPr="00A4272B" w:rsidRDefault="00BE21A1" w:rsidP="0098016E">
      <w:pPr>
        <w:autoSpaceDE w:val="0"/>
        <w:autoSpaceDN w:val="0"/>
        <w:adjustRightInd w:val="0"/>
        <w:rPr>
          <w:color w:val="000000"/>
          <w:lang w:val="en-US" w:eastAsia="ja-JP"/>
        </w:rPr>
      </w:pPr>
      <w:r w:rsidRPr="00A4272B">
        <w:rPr>
          <w:color w:val="000000"/>
          <w:lang w:val="en-US" w:eastAsia="ja-JP"/>
        </w:rPr>
        <w:t>A robust sample tracking and data management system is also necessary. For small-scale banks, a manual record may suffice, especially when using a single freezer for pooled human samples. However, larger facilities housing multiple long-term environmental monitoring samples may benefit from more sophisticated systems, such as barcode tracking combined with PC-based software, to facilitate identification, tracking, and record-keeping. The level of complexity in the tracking system should align with the scale of the bank, but key factors for sustainability include transparency, security, and robustness. Additionally, maintaining and updating analytical data of archived samples over time is crucial for the ongoing value and integrity of the program.</w:t>
      </w:r>
    </w:p>
    <w:p w14:paraId="154FEA50" w14:textId="2CA6E4D0" w:rsidR="00F3536C" w:rsidRPr="00A4272B" w:rsidRDefault="001F665D" w:rsidP="00817D9F">
      <w:pPr>
        <w:pStyle w:val="Heading3"/>
        <w:rPr>
          <w:rFonts w:hint="eastAsia"/>
        </w:rPr>
      </w:pPr>
      <w:bookmarkStart w:id="757" w:name="_Toc535584435"/>
      <w:bookmarkStart w:id="758" w:name="_Toc531726"/>
      <w:bookmarkStart w:id="759" w:name="_Toc532246"/>
      <w:bookmarkStart w:id="760" w:name="_Toc532459"/>
      <w:bookmarkStart w:id="761" w:name="_Toc1467950"/>
      <w:bookmarkStart w:id="762" w:name="_Toc1468123"/>
      <w:bookmarkStart w:id="763" w:name="_Toc1484007"/>
      <w:bookmarkStart w:id="764" w:name="_Toc65306551"/>
      <w:bookmarkStart w:id="765" w:name="_Toc187270542"/>
      <w:r w:rsidRPr="00A4272B">
        <w:t>8</w:t>
      </w:r>
      <w:r w:rsidR="00F3536C" w:rsidRPr="00A4272B">
        <w:t>.2.6</w:t>
      </w:r>
      <w:r w:rsidR="00C61730" w:rsidRPr="00A4272B">
        <w:tab/>
      </w:r>
      <w:r w:rsidR="00F3536C" w:rsidRPr="00A4272B">
        <w:t>Safety caution and training</w:t>
      </w:r>
      <w:bookmarkEnd w:id="757"/>
      <w:bookmarkEnd w:id="758"/>
      <w:bookmarkEnd w:id="759"/>
      <w:bookmarkEnd w:id="760"/>
      <w:bookmarkEnd w:id="761"/>
      <w:bookmarkEnd w:id="762"/>
      <w:bookmarkEnd w:id="763"/>
      <w:bookmarkEnd w:id="764"/>
      <w:bookmarkEnd w:id="765"/>
    </w:p>
    <w:p w14:paraId="2B803534" w14:textId="77777777" w:rsidR="00BE21A1" w:rsidRPr="00A4272B" w:rsidRDefault="00BE21A1" w:rsidP="00BE21A1">
      <w:pPr>
        <w:autoSpaceDE w:val="0"/>
        <w:autoSpaceDN w:val="0"/>
        <w:adjustRightInd w:val="0"/>
        <w:rPr>
          <w:color w:val="000000"/>
          <w:lang w:val="en-US" w:eastAsia="ja-JP"/>
        </w:rPr>
      </w:pPr>
      <w:r w:rsidRPr="00A4272B">
        <w:rPr>
          <w:color w:val="000000"/>
          <w:lang w:val="en-US" w:eastAsia="ja-JP"/>
        </w:rPr>
        <w:t>Homogenization typically requires mechanical systems that can pose risks of accidental injury. The use of dry ice or liquid nitrogen for sample freezing or cryo-homogenization may lead to frostbite if they come into direct contact with skin or other body parts. Additionally, these materials should not be used or stored in closed or poorly ventilated rooms for extended periods, as they release CO₂ or N₂, which can lead to suffocation. Dry ice should never be kept in a cold room.</w:t>
      </w:r>
    </w:p>
    <w:p w14:paraId="7085CF2C" w14:textId="038E28DB" w:rsidR="00BE21A1" w:rsidRPr="00A4272B" w:rsidRDefault="00BE21A1" w:rsidP="00BE21A1">
      <w:pPr>
        <w:autoSpaceDE w:val="0"/>
        <w:autoSpaceDN w:val="0"/>
        <w:adjustRightInd w:val="0"/>
        <w:rPr>
          <w:color w:val="000000"/>
          <w:lang w:val="en-US" w:eastAsia="ja-JP"/>
        </w:rPr>
      </w:pPr>
      <w:r w:rsidRPr="00A4272B">
        <w:rPr>
          <w:color w:val="000000"/>
          <w:lang w:val="en-US" w:eastAsia="ja-JP"/>
        </w:rPr>
        <w:t xml:space="preserve">Ensuring good ventilation is crucial, and an oxygen sensor-alarm system is recommended for cold rooms or sample processing areas where significant CO₂ or N₂ emissions are expected. Direct contact with frozen samples, containers, walls, or shelves with bare skin should be avoided. Touching cold surfaces with wet skin can freeze the moisture, causing the skin to adhere and potentially result in severe damage. Hazardous chemicals, such as strong acids, methanol, and other toxic or flammable organic solvents, may be regularly used, so established handling procedures must be followed. Regular training and health checks for personnel should be conducted to prevent accidents and ensure </w:t>
      </w:r>
      <w:r w:rsidR="002A6D39" w:rsidRPr="00A4272B">
        <w:rPr>
          <w:color w:val="000000"/>
          <w:lang w:val="en-US" w:eastAsia="ja-JP"/>
        </w:rPr>
        <w:t xml:space="preserve">programme </w:t>
      </w:r>
      <w:r w:rsidRPr="00A4272B">
        <w:rPr>
          <w:color w:val="000000"/>
          <w:lang w:val="en-US" w:eastAsia="ja-JP"/>
        </w:rPr>
        <w:t>sustainability.</w:t>
      </w:r>
    </w:p>
    <w:p w14:paraId="5869CF88" w14:textId="77777777" w:rsidR="00BE21A1" w:rsidRPr="00A4272B" w:rsidRDefault="00BE21A1" w:rsidP="00BE21A1">
      <w:pPr>
        <w:autoSpaceDE w:val="0"/>
        <w:autoSpaceDN w:val="0"/>
        <w:adjustRightInd w:val="0"/>
        <w:rPr>
          <w:color w:val="000000"/>
          <w:lang w:val="en-US" w:eastAsia="ja-JP"/>
        </w:rPr>
      </w:pPr>
      <w:r w:rsidRPr="00A4272B">
        <w:rPr>
          <w:color w:val="000000"/>
          <w:lang w:val="en-US" w:eastAsia="ja-JP"/>
        </w:rPr>
        <w:t>Preventing accidental contamination of samples during processing is essential. Clean gloves and clothing should be worn to reduce contamination risks and enhance safety. However, these materials may introduce certain chemicals, such as plasticizers in polyvinyl chloride gloves or residues from detergents used to clean labware, which should be monitored carefully.</w:t>
      </w:r>
    </w:p>
    <w:p w14:paraId="6E4B7AAE" w14:textId="77777777" w:rsidR="00BE21A1" w:rsidRPr="00A4272B" w:rsidRDefault="00BE21A1" w:rsidP="00BE21A1">
      <w:pPr>
        <w:autoSpaceDE w:val="0"/>
        <w:autoSpaceDN w:val="0"/>
        <w:adjustRightInd w:val="0"/>
        <w:rPr>
          <w:color w:val="000000"/>
          <w:lang w:val="en-US" w:eastAsia="ja-JP"/>
        </w:rPr>
      </w:pPr>
      <w:r w:rsidRPr="00A4272B">
        <w:rPr>
          <w:color w:val="000000"/>
          <w:lang w:val="en-US" w:eastAsia="ja-JP"/>
        </w:rPr>
        <w:t xml:space="preserve">Human samples—such as blood, serum, plasma, breast milk, and urine—may contain pathogenic microbes, like viruses or bacteria, and should be handled carefully to prevent accidental infection. It’s important to recognize that preserving human </w:t>
      </w:r>
      <w:r w:rsidRPr="00A4272B">
        <w:rPr>
          <w:color w:val="000000"/>
          <w:lang w:val="en-US" w:eastAsia="ja-JP"/>
        </w:rPr>
        <w:lastRenderedPageBreak/>
        <w:t>or environmental samples (e.g., wildlife or sediments) might inadvertently store pathogens, posing potential biohazards. Therefore, biohazard protocols for the collection, handling, processing, and storage of specimens are essential to minimize exposure risks. For example, a deceased endangered bird might provide rare data on pollution levels but may also carry dangerous pathogens, like avian influenza. While cryo-homogenization and storage can halt microbial growth, they do not necessarily eliminate pathogens. Disinfection practices, such as using UV light or antimicrobial agents, may help maintain a clean environment, and aqueous ethanol can be a convenient alternative for this purpose. Certain biobanks that archive human samples may need to follow national biosafety regulations.</w:t>
      </w:r>
    </w:p>
    <w:p w14:paraId="18D1EDA2" w14:textId="62AC22CC" w:rsidR="00F3536C" w:rsidRPr="00A4272B" w:rsidRDefault="00BE21A1" w:rsidP="0098016E">
      <w:pPr>
        <w:autoSpaceDE w:val="0"/>
        <w:autoSpaceDN w:val="0"/>
        <w:adjustRightInd w:val="0"/>
        <w:rPr>
          <w:color w:val="000000"/>
          <w:lang w:val="en-US" w:eastAsia="ja-JP"/>
        </w:rPr>
      </w:pPr>
      <w:r w:rsidRPr="00A4272B">
        <w:rPr>
          <w:color w:val="000000"/>
          <w:lang w:val="en-US" w:eastAsia="ja-JP"/>
        </w:rPr>
        <w:t xml:space="preserve">With these precautions in place, properly managed specimen banks can provide valuable insights into pollution history </w:t>
      </w:r>
      <w:r w:rsidR="0027572A" w:rsidRPr="00A4272B">
        <w:rPr>
          <w:color w:val="000000"/>
          <w:lang w:val="en-US" w:eastAsia="ja-JP"/>
        </w:rPr>
        <w:t>and</w:t>
      </w:r>
      <w:r w:rsidRPr="00A4272B">
        <w:rPr>
          <w:color w:val="000000"/>
          <w:lang w:val="en-US" w:eastAsia="ja-JP"/>
        </w:rPr>
        <w:t xml:space="preserve"> inform other research areas, including tracking disease spread in human or wildlife populations</w:t>
      </w:r>
      <w:r w:rsidR="00F3536C" w:rsidRPr="00A4272B">
        <w:rPr>
          <w:color w:val="000000"/>
          <w:lang w:val="en-US" w:eastAsia="ja-JP"/>
        </w:rPr>
        <w:t>.</w:t>
      </w:r>
    </w:p>
    <w:p w14:paraId="48961D5E" w14:textId="619FF3D5" w:rsidR="00F3536C" w:rsidRPr="00A4272B" w:rsidRDefault="001F665D" w:rsidP="00817D9F">
      <w:pPr>
        <w:pStyle w:val="Heading3"/>
        <w:rPr>
          <w:rFonts w:hint="eastAsia"/>
        </w:rPr>
      </w:pPr>
      <w:bookmarkStart w:id="766" w:name="_Toc535584436"/>
      <w:bookmarkStart w:id="767" w:name="_Toc531727"/>
      <w:bookmarkStart w:id="768" w:name="_Toc532247"/>
      <w:bookmarkStart w:id="769" w:name="_Toc532460"/>
      <w:bookmarkStart w:id="770" w:name="_Toc1467951"/>
      <w:bookmarkStart w:id="771" w:name="_Toc1468124"/>
      <w:bookmarkStart w:id="772" w:name="_Toc1484008"/>
      <w:bookmarkStart w:id="773" w:name="_Toc65306552"/>
      <w:bookmarkStart w:id="774" w:name="_Toc187270543"/>
      <w:r w:rsidRPr="00A4272B">
        <w:t>8</w:t>
      </w:r>
      <w:r w:rsidR="00F3536C" w:rsidRPr="00A4272B">
        <w:t>.2.7</w:t>
      </w:r>
      <w:r w:rsidR="00C61730" w:rsidRPr="00A4272B">
        <w:tab/>
      </w:r>
      <w:r w:rsidR="00F3536C" w:rsidRPr="00A4272B">
        <w:t>Sample access / discarding policy</w:t>
      </w:r>
      <w:bookmarkEnd w:id="766"/>
      <w:bookmarkEnd w:id="767"/>
      <w:bookmarkEnd w:id="768"/>
      <w:bookmarkEnd w:id="769"/>
      <w:bookmarkEnd w:id="770"/>
      <w:bookmarkEnd w:id="771"/>
      <w:bookmarkEnd w:id="772"/>
      <w:bookmarkEnd w:id="773"/>
      <w:bookmarkEnd w:id="774"/>
    </w:p>
    <w:p w14:paraId="2B7AD237" w14:textId="77777777" w:rsidR="00BE21A1" w:rsidRPr="00A4272B" w:rsidRDefault="00BE21A1" w:rsidP="00BE21A1">
      <w:pPr>
        <w:autoSpaceDE w:val="0"/>
        <w:autoSpaceDN w:val="0"/>
        <w:adjustRightInd w:val="0"/>
        <w:rPr>
          <w:color w:val="000000"/>
          <w:lang w:val="en-US" w:eastAsia="ja-JP"/>
        </w:rPr>
      </w:pPr>
      <w:r w:rsidRPr="00A4272B">
        <w:rPr>
          <w:color w:val="000000"/>
          <w:lang w:val="en-US" w:eastAsia="ja-JP"/>
        </w:rPr>
        <w:t>An important aspect of operating a specimen bank is establishing a sample access policy and defining the retention period for samples, which involves setting a sample discarding policy. Given the limited quantity of samples, their use for research projects must be carefully evaluated. At the same time, due to the constraints on storage capacity and the high costs associated with long-term storage, it is essential to minimize the stored amount wherever feasible.</w:t>
      </w:r>
    </w:p>
    <w:p w14:paraId="41F17DDC" w14:textId="34CA1044" w:rsidR="00F3536C" w:rsidRPr="00A4272B" w:rsidRDefault="00BE21A1" w:rsidP="0098016E">
      <w:pPr>
        <w:autoSpaceDE w:val="0"/>
        <w:autoSpaceDN w:val="0"/>
        <w:adjustRightInd w:val="0"/>
        <w:rPr>
          <w:color w:val="000000"/>
          <w:lang w:val="en-US" w:eastAsia="ja-JP"/>
        </w:rPr>
      </w:pPr>
      <w:r w:rsidRPr="00A4272B">
        <w:rPr>
          <w:color w:val="000000"/>
          <w:lang w:val="en-US" w:eastAsia="ja-JP"/>
        </w:rPr>
        <w:t>Prioritizing stored samples is crucial, with factors to consider including the purpose of storage, the quantity of samples, the intended storage duration, the quality and detail of accompanying information, and the integrity of the samples themselves. Many banks have established access policies that allow external researchers to request samples for analyzing a variety of pollutants, adding valuable analytical data to the sample archive. For human samples, ethical considerations are also critical in setting access and discarding policies to ensure responsible use and handling.</w:t>
      </w:r>
    </w:p>
    <w:p w14:paraId="68762B2C" w14:textId="2D92E3FA" w:rsidR="00F3536C" w:rsidRPr="00A4272B" w:rsidRDefault="001F665D" w:rsidP="00817D9F">
      <w:pPr>
        <w:pStyle w:val="Heading3"/>
        <w:rPr>
          <w:rFonts w:hint="eastAsia"/>
        </w:rPr>
      </w:pPr>
      <w:bookmarkStart w:id="775" w:name="_Toc535584437"/>
      <w:bookmarkStart w:id="776" w:name="_Toc531728"/>
      <w:bookmarkStart w:id="777" w:name="_Toc532248"/>
      <w:bookmarkStart w:id="778" w:name="_Toc532461"/>
      <w:bookmarkStart w:id="779" w:name="_Toc1467952"/>
      <w:bookmarkStart w:id="780" w:name="_Toc1468125"/>
      <w:bookmarkStart w:id="781" w:name="_Toc1484009"/>
      <w:bookmarkStart w:id="782" w:name="_Toc65306553"/>
      <w:bookmarkStart w:id="783" w:name="_Toc187270544"/>
      <w:r w:rsidRPr="00A4272B">
        <w:t>8</w:t>
      </w:r>
      <w:r w:rsidR="00F3536C" w:rsidRPr="00A4272B">
        <w:t>.2.8</w:t>
      </w:r>
      <w:r w:rsidR="00C61730" w:rsidRPr="00A4272B">
        <w:tab/>
      </w:r>
      <w:r w:rsidR="00F3536C" w:rsidRPr="00A4272B">
        <w:t>Guideline, banuals and standard operational procedures</w:t>
      </w:r>
      <w:bookmarkEnd w:id="775"/>
      <w:bookmarkEnd w:id="776"/>
      <w:bookmarkEnd w:id="777"/>
      <w:bookmarkEnd w:id="778"/>
      <w:bookmarkEnd w:id="779"/>
      <w:bookmarkEnd w:id="780"/>
      <w:bookmarkEnd w:id="781"/>
      <w:bookmarkEnd w:id="782"/>
      <w:bookmarkEnd w:id="783"/>
    </w:p>
    <w:p w14:paraId="1863376A" w14:textId="2ED876FD" w:rsidR="00F3536C" w:rsidRPr="00A4272B" w:rsidRDefault="00BE21A1" w:rsidP="0098016E">
      <w:pPr>
        <w:autoSpaceDE w:val="0"/>
        <w:autoSpaceDN w:val="0"/>
        <w:adjustRightInd w:val="0"/>
        <w:rPr>
          <w:color w:val="000000"/>
          <w:lang w:val="en-US" w:eastAsia="ja-JP"/>
        </w:rPr>
      </w:pPr>
      <w:r w:rsidRPr="00A4272B">
        <w:rPr>
          <w:color w:val="000000"/>
          <w:lang w:val="en-US" w:eastAsia="ja-JP"/>
        </w:rPr>
        <w:t xml:space="preserve">Many Environmental Specimen Bank facilities have developed Standard Operating Procedures (SOPs) for sampling and storage procedures, with some available online or through other channels. The International Society for Biological and Environmental Repositories (ISBER) serves as a global forum addressing the technical, legal, managerial, and ethical considerations for repositories holding biological and environmental specimens. Through contributions from its members, ISBER has published the 5th edition of </w:t>
      </w:r>
      <w:r w:rsidRPr="00A4272B">
        <w:rPr>
          <w:i/>
          <w:iCs/>
          <w:color w:val="000000"/>
          <w:lang w:val="en-US" w:eastAsia="ja-JP"/>
        </w:rPr>
        <w:t>ISBER Best Practices: Recommendations for Repositories</w:t>
      </w:r>
      <w:r w:rsidRPr="00A4272B">
        <w:rPr>
          <w:color w:val="000000"/>
          <w:lang w:val="en-US" w:eastAsia="ja-JP"/>
        </w:rPr>
        <w:t xml:space="preserve"> (Snapes et al., 2023), which offers practical guidelines and suggested best practices from repository professionals for managing specimen collections and repository facilities</w:t>
      </w:r>
      <w:r w:rsidR="00F3536C" w:rsidRPr="00A4272B">
        <w:rPr>
          <w:color w:val="000000"/>
          <w:lang w:val="en-US" w:eastAsia="ja-JP"/>
        </w:rPr>
        <w:t>.</w:t>
      </w:r>
    </w:p>
    <w:p w14:paraId="31519DB9" w14:textId="11BBC008" w:rsidR="00F3536C" w:rsidRPr="00A4272B" w:rsidRDefault="00912DF2" w:rsidP="00D412B2">
      <w:pPr>
        <w:pStyle w:val="GMPHeading2"/>
        <w:tabs>
          <w:tab w:val="clear" w:pos="360"/>
          <w:tab w:val="clear" w:pos="450"/>
          <w:tab w:val="clear" w:pos="540"/>
          <w:tab w:val="clear" w:pos="630"/>
        </w:tabs>
        <w:rPr>
          <w:rFonts w:hint="eastAsia"/>
        </w:rPr>
      </w:pPr>
      <w:bookmarkStart w:id="784" w:name="_Toc187270545"/>
      <w:r w:rsidRPr="00A4272B">
        <w:t>8.3</w:t>
      </w:r>
      <w:r w:rsidRPr="00A4272B">
        <w:tab/>
      </w:r>
      <w:r w:rsidR="00F3536C" w:rsidRPr="00A4272B">
        <w:t>Sampling and storage</w:t>
      </w:r>
      <w:bookmarkEnd w:id="784"/>
    </w:p>
    <w:p w14:paraId="231C8F3C" w14:textId="0E434CFB" w:rsidR="00F3536C" w:rsidRPr="00A4272B" w:rsidRDefault="00BE21A1" w:rsidP="0098016E">
      <w:pPr>
        <w:autoSpaceDE w:val="0"/>
        <w:autoSpaceDN w:val="0"/>
        <w:adjustRightInd w:val="0"/>
        <w:rPr>
          <w:color w:val="000000"/>
          <w:lang w:val="en-US"/>
        </w:rPr>
      </w:pPr>
      <w:r w:rsidRPr="00A4272B">
        <w:rPr>
          <w:color w:val="000000"/>
          <w:lang w:val="en-US"/>
        </w:rPr>
        <w:t xml:space="preserve">The sampling process should adhere to the guidelines of the Global Monitoring Plan (GMP) under the Stockholm Convention (see Chapter 4). Below is </w:t>
      </w:r>
      <w:r w:rsidR="0027572A" w:rsidRPr="00A4272B">
        <w:rPr>
          <w:color w:val="000000"/>
          <w:lang w:val="en-US"/>
        </w:rPr>
        <w:t>a summary</w:t>
      </w:r>
      <w:r w:rsidRPr="00A4272B">
        <w:rPr>
          <w:color w:val="000000"/>
          <w:lang w:val="en-US"/>
        </w:rPr>
        <w:t xml:space="preserve"> of important considerations regarding the vessels and devices used for sampling, processing, and storage</w:t>
      </w:r>
      <w:r w:rsidR="00F3536C" w:rsidRPr="00A4272B">
        <w:rPr>
          <w:color w:val="000000"/>
          <w:lang w:val="en-US"/>
        </w:rPr>
        <w:t>.</w:t>
      </w:r>
    </w:p>
    <w:p w14:paraId="19AFC026" w14:textId="55896DAF" w:rsidR="00F3536C" w:rsidRPr="00A4272B" w:rsidRDefault="001F665D" w:rsidP="00817D9F">
      <w:pPr>
        <w:pStyle w:val="Heading3"/>
        <w:rPr>
          <w:rFonts w:hint="eastAsia"/>
        </w:rPr>
      </w:pPr>
      <w:bookmarkStart w:id="785" w:name="_Toc535584439"/>
      <w:bookmarkStart w:id="786" w:name="_Toc531730"/>
      <w:bookmarkStart w:id="787" w:name="_Toc532250"/>
      <w:bookmarkStart w:id="788" w:name="_Toc532463"/>
      <w:bookmarkStart w:id="789" w:name="_Toc1467954"/>
      <w:bookmarkStart w:id="790" w:name="_Toc1468127"/>
      <w:bookmarkStart w:id="791" w:name="_Toc1484011"/>
      <w:bookmarkStart w:id="792" w:name="_Toc65306555"/>
      <w:bookmarkStart w:id="793" w:name="_Toc187270546"/>
      <w:r w:rsidRPr="00A4272B">
        <w:t>8</w:t>
      </w:r>
      <w:r w:rsidR="00F3536C" w:rsidRPr="00A4272B">
        <w:t>.3.1</w:t>
      </w:r>
      <w:r w:rsidR="00C61730" w:rsidRPr="00A4272B">
        <w:tab/>
      </w:r>
      <w:r w:rsidR="00F3536C" w:rsidRPr="00A4272B">
        <w:t>Sampling devices</w:t>
      </w:r>
      <w:bookmarkEnd w:id="785"/>
      <w:bookmarkEnd w:id="786"/>
      <w:bookmarkEnd w:id="787"/>
      <w:bookmarkEnd w:id="788"/>
      <w:bookmarkEnd w:id="789"/>
      <w:bookmarkEnd w:id="790"/>
      <w:bookmarkEnd w:id="791"/>
      <w:bookmarkEnd w:id="792"/>
      <w:bookmarkEnd w:id="793"/>
    </w:p>
    <w:p w14:paraId="07923D6F" w14:textId="77777777" w:rsidR="00BE21A1" w:rsidRPr="00A4272B" w:rsidRDefault="00BE21A1" w:rsidP="00BE21A1">
      <w:pPr>
        <w:autoSpaceDE w:val="0"/>
        <w:autoSpaceDN w:val="0"/>
        <w:adjustRightInd w:val="0"/>
        <w:rPr>
          <w:color w:val="000000"/>
          <w:lang w:val="en-US"/>
        </w:rPr>
      </w:pPr>
      <w:r w:rsidRPr="00A4272B">
        <w:rPr>
          <w:color w:val="000000"/>
          <w:lang w:val="en-US"/>
        </w:rPr>
        <w:t>In Environmental Specimen Banking, samples are stored for future analysis of newly emerging chemicals, beyond the current regulatory targets. This requires that the entire process—from sampling to storage—be designed to minimize contamination by any chemicals or elements not currently under consideration. It is also essential to keep detailed records of the sampling, processing, and storage devices, as potential contamination or other biases may arise from these materials. For instance, some blood collection tubes, syringes, and needles are coated with various chemicals, including silicone oils and polymer surfactants, the specific chemical compositions of which are often proprietary and protected by patents (Shibata et al., 2011).</w:t>
      </w:r>
    </w:p>
    <w:p w14:paraId="104B8FD0" w14:textId="77777777" w:rsidR="00BE21A1" w:rsidRPr="00A4272B" w:rsidRDefault="00BE21A1" w:rsidP="00BE21A1">
      <w:pPr>
        <w:autoSpaceDE w:val="0"/>
        <w:autoSpaceDN w:val="0"/>
        <w:adjustRightInd w:val="0"/>
        <w:rPr>
          <w:color w:val="000000"/>
          <w:lang w:val="en-US"/>
        </w:rPr>
      </w:pPr>
      <w:r w:rsidRPr="00A4272B">
        <w:rPr>
          <w:color w:val="000000"/>
          <w:lang w:val="en-US"/>
        </w:rPr>
        <w:t>Contaminants may originate from several sources: some chemicals are derived from base materials (such as plasticizers, flame retardants, or other additives in polyvinyl chloride [PVC] or other plastics); others are intentionally applied (e.g., coating polymers on polyethylene terephthalate [PET] to prevent red blood cell adhesion); and still others may enter during manufacturing (e.g., perfluorinated chemicals used as mold-release agents in plastic ware production). Additionally, elastomers used in syringe stoppers may contain metals like zinc, while serum separators used in centrifugation to separate serum from blood cells contain hydrophobic chemicals known to absorb hydrophobic compounds, including pharmaceuticals (Bowen et al., 2005), and possibly persistent organic pollutants (POPs) as well. Therefore, it is recommended to keep a record of the manufacturer, brand, and type of devices used for sampling and to store unused tubes or syringes alongside samples to allow for better assessment of future analytical data.</w:t>
      </w:r>
    </w:p>
    <w:p w14:paraId="29939ACE" w14:textId="77777777" w:rsidR="00554478" w:rsidRPr="00A4272B" w:rsidRDefault="00554478" w:rsidP="00BE21A1">
      <w:pPr>
        <w:autoSpaceDE w:val="0"/>
        <w:autoSpaceDN w:val="0"/>
        <w:adjustRightInd w:val="0"/>
        <w:rPr>
          <w:color w:val="000000"/>
          <w:lang w:val="en-US"/>
        </w:rPr>
      </w:pPr>
    </w:p>
    <w:p w14:paraId="3DD8D2CA" w14:textId="59743B8D" w:rsidR="00BE21A1" w:rsidRPr="00A4272B" w:rsidRDefault="00554478" w:rsidP="00BE21A1">
      <w:pPr>
        <w:autoSpaceDE w:val="0"/>
        <w:autoSpaceDN w:val="0"/>
        <w:adjustRightInd w:val="0"/>
        <w:rPr>
          <w:color w:val="000000"/>
          <w:lang w:val="en-US"/>
        </w:rPr>
      </w:pPr>
      <w:r w:rsidRPr="00A4272B">
        <w:rPr>
          <w:color w:val="000000"/>
        </w:rPr>
        <w:lastRenderedPageBreak/>
        <w:t>Air and water samples are generally unsuitable for banking due to the large volumes required and the potential instability of trace pollutants, which may adsorb onto container walls during long-term storage</w:t>
      </w:r>
      <w:r w:rsidR="00BE21A1" w:rsidRPr="00A4272B">
        <w:rPr>
          <w:color w:val="000000"/>
          <w:lang w:val="en-US"/>
        </w:rPr>
        <w:t xml:space="preserve">. Nonetheless, some archiving activities exist for these matrices under special cases, such as the Cape Grim Air Archive, where air samples are stored in flasks for the analysis of major, minor, and trace gases, as well as stable volatile organic compounds (VOCs) (O’Doherty et al., 2009). Typically, however, filters, adsorbents, or sample extracts are more appropriate for future retrospective chemical analysis. For example, in Tokyo, quartz fiber filters used to collect monthly airborne particulates have been archived and used to reveal two-decade trends in dioxins (Matsumura et al., 2003) and polycyclic aromatic hydrocarbons (Ezoe et al., 2004) from 1980 onward. Similarly, in the passive air sampling </w:t>
      </w:r>
      <w:r w:rsidR="002A6D39" w:rsidRPr="00A4272B">
        <w:rPr>
          <w:color w:val="000000"/>
          <w:lang w:val="en-US"/>
        </w:rPr>
        <w:t xml:space="preserve">programme </w:t>
      </w:r>
      <w:r w:rsidR="00BE21A1" w:rsidRPr="00A4272B">
        <w:rPr>
          <w:color w:val="000000"/>
          <w:lang w:val="en-US"/>
        </w:rPr>
        <w:t>GAPS, one part of the adsorbent extract is stored in sealed glass ampoules for future analysis. Duplicate sampling and archiving a set of adsorbents may also be a viable approach.</w:t>
      </w:r>
    </w:p>
    <w:p w14:paraId="59901529" w14:textId="7E223909" w:rsidR="00F3536C" w:rsidRPr="00A4272B" w:rsidRDefault="00BE21A1" w:rsidP="0098016E">
      <w:pPr>
        <w:autoSpaceDE w:val="0"/>
        <w:autoSpaceDN w:val="0"/>
        <w:adjustRightInd w:val="0"/>
        <w:rPr>
          <w:color w:val="000000"/>
          <w:lang w:val="en-US"/>
        </w:rPr>
      </w:pPr>
      <w:r w:rsidRPr="00A4272B">
        <w:rPr>
          <w:color w:val="000000"/>
          <w:lang w:val="en-US"/>
        </w:rPr>
        <w:t>Detailed records of sampling dates, storage devices, and materials used should accompany all samples, and filters and adsorbents should be pre-cleaned according to sampling standard operating procedures (SOPs). Additionally, note that even the sampling devices, such as high-volume air samplers, can cause unexpected contamination from materials used in their construction. Common contaminants include perfluorochemicals in fluoropolymer products and flame retardants or their impurities used in plastic or elastomer parts (Takasuga et al., 2012</w:t>
      </w:r>
      <w:r w:rsidR="00F3536C" w:rsidRPr="00A4272B">
        <w:rPr>
          <w:color w:val="000000"/>
          <w:lang w:val="en-US"/>
        </w:rPr>
        <w:t>).</w:t>
      </w:r>
    </w:p>
    <w:p w14:paraId="0788AC66" w14:textId="32BEEF60" w:rsidR="00F3536C" w:rsidRPr="00A4272B" w:rsidRDefault="001F665D" w:rsidP="00817D9F">
      <w:pPr>
        <w:pStyle w:val="Heading3"/>
        <w:rPr>
          <w:rFonts w:hint="eastAsia"/>
        </w:rPr>
      </w:pPr>
      <w:bookmarkStart w:id="794" w:name="_Toc535584440"/>
      <w:bookmarkStart w:id="795" w:name="_Toc531731"/>
      <w:bookmarkStart w:id="796" w:name="_Toc532251"/>
      <w:bookmarkStart w:id="797" w:name="_Toc532464"/>
      <w:bookmarkStart w:id="798" w:name="_Toc1467955"/>
      <w:bookmarkStart w:id="799" w:name="_Toc1468128"/>
      <w:bookmarkStart w:id="800" w:name="_Toc1484012"/>
      <w:bookmarkStart w:id="801" w:name="_Toc65306556"/>
      <w:bookmarkStart w:id="802" w:name="_Toc187270547"/>
      <w:r w:rsidRPr="00A4272B">
        <w:t>8</w:t>
      </w:r>
      <w:r w:rsidR="00F3536C" w:rsidRPr="00A4272B">
        <w:t>.3.2</w:t>
      </w:r>
      <w:r w:rsidR="000C1560" w:rsidRPr="00A4272B">
        <w:tab/>
      </w:r>
      <w:r w:rsidR="00F3536C" w:rsidRPr="00A4272B">
        <w:t>Sample processing and archiving</w:t>
      </w:r>
      <w:bookmarkEnd w:id="794"/>
      <w:bookmarkEnd w:id="795"/>
      <w:bookmarkEnd w:id="796"/>
      <w:bookmarkEnd w:id="797"/>
      <w:bookmarkEnd w:id="798"/>
      <w:bookmarkEnd w:id="799"/>
      <w:bookmarkEnd w:id="800"/>
      <w:bookmarkEnd w:id="801"/>
      <w:bookmarkEnd w:id="802"/>
    </w:p>
    <w:p w14:paraId="3715EC1E" w14:textId="77777777" w:rsidR="00BE21A1" w:rsidRPr="00A4272B" w:rsidRDefault="00BE21A1" w:rsidP="00BE21A1">
      <w:pPr>
        <w:autoSpaceDE w:val="0"/>
        <w:autoSpaceDN w:val="0"/>
        <w:adjustRightInd w:val="0"/>
        <w:rPr>
          <w:color w:val="000000"/>
          <w:lang w:val="en-US"/>
        </w:rPr>
      </w:pPr>
      <w:bookmarkStart w:id="803" w:name="_Toc346702212"/>
      <w:r w:rsidRPr="00A4272B">
        <w:rPr>
          <w:color w:val="000000"/>
          <w:lang w:val="en-US"/>
        </w:rPr>
        <w:t>For human breast milk or blood samples, multiple portions are stored in tubes following a gentle mixing procedure. Sample size is minimized to only what is necessary for one-time analysis of specific chemicals or elements. Statistical approaches help determine the minimum number of individual samples needed to detect temporal trends efficiently (Bignert et al., 2004).</w:t>
      </w:r>
    </w:p>
    <w:p w14:paraId="5F0FFC62" w14:textId="54D2255B" w:rsidR="00BE21A1" w:rsidRPr="00A4272B" w:rsidRDefault="00BE21A1" w:rsidP="00BE21A1">
      <w:pPr>
        <w:autoSpaceDE w:val="0"/>
        <w:autoSpaceDN w:val="0"/>
        <w:adjustRightInd w:val="0"/>
        <w:rPr>
          <w:color w:val="000000"/>
          <w:lang w:val="en-US"/>
        </w:rPr>
      </w:pPr>
      <w:r w:rsidRPr="00A4272B">
        <w:rPr>
          <w:color w:val="000000"/>
          <w:lang w:val="en-US"/>
        </w:rPr>
        <w:t xml:space="preserve">Freezing may lead to the precipitation of certain materials, such as fats, or cause hemolysis, which can affect sample homogeneity at the time of aliquoting. In some cases, banking processes may involve separating sample components, like plasma or sera for organic contaminant analysis, from whole blood for trace element analysis. Ensuring sample homogeneity and minimizing contamination of target chemicals during these processes is critical (see </w:t>
      </w:r>
      <w:r w:rsidR="002A6D39" w:rsidRPr="00A4272B">
        <w:rPr>
          <w:color w:val="000000"/>
          <w:lang w:val="en-US"/>
        </w:rPr>
        <w:t>chapter</w:t>
      </w:r>
      <w:r w:rsidRPr="00A4272B">
        <w:rPr>
          <w:color w:val="000000"/>
          <w:lang w:val="en-US"/>
        </w:rPr>
        <w:t xml:space="preserve"> 8.3.1). Pooled human samples, which represent population-level pollution status, are cost-effective and efficient for storage, although they may lack certain individual-level data advantages (see Chapter 3.5; Bignert et al., 2014).</w:t>
      </w:r>
    </w:p>
    <w:p w14:paraId="0352325E" w14:textId="77777777" w:rsidR="00BE21A1" w:rsidRPr="00A4272B" w:rsidRDefault="00BE21A1" w:rsidP="00BE21A1">
      <w:pPr>
        <w:autoSpaceDE w:val="0"/>
        <w:autoSpaceDN w:val="0"/>
        <w:adjustRightInd w:val="0"/>
        <w:rPr>
          <w:color w:val="000000"/>
          <w:lang w:val="en-US"/>
        </w:rPr>
      </w:pPr>
      <w:r w:rsidRPr="00A4272B">
        <w:rPr>
          <w:color w:val="000000"/>
          <w:lang w:val="en-US"/>
        </w:rPr>
        <w:t>For biological and soil/sediment samples, sample homogeneity is essential to ensure that a small portion can represent the pollution status of the sampled period. Various homogenization techniques, such as mixers, blenders, choppers, crushers, ball mills, rod mills, and cryo-homogenization, are used in Environmental Specimen Banking. Hard materials, like metals or ceramics, are often used for crushing and homogenizing, and fluoropolymers may be used to prevent metal contamination. However, even durable metals like stainless steel or titanium may contribute metal particles to samples during homogenization (Karube et al., 2015). While fluoropolymers reduce metal contamination risk, they may introduce organic contaminants like perfluorooctanoic acid (PFOA) (Lynch et al., 2018).</w:t>
      </w:r>
    </w:p>
    <w:p w14:paraId="0362EFCF" w14:textId="77777777" w:rsidR="00BE21A1" w:rsidRPr="00A4272B" w:rsidRDefault="00BE21A1" w:rsidP="00BE21A1">
      <w:pPr>
        <w:autoSpaceDE w:val="0"/>
        <w:autoSpaceDN w:val="0"/>
        <w:adjustRightInd w:val="0"/>
        <w:rPr>
          <w:color w:val="000000"/>
          <w:lang w:val="en-US"/>
        </w:rPr>
      </w:pPr>
      <w:r w:rsidRPr="00A4272B">
        <w:rPr>
          <w:color w:val="000000"/>
          <w:lang w:val="en-US"/>
        </w:rPr>
        <w:t>Both glass and plastic tubes are commonly used for sample storage and should be thoroughly pre-cleaned. While glass is preferred for organic analysis, its tendency to break when frozen or exposed to rapid temperature changes presents a risk, especially for blood samples. Tightly capped plastic vessels are typically better for long-term storage under –20 °C or lower, where desiccation can be a concern. Glass tubes may use plastic caps with PTFE or fluoropolymer linings, though these materials are unsuitable for analyses involving perfluorinated chemicals. Plastic caps without elastomers, or glass containers with aluminum foil covering the sample and cap interface, can mitigate contamination. Note that nonstick aluminum foil may have organic coatings and trace contaminants; baking foils and glassware before use can help minimize contamination (Rodowa et al., 2020).</w:t>
      </w:r>
    </w:p>
    <w:p w14:paraId="05967966" w14:textId="77777777" w:rsidR="00BE21A1" w:rsidRPr="00A4272B" w:rsidRDefault="00BE21A1" w:rsidP="00BE21A1">
      <w:pPr>
        <w:autoSpaceDE w:val="0"/>
        <w:autoSpaceDN w:val="0"/>
        <w:adjustRightInd w:val="0"/>
        <w:rPr>
          <w:color w:val="000000"/>
          <w:lang w:val="en-US"/>
        </w:rPr>
      </w:pPr>
      <w:r w:rsidRPr="00A4272B">
        <w:rPr>
          <w:color w:val="000000"/>
          <w:lang w:val="en-US"/>
        </w:rPr>
        <w:t>Organic extracts from filters or adsorbents should be stored in amber glass ampoules, sealed with inert gas (e.g., nitrogen or argon). Filters or adsorbents are typically wrapped in baked aluminum foil, placed in polyethylene bags, and stored in freezers for future analysis. Blank (unused) filters archived alongside samples can serve as contamination controls.</w:t>
      </w:r>
    </w:p>
    <w:p w14:paraId="4570113D" w14:textId="1A8C03E5" w:rsidR="00F3536C" w:rsidRPr="00A4272B" w:rsidRDefault="00BE21A1" w:rsidP="0098016E">
      <w:pPr>
        <w:autoSpaceDE w:val="0"/>
        <w:autoSpaceDN w:val="0"/>
        <w:adjustRightInd w:val="0"/>
        <w:rPr>
          <w:color w:val="000000"/>
          <w:lang w:val="en-US"/>
        </w:rPr>
      </w:pPr>
      <w:r w:rsidRPr="00A4272B">
        <w:rPr>
          <w:color w:val="000000"/>
          <w:lang w:val="en-US"/>
        </w:rPr>
        <w:t>For samples with structural information, such as sediment layers, coral cores, or complex biological tissues, homogenization may destroy valuable data, like historical pollution trends or tissue-specific gene expressions. Storing these samples whole or in parts can preserve such information for future analysis</w:t>
      </w:r>
      <w:r w:rsidR="00F3536C" w:rsidRPr="00A4272B">
        <w:rPr>
          <w:color w:val="000000"/>
          <w:lang w:val="en-US"/>
        </w:rPr>
        <w:t>.</w:t>
      </w:r>
      <w:bookmarkEnd w:id="803"/>
      <w:r w:rsidR="00F3536C" w:rsidRPr="00A4272B">
        <w:rPr>
          <w:color w:val="000000"/>
          <w:lang w:val="en-US"/>
        </w:rPr>
        <w:t xml:space="preserve"> </w:t>
      </w:r>
    </w:p>
    <w:p w14:paraId="77523BB5" w14:textId="1D09FFE6" w:rsidR="00F3536C" w:rsidRPr="00A4272B" w:rsidRDefault="001F665D" w:rsidP="00817D9F">
      <w:pPr>
        <w:pStyle w:val="Heading3"/>
        <w:rPr>
          <w:rFonts w:hint="eastAsia"/>
        </w:rPr>
      </w:pPr>
      <w:bookmarkStart w:id="804" w:name="_Toc535584441"/>
      <w:bookmarkStart w:id="805" w:name="_Toc531732"/>
      <w:bookmarkStart w:id="806" w:name="_Toc532252"/>
      <w:bookmarkStart w:id="807" w:name="_Toc532465"/>
      <w:bookmarkStart w:id="808" w:name="_Toc1467956"/>
      <w:bookmarkStart w:id="809" w:name="_Toc1468129"/>
      <w:bookmarkStart w:id="810" w:name="_Toc1484013"/>
      <w:bookmarkStart w:id="811" w:name="_Toc65306557"/>
      <w:bookmarkStart w:id="812" w:name="_Toc187270548"/>
      <w:r w:rsidRPr="00A4272B">
        <w:t>8</w:t>
      </w:r>
      <w:r w:rsidR="00F3536C" w:rsidRPr="00A4272B">
        <w:t>.3.3</w:t>
      </w:r>
      <w:r w:rsidR="000C1560" w:rsidRPr="00A4272B">
        <w:tab/>
      </w:r>
      <w:r w:rsidR="00F3536C" w:rsidRPr="00A4272B">
        <w:t>QA/QC and security</w:t>
      </w:r>
      <w:bookmarkEnd w:id="804"/>
      <w:bookmarkEnd w:id="805"/>
      <w:bookmarkEnd w:id="806"/>
      <w:bookmarkEnd w:id="807"/>
      <w:bookmarkEnd w:id="808"/>
      <w:bookmarkEnd w:id="809"/>
      <w:bookmarkEnd w:id="810"/>
      <w:bookmarkEnd w:id="811"/>
      <w:bookmarkEnd w:id="812"/>
    </w:p>
    <w:p w14:paraId="2D34D733" w14:textId="77777777" w:rsidR="00BE21A1" w:rsidRPr="00A4272B" w:rsidRDefault="00BE21A1" w:rsidP="00BE21A1">
      <w:pPr>
        <w:autoSpaceDE w:val="0"/>
        <w:autoSpaceDN w:val="0"/>
        <w:adjustRightInd w:val="0"/>
        <w:rPr>
          <w:color w:val="000000"/>
          <w:lang w:val="en-US"/>
        </w:rPr>
      </w:pPr>
      <w:bookmarkStart w:id="813" w:name="_Toc346702215"/>
      <w:r w:rsidRPr="00A4272B">
        <w:rPr>
          <w:color w:val="000000"/>
          <w:lang w:val="en-US"/>
        </w:rPr>
        <w:t>Quality Assurance and Quality Control (QA/QC) in Environmental Specimen Banking operates on two levels:</w:t>
      </w:r>
    </w:p>
    <w:p w14:paraId="5F309984" w14:textId="3FB726B7" w:rsidR="00BE21A1" w:rsidRPr="00A4272B" w:rsidRDefault="00BE21A1">
      <w:pPr>
        <w:numPr>
          <w:ilvl w:val="0"/>
          <w:numId w:val="120"/>
        </w:numPr>
        <w:autoSpaceDE w:val="0"/>
        <w:autoSpaceDN w:val="0"/>
        <w:adjustRightInd w:val="0"/>
        <w:rPr>
          <w:color w:val="000000"/>
          <w:lang w:val="en-US"/>
        </w:rPr>
      </w:pPr>
      <w:r w:rsidRPr="00A4272B">
        <w:rPr>
          <w:b/>
          <w:bCs/>
          <w:color w:val="000000"/>
          <w:lang w:val="en-US"/>
        </w:rPr>
        <w:t>Process QA/QC</w:t>
      </w:r>
      <w:r w:rsidRPr="00A4272B">
        <w:rPr>
          <w:color w:val="000000"/>
          <w:lang w:val="en-US"/>
        </w:rPr>
        <w:t>: This involves verifying that the entire workflow—including sampling, sample handling, and storage—adheres strictly to Standard Operating Procedures (SOPs)</w:t>
      </w:r>
      <w:r w:rsidR="003F50B4" w:rsidRPr="00A4272B">
        <w:rPr>
          <w:color w:val="000000"/>
          <w:lang w:val="en-US"/>
        </w:rPr>
        <w:t>;</w:t>
      </w:r>
    </w:p>
    <w:p w14:paraId="667E3C8F" w14:textId="77777777" w:rsidR="00BE21A1" w:rsidRPr="00A4272B" w:rsidRDefault="00BE21A1">
      <w:pPr>
        <w:numPr>
          <w:ilvl w:val="0"/>
          <w:numId w:val="120"/>
        </w:numPr>
        <w:autoSpaceDE w:val="0"/>
        <w:autoSpaceDN w:val="0"/>
        <w:adjustRightInd w:val="0"/>
        <w:rPr>
          <w:color w:val="000000"/>
          <w:lang w:val="en-US"/>
        </w:rPr>
      </w:pPr>
      <w:r w:rsidRPr="00A4272B">
        <w:rPr>
          <w:b/>
          <w:bCs/>
          <w:color w:val="000000"/>
          <w:lang w:val="en-US"/>
        </w:rPr>
        <w:lastRenderedPageBreak/>
        <w:t>Sample Quality QA/QC</w:t>
      </w:r>
      <w:r w:rsidRPr="00A4272B">
        <w:rPr>
          <w:color w:val="000000"/>
          <w:lang w:val="en-US"/>
        </w:rPr>
        <w:t>: This involves periodic analysis of stored samples to ensure their chemical composition remains stable over time.</w:t>
      </w:r>
    </w:p>
    <w:p w14:paraId="13E63176" w14:textId="76E1B99B" w:rsidR="00BE21A1" w:rsidRPr="00A4272B" w:rsidRDefault="00BE21A1" w:rsidP="00BE21A1">
      <w:pPr>
        <w:autoSpaceDE w:val="0"/>
        <w:autoSpaceDN w:val="0"/>
        <w:adjustRightInd w:val="0"/>
        <w:rPr>
          <w:color w:val="000000"/>
          <w:lang w:val="en-US"/>
        </w:rPr>
      </w:pPr>
      <w:r w:rsidRPr="00A4272B">
        <w:rPr>
          <w:color w:val="000000"/>
          <w:lang w:val="en-US"/>
        </w:rPr>
        <w:t xml:space="preserve">Samples should be stored in </w:t>
      </w:r>
      <w:r w:rsidR="0027572A" w:rsidRPr="00A4272B">
        <w:rPr>
          <w:color w:val="000000"/>
          <w:lang w:val="en-US"/>
        </w:rPr>
        <w:t>restricted access</w:t>
      </w:r>
      <w:r w:rsidRPr="00A4272B">
        <w:rPr>
          <w:color w:val="000000"/>
          <w:lang w:val="en-US"/>
        </w:rPr>
        <w:t xml:space="preserve"> areas, accessible only to authorized personnel. Regular staff training is recommended, covering both routine operations and emergency response procedures, such as fire safety.</w:t>
      </w:r>
    </w:p>
    <w:p w14:paraId="536D8D91" w14:textId="290CFACD" w:rsidR="00F3536C" w:rsidRPr="00A4272B" w:rsidRDefault="00BE21A1" w:rsidP="0098016E">
      <w:pPr>
        <w:autoSpaceDE w:val="0"/>
        <w:autoSpaceDN w:val="0"/>
        <w:adjustRightInd w:val="0"/>
        <w:rPr>
          <w:color w:val="000000"/>
          <w:lang w:val="en-US"/>
        </w:rPr>
      </w:pPr>
      <w:r w:rsidRPr="00A4272B">
        <w:rPr>
          <w:color w:val="000000"/>
          <w:lang w:val="en-US"/>
        </w:rPr>
        <w:t>Human samples require special considerations due to ethical concerns and the risk of infection. Strict measures must be taken to protect personal information, including data from questionnaires, genetic material, and DNA. Typically, "anonymization" is necessary: all personal identifiers must be removed or securely separated from the samples. When information is isolated rather than deleted, only trained and authorized personnel, under the guidance of a designated ethics committee, may access it. Pooled human samples—composites of equal portions from multiple individuals—are generally treated as anonymous, as they contain no individual identifiers</w:t>
      </w:r>
      <w:bookmarkEnd w:id="813"/>
      <w:r w:rsidRPr="00A4272B">
        <w:rPr>
          <w:color w:val="000000"/>
          <w:lang w:val="en-US"/>
        </w:rPr>
        <w:t>.</w:t>
      </w:r>
    </w:p>
    <w:p w14:paraId="2CDCCFB0" w14:textId="55209981" w:rsidR="00F3536C" w:rsidRPr="00A4272B" w:rsidRDefault="00DB265D" w:rsidP="0095251A">
      <w:pPr>
        <w:pStyle w:val="GMPHeading2"/>
        <w:tabs>
          <w:tab w:val="clear" w:pos="360"/>
          <w:tab w:val="clear" w:pos="450"/>
          <w:tab w:val="clear" w:pos="540"/>
          <w:tab w:val="clear" w:pos="630"/>
        </w:tabs>
        <w:rPr>
          <w:rFonts w:hint="eastAsia"/>
        </w:rPr>
      </w:pPr>
      <w:bookmarkStart w:id="814" w:name="_Toc187270549"/>
      <w:r w:rsidRPr="00A4272B">
        <w:t>8.4</w:t>
      </w:r>
      <w:r w:rsidRPr="00A4272B">
        <w:tab/>
      </w:r>
      <w:r w:rsidR="00F3536C" w:rsidRPr="00A4272B">
        <w:t>Communicating results to decision-makers, science and public</w:t>
      </w:r>
      <w:bookmarkEnd w:id="814"/>
    </w:p>
    <w:p w14:paraId="2E186EE0" w14:textId="72C707D3" w:rsidR="00F3536C" w:rsidRPr="00A4272B" w:rsidRDefault="00BE21A1" w:rsidP="0098016E">
      <w:pPr>
        <w:autoSpaceDE w:val="0"/>
        <w:autoSpaceDN w:val="0"/>
        <w:adjustRightInd w:val="0"/>
        <w:rPr>
          <w:color w:val="000000"/>
          <w:lang w:val="en-US"/>
        </w:rPr>
      </w:pPr>
      <w:r w:rsidRPr="00A4272B">
        <w:rPr>
          <w:color w:val="000000"/>
          <w:lang w:val="en-US"/>
        </w:rPr>
        <w:t xml:space="preserve">Given the high value of Environmental Specimen Banking for decision-makers and scientists, it is essential to share the results of these activities in a timely and accessible way. Establishing an information system is recommended to keep the scientific community, policymakers, and the </w:t>
      </w:r>
      <w:r w:rsidR="0027572A" w:rsidRPr="00A4272B">
        <w:rPr>
          <w:color w:val="000000"/>
          <w:lang w:val="en-US"/>
        </w:rPr>
        <w:t>public</w:t>
      </w:r>
      <w:r w:rsidRPr="00A4272B">
        <w:rPr>
          <w:color w:val="000000"/>
          <w:lang w:val="en-US"/>
        </w:rPr>
        <w:t xml:space="preserve"> informed about the bank’s objectives, areas of focus, and especially the findings from routine operations and retrospective analyses of pollution trends. For instance, the German Environmental Specimen Bank publishes its complete data set from routine analyses of environmental and human specimens, as well as retrospective trend analyses, through the ESB Information System (</w:t>
      </w:r>
      <w:hyperlink r:id="rId70" w:tgtFrame="_new" w:history="1">
        <w:r w:rsidRPr="00A4272B">
          <w:rPr>
            <w:rStyle w:val="Hyperlink"/>
            <w:lang w:val="en-US"/>
          </w:rPr>
          <w:t>www.umweltprobenbank.de/en</w:t>
        </w:r>
      </w:hyperlink>
      <w:r w:rsidRPr="00A4272B">
        <w:rPr>
          <w:color w:val="000000"/>
          <w:lang w:val="en-US"/>
        </w:rPr>
        <w:t>)</w:t>
      </w:r>
      <w:r w:rsidR="006C2EB4" w:rsidRPr="00A4272B">
        <w:rPr>
          <w:color w:val="000000"/>
          <w:lang w:val="en-US"/>
        </w:rPr>
        <w:t>.</w:t>
      </w:r>
    </w:p>
    <w:p w14:paraId="7A625C57" w14:textId="4692087F" w:rsidR="00F3536C" w:rsidRPr="00A4272B" w:rsidRDefault="00DB265D" w:rsidP="0095251A">
      <w:pPr>
        <w:pStyle w:val="GMPHeading2"/>
        <w:tabs>
          <w:tab w:val="clear" w:pos="360"/>
          <w:tab w:val="clear" w:pos="450"/>
          <w:tab w:val="clear" w:pos="540"/>
          <w:tab w:val="clear" w:pos="630"/>
        </w:tabs>
        <w:rPr>
          <w:rFonts w:hint="eastAsia"/>
        </w:rPr>
      </w:pPr>
      <w:bookmarkStart w:id="815" w:name="_Toc187270550"/>
      <w:r w:rsidRPr="00A4272B">
        <w:t>8.5</w:t>
      </w:r>
      <w:r w:rsidRPr="00A4272B">
        <w:tab/>
      </w:r>
      <w:r w:rsidR="00F3536C" w:rsidRPr="00A4272B">
        <w:t>Available information on environmental specimen banking</w:t>
      </w:r>
      <w:bookmarkEnd w:id="815"/>
    </w:p>
    <w:p w14:paraId="31010F6B" w14:textId="77777777" w:rsidR="00BE21A1" w:rsidRPr="00A4272B" w:rsidRDefault="00BE21A1" w:rsidP="00BE21A1">
      <w:pPr>
        <w:autoSpaceDE w:val="0"/>
        <w:autoSpaceDN w:val="0"/>
        <w:adjustRightInd w:val="0"/>
        <w:rPr>
          <w:color w:val="000000"/>
          <w:lang w:val="en-US"/>
        </w:rPr>
      </w:pPr>
      <w:r w:rsidRPr="00A4272B">
        <w:rPr>
          <w:color w:val="000000"/>
          <w:lang w:val="en-US"/>
        </w:rPr>
        <w:t>Several major Environmental Specimen Bank (ESB) facilities around the world actively collect samples, primarily in developed or industrialized countries. However, interest in establishing such banks has been growing in developing countries as well (Becker et al., 2006; Becker &amp; Wise, 2010; Isobe et al., 2010). Each ESB has its own unique purpose, scope, and history. The variety of experiences and protocols from these established banks can be valuable for setting up new facilities in regions where ESB-related activities are not yet present. Information about these activities is available in scientific literature (e.g., the references in Becker et al., 2006), and on the banks' websites. Standard Operating Procedures (SOPs) for major ESBs, such as those in Germany, Sweden, and the United States, are available on the International Environmental Specimen Bank (IESB) website, which also provides links to major ESBs worldwide (</w:t>
      </w:r>
      <w:hyperlink r:id="rId71" w:tgtFrame="_new" w:history="1">
        <w:r w:rsidRPr="00A4272B">
          <w:rPr>
            <w:rStyle w:val="Hyperlink"/>
            <w:lang w:val="en-US"/>
          </w:rPr>
          <w:t>http://www.inter-esb.org/index.html</w:t>
        </w:r>
      </w:hyperlink>
      <w:r w:rsidRPr="00A4272B">
        <w:rPr>
          <w:color w:val="000000"/>
          <w:lang w:val="en-US"/>
        </w:rPr>
        <w:t>).</w:t>
      </w:r>
    </w:p>
    <w:p w14:paraId="10B93FC2" w14:textId="77777777" w:rsidR="00BE21A1" w:rsidRPr="00A4272B" w:rsidRDefault="00BE21A1" w:rsidP="00BE21A1">
      <w:pPr>
        <w:autoSpaceDE w:val="0"/>
        <w:autoSpaceDN w:val="0"/>
        <w:adjustRightInd w:val="0"/>
        <w:rPr>
          <w:color w:val="000000"/>
          <w:lang w:val="en-US"/>
        </w:rPr>
      </w:pPr>
      <w:r w:rsidRPr="00A4272B">
        <w:rPr>
          <w:color w:val="000000"/>
          <w:lang w:val="en-US"/>
        </w:rPr>
        <w:t>There is also extensive activity in the life sciences, medical, and livestock sectors for the preservation of human and biological samples for medical, pharmaceutical, and breeding purposes. These repositories, often referred to as “biobanks,” address technical, legal, ethical, and managerial challenges related to biological and environmental specimen storage. The International Society for Biological and Environmental Repositories (ISBER) supports these efforts, fostering collaborations, offering education and training, and showcasing state-of-the-art policies, processes, and technologies globally. ISBER also partners with several regional organizations, such as the European, Middle Eastern, and African Society for Biopreservation and Biobanking (ESBB), the Asian Network of Research Resource Centers (ANRRC), and the Australasian Biospecimen Network Association (ABNA).</w:t>
      </w:r>
    </w:p>
    <w:p w14:paraId="49928881" w14:textId="79994A3B" w:rsidR="00F3536C" w:rsidRPr="00A4272B" w:rsidRDefault="00BE21A1" w:rsidP="0098016E">
      <w:pPr>
        <w:autoSpaceDE w:val="0"/>
        <w:autoSpaceDN w:val="0"/>
        <w:adjustRightInd w:val="0"/>
        <w:rPr>
          <w:color w:val="000000"/>
          <w:lang w:val="en-US"/>
        </w:rPr>
      </w:pPr>
      <w:r w:rsidRPr="00A4272B">
        <w:rPr>
          <w:color w:val="000000"/>
          <w:lang w:val="en-US"/>
        </w:rPr>
        <w:t xml:space="preserve">For countries considering </w:t>
      </w:r>
      <w:r w:rsidR="006C2EB4" w:rsidRPr="00A4272B">
        <w:rPr>
          <w:color w:val="000000"/>
          <w:lang w:val="en-US"/>
        </w:rPr>
        <w:t>biorepository</w:t>
      </w:r>
      <w:r w:rsidRPr="00A4272B">
        <w:rPr>
          <w:color w:val="000000"/>
          <w:lang w:val="en-US"/>
        </w:rPr>
        <w:t xml:space="preserve"> under the Convention, existing infrastructure in large hospitals or biobanks, equipped with emergency power and freezers, can provide a feasible and cost-effective start, especially for human samples. For environmental specimens, </w:t>
      </w:r>
      <w:r w:rsidR="006C2EB4" w:rsidRPr="00A4272B">
        <w:rPr>
          <w:color w:val="000000"/>
          <w:lang w:val="en-US"/>
        </w:rPr>
        <w:t>commercial scale</w:t>
      </w:r>
      <w:r w:rsidRPr="00A4272B">
        <w:rPr>
          <w:color w:val="000000"/>
          <w:lang w:val="en-US"/>
        </w:rPr>
        <w:t xml:space="preserve"> refrigerated warehouses may be suitable. However, long-term operation of an ESB requires specialized knowledge in chemical analysis, making close links with long-term monitoring </w:t>
      </w:r>
      <w:r w:rsidR="002A6D39" w:rsidRPr="00A4272B">
        <w:rPr>
          <w:color w:val="000000"/>
          <w:lang w:val="en-US"/>
        </w:rPr>
        <w:t xml:space="preserve">programmes </w:t>
      </w:r>
      <w:r w:rsidRPr="00A4272B">
        <w:rPr>
          <w:color w:val="000000"/>
          <w:lang w:val="en-US"/>
        </w:rPr>
        <w:t>or QA/QC activities essential, especially under the Global Monitoring Plan (GMP) of the Stockholm Convention.</w:t>
      </w:r>
    </w:p>
    <w:p w14:paraId="158BAC49" w14:textId="56DFFC3C" w:rsidR="00F3536C" w:rsidRPr="00A4272B" w:rsidRDefault="0020350F" w:rsidP="0095251A">
      <w:pPr>
        <w:pStyle w:val="GMPHeading2"/>
        <w:tabs>
          <w:tab w:val="clear" w:pos="360"/>
          <w:tab w:val="clear" w:pos="450"/>
          <w:tab w:val="clear" w:pos="540"/>
          <w:tab w:val="clear" w:pos="630"/>
        </w:tabs>
        <w:rPr>
          <w:rFonts w:hint="eastAsia"/>
        </w:rPr>
      </w:pPr>
      <w:bookmarkStart w:id="816" w:name="_Toc187270551"/>
      <w:r w:rsidRPr="00A4272B">
        <w:t>8.6</w:t>
      </w:r>
      <w:r w:rsidRPr="00A4272B">
        <w:tab/>
      </w:r>
      <w:r w:rsidR="00F3536C" w:rsidRPr="00A4272B">
        <w:t>Environmental specimen banking in the future</w:t>
      </w:r>
      <w:bookmarkEnd w:id="816"/>
    </w:p>
    <w:p w14:paraId="6F496696" w14:textId="08C1BCDD" w:rsidR="00BE21A1" w:rsidRPr="00A4272B" w:rsidRDefault="006C2EB4" w:rsidP="00BE21A1">
      <w:pPr>
        <w:autoSpaceDE w:val="0"/>
        <w:autoSpaceDN w:val="0"/>
        <w:adjustRightInd w:val="0"/>
        <w:rPr>
          <w:color w:val="000000"/>
          <w:lang w:val="en-US"/>
        </w:rPr>
      </w:pPr>
      <w:r w:rsidRPr="00A4272B">
        <w:rPr>
          <w:color w:val="000000"/>
          <w:lang w:val="en-US"/>
        </w:rPr>
        <w:t>A</w:t>
      </w:r>
      <w:r w:rsidR="00BE21A1" w:rsidRPr="00A4272B">
        <w:rPr>
          <w:color w:val="000000"/>
          <w:lang w:val="en-US"/>
        </w:rPr>
        <w:t xml:space="preserve">s a supportive and complementary activity aligned with environmental monitoring, there remains significant opportunity for technological advancements in Environmental Specimen Banking. While homogenization is essential to reduce sample volume for archiving, it can compromise sample integrity, particularly for biological specimens. Some chemicals may accumulate at higher levels in specific organs and show targeted toxicity, including the induction of particular proteins as biomarkers of exposure or effect. Similarly, chemicals may cause distinct morphological changes in specific organs, such as sex organ malformations (imposex or intersex conditions), which could be diluted or lost in thoroughly homogenized samples. Additionally, homogenization can alter the chemical integrity of tissues and cells by disrupting microstructures and releasing enzymes from cell organelles, potentially leading to chemical degradation. Freezing itself can damage cell </w:t>
      </w:r>
      <w:r w:rsidR="00BE21A1" w:rsidRPr="00A4272B">
        <w:rPr>
          <w:color w:val="000000"/>
          <w:lang w:val="en-US"/>
        </w:rPr>
        <w:lastRenderedPageBreak/>
        <w:t>and organelle microstructures by forming ice crystals. Recent developments in commercial freezing methods, such as microwave field technology, help mitigate this damage by inhibiting ice crystal formation. In the future, cryopreservation of whole organisms without homogenization may become more feasible.</w:t>
      </w:r>
    </w:p>
    <w:p w14:paraId="6688E13C" w14:textId="688BAE1E" w:rsidR="00BE21A1" w:rsidRPr="00A4272B" w:rsidRDefault="00817D9F" w:rsidP="00BE21A1">
      <w:pPr>
        <w:autoSpaceDE w:val="0"/>
        <w:autoSpaceDN w:val="0"/>
        <w:adjustRightInd w:val="0"/>
        <w:rPr>
          <w:color w:val="000000"/>
          <w:lang w:val="en-US"/>
        </w:rPr>
      </w:pPr>
      <w:r w:rsidRPr="00A4272B">
        <w:rPr>
          <w:color w:val="000000"/>
          <w:lang w:val="en-US"/>
        </w:rPr>
        <w:t>The l</w:t>
      </w:r>
      <w:r w:rsidR="00BE21A1" w:rsidRPr="00A4272B">
        <w:rPr>
          <w:color w:val="000000"/>
          <w:lang w:val="en-US"/>
        </w:rPr>
        <w:t xml:space="preserve">ong-term and systematic archiving of samples </w:t>
      </w:r>
      <w:r w:rsidRPr="00A4272B">
        <w:rPr>
          <w:color w:val="000000"/>
          <w:lang w:val="en-US"/>
        </w:rPr>
        <w:t xml:space="preserve">from </w:t>
      </w:r>
      <w:r w:rsidR="00BE21A1" w:rsidRPr="00A4272B">
        <w:rPr>
          <w:color w:val="000000"/>
          <w:lang w:val="en-US"/>
        </w:rPr>
        <w:t xml:space="preserve">air and water environments </w:t>
      </w:r>
      <w:r w:rsidRPr="00A4272B">
        <w:rPr>
          <w:color w:val="000000"/>
          <w:lang w:val="en-US"/>
        </w:rPr>
        <w:t xml:space="preserve">presents an additional </w:t>
      </w:r>
      <w:r w:rsidR="00BE21A1" w:rsidRPr="00A4272B">
        <w:rPr>
          <w:color w:val="000000"/>
          <w:lang w:val="en-US"/>
        </w:rPr>
        <w:t xml:space="preserve">challenge. Currently, adsorbents in passive or active samplers are often used to monitor pollutants in these media, and archiving these adsorbents or their extracts appears suitable. However, sampling can alter the composition or chemical forms of pollutants in the environment. Each sampler and adsorbent </w:t>
      </w:r>
      <w:r w:rsidR="0027572A" w:rsidRPr="00A4272B">
        <w:rPr>
          <w:color w:val="000000"/>
          <w:lang w:val="en-US"/>
        </w:rPr>
        <w:t>are</w:t>
      </w:r>
      <w:r w:rsidR="00BE21A1" w:rsidRPr="00A4272B">
        <w:rPr>
          <w:color w:val="000000"/>
          <w:lang w:val="en-US"/>
        </w:rPr>
        <w:t xml:space="preserve"> designed to trap specific types of chemicals, meaning some pollutants may not be adequately captured, and thus, archived samples may not fully represent environmental conditions. Chemical reactions, especially photo-oxidation, play a crucial role in determining pollutant behavior in the environment, but many of the resulting compounds are unstable and difficult to capture. Expanding our understanding of environmental chemical processes and identifying suitable "surrogates" for key reactions could improve sampling and archiving strategies.</w:t>
      </w:r>
    </w:p>
    <w:p w14:paraId="239BC8F3" w14:textId="7B3DD59F" w:rsidR="00BE21A1" w:rsidRPr="00A4272B" w:rsidRDefault="00BE21A1" w:rsidP="00BE21A1">
      <w:pPr>
        <w:autoSpaceDE w:val="0"/>
        <w:autoSpaceDN w:val="0"/>
        <w:adjustRightInd w:val="0"/>
        <w:rPr>
          <w:color w:val="000000"/>
          <w:lang w:val="en-US"/>
        </w:rPr>
      </w:pPr>
      <w:r w:rsidRPr="00A4272B">
        <w:rPr>
          <w:color w:val="000000"/>
          <w:lang w:val="en-US"/>
        </w:rPr>
        <w:t>Additionally, it is important to identify factors that influence pollutant levels in each medium and record relevant contextual information with samples. Human pollutant levels, for instance, may vary with changes in exposure sources. For example, shifts in diet from fish to beef or from local to imported foods due to economic changes could alter levels of certain POPs in human samples. Climate change may impact global pollutant circulation, thereby affecting atmospheric levels at specific sites and potentially influencing pollutant levels in wildlife. Climate-driven changes in marine fish species, known as “regime shifts,” are recognized as influencing pollutant levels in higher trophic level organisms, including humans, despite no trophic-level changes detected via nitrogen isotope analysis. Greater insight into environmental processes and their impact on pollutant levels in target matrices will enhance the understanding and interpretation of archived monitoring data, and collecting detailed supplementary information is essential alongside archived samples.</w:t>
      </w:r>
    </w:p>
    <w:p w14:paraId="665F0DEB" w14:textId="772DBF15" w:rsidR="00F3536C" w:rsidRPr="00A4272B" w:rsidRDefault="00BE21A1" w:rsidP="00BE21A1">
      <w:pPr>
        <w:autoSpaceDE w:val="0"/>
        <w:autoSpaceDN w:val="0"/>
        <w:adjustRightInd w:val="0"/>
        <w:rPr>
          <w:color w:val="000000"/>
          <w:lang w:val="en-US"/>
        </w:rPr>
      </w:pPr>
      <w:r w:rsidRPr="00A4272B">
        <w:rPr>
          <w:color w:val="000000"/>
          <w:lang w:val="en-US"/>
        </w:rPr>
        <w:t xml:space="preserve">Accurate understanding and recognition of environmental pollution levels are fundamental to decision-making for effective chemical management, including under the Stockholm Convention. Environmental monitoring is critical to assess POPs pollution, guide political prioritization, and evaluate the Convention’s effectiveness. Through enhanced understanding of key environmental processes, Environmental Specimen Banking is expected to increasingly support monitoring activities and, thus, the goals of the Stockholm Convention. It is essential to promote specimen banks' development and sustainability, foster international collaboration on technical issues, and establish agreed-upon solutions. </w:t>
      </w:r>
      <w:r w:rsidR="00817D9F" w:rsidRPr="00A4272B">
        <w:rPr>
          <w:color w:val="000000"/>
          <w:lang w:val="en-US"/>
        </w:rPr>
        <w:t xml:space="preserve">GMP </w:t>
      </w:r>
      <w:r w:rsidRPr="00A4272B">
        <w:rPr>
          <w:color w:val="000000"/>
          <w:lang w:val="en-US"/>
        </w:rPr>
        <w:t>can play a valuable role in supporting these efforts</w:t>
      </w:r>
      <w:r w:rsidR="00F3536C" w:rsidRPr="00A4272B">
        <w:rPr>
          <w:color w:val="000000"/>
          <w:lang w:val="en-US"/>
        </w:rPr>
        <w:t>.</w:t>
      </w:r>
    </w:p>
    <w:p w14:paraId="63C32C4E" w14:textId="67C68AB8" w:rsidR="00F3536C" w:rsidRPr="00A4272B" w:rsidRDefault="00F3536C" w:rsidP="002A04E0">
      <w:pPr>
        <w:pStyle w:val="GMPHeading1"/>
        <w:rPr>
          <w:rFonts w:hint="eastAsia"/>
        </w:rPr>
      </w:pPr>
      <w:r w:rsidRPr="00A4272B">
        <w:br w:type="page"/>
      </w:r>
      <w:bookmarkStart w:id="817" w:name="_Toc159831905"/>
      <w:bookmarkStart w:id="818" w:name="_Toc280689321"/>
      <w:bookmarkStart w:id="819" w:name="_Toc280690060"/>
      <w:bookmarkStart w:id="820" w:name="_Toc280691026"/>
      <w:bookmarkStart w:id="821" w:name="_Toc280693180"/>
      <w:bookmarkStart w:id="822" w:name="_Toc280695235"/>
      <w:bookmarkStart w:id="823" w:name="_Toc282086437"/>
      <w:bookmarkStart w:id="824" w:name="_Toc282435151"/>
      <w:bookmarkStart w:id="825" w:name="_Toc287965950"/>
      <w:bookmarkStart w:id="826" w:name="_Toc287973473"/>
      <w:bookmarkStart w:id="827" w:name="_Toc288232627"/>
      <w:bookmarkStart w:id="828" w:name="_Toc288745846"/>
      <w:bookmarkStart w:id="829" w:name="_Toc187270552"/>
      <w:r w:rsidRPr="00A4272B">
        <w:lastRenderedPageBreak/>
        <w:t>A</w:t>
      </w:r>
      <w:r w:rsidR="0081578F" w:rsidRPr="00A4272B">
        <w:t>ppendix I</w:t>
      </w:r>
      <w:bookmarkStart w:id="830" w:name="_Toc280689322"/>
      <w:bookmarkStart w:id="831" w:name="_Toc280690061"/>
      <w:bookmarkStart w:id="832" w:name="_Toc280691027"/>
      <w:bookmarkStart w:id="833" w:name="_Toc280693181"/>
      <w:bookmarkStart w:id="834" w:name="_Toc280695236"/>
      <w:bookmarkStart w:id="835" w:name="_Toc282086438"/>
      <w:bookmarkStart w:id="836" w:name="_Toc282435152"/>
      <w:bookmarkStart w:id="837" w:name="_Toc287965951"/>
      <w:bookmarkStart w:id="838" w:name="_Toc287973474"/>
      <w:bookmarkStart w:id="839" w:name="_Toc288232628"/>
      <w:bookmarkStart w:id="840" w:name="_Toc288745847"/>
      <w:bookmarkEnd w:id="817"/>
      <w:bookmarkEnd w:id="818"/>
      <w:bookmarkEnd w:id="819"/>
      <w:bookmarkEnd w:id="820"/>
      <w:bookmarkEnd w:id="821"/>
      <w:bookmarkEnd w:id="822"/>
      <w:bookmarkEnd w:id="823"/>
      <w:bookmarkEnd w:id="824"/>
      <w:bookmarkEnd w:id="825"/>
      <w:bookmarkEnd w:id="826"/>
      <w:bookmarkEnd w:id="827"/>
      <w:bookmarkEnd w:id="828"/>
      <w:r w:rsidR="0081578F" w:rsidRPr="00A4272B">
        <w:t xml:space="preserve">: </w:t>
      </w:r>
      <w:r w:rsidR="008B4AAC" w:rsidRPr="00A4272B">
        <w:t>D</w:t>
      </w:r>
      <w:r w:rsidRPr="00A4272B">
        <w:t>escription of important parameters for the determination of POPs in air, human blood and breast milk</w:t>
      </w:r>
      <w:bookmarkEnd w:id="829"/>
      <w:bookmarkEnd w:id="830"/>
      <w:bookmarkEnd w:id="831"/>
      <w:bookmarkEnd w:id="832"/>
      <w:bookmarkEnd w:id="833"/>
      <w:bookmarkEnd w:id="834"/>
      <w:bookmarkEnd w:id="835"/>
      <w:bookmarkEnd w:id="836"/>
      <w:bookmarkEnd w:id="837"/>
      <w:bookmarkEnd w:id="838"/>
      <w:bookmarkEnd w:id="839"/>
      <w:bookmarkEnd w:id="840"/>
    </w:p>
    <w:p w14:paraId="4A5BBE99" w14:textId="3B821262" w:rsidR="00AC706A" w:rsidRPr="00A4272B" w:rsidRDefault="00AC706A" w:rsidP="00606AE8">
      <w:pPr>
        <w:pStyle w:val="USAIDbullet1"/>
        <w:widowControl w:val="0"/>
        <w:numPr>
          <w:ilvl w:val="0"/>
          <w:numId w:val="0"/>
        </w:numPr>
        <w:rPr>
          <w:lang w:val="en-US"/>
        </w:rPr>
      </w:pPr>
      <w:r w:rsidRPr="00A4272B">
        <w:rPr>
          <w:lang w:val="en-US"/>
        </w:rPr>
        <w:t xml:space="preserve">This </w:t>
      </w:r>
      <w:r w:rsidR="002A6D39" w:rsidRPr="00A4272B">
        <w:rPr>
          <w:lang w:val="en-US"/>
        </w:rPr>
        <w:t>chapter</w:t>
      </w:r>
      <w:r w:rsidRPr="00A4272B">
        <w:rPr>
          <w:lang w:val="en-US"/>
        </w:rPr>
        <w:t xml:space="preserve"> largely draws from recommendations for POPs analysis developed under the UNEP/GEF project “Assessment of Existing Capacity and Capacity Building Needs to Analyse POPs in Developing Countries”.</w:t>
      </w:r>
    </w:p>
    <w:p w14:paraId="5E85997C" w14:textId="77777777" w:rsidR="00AC706A" w:rsidRPr="00A4272B" w:rsidRDefault="00AC706A" w:rsidP="00606AE8">
      <w:pPr>
        <w:pStyle w:val="USAIDbullet1"/>
        <w:numPr>
          <w:ilvl w:val="0"/>
          <w:numId w:val="0"/>
        </w:numPr>
        <w:rPr>
          <w:lang w:val="en-US"/>
        </w:rPr>
      </w:pPr>
      <w:r w:rsidRPr="00A4272B">
        <w:rPr>
          <w:lang w:val="en-US"/>
        </w:rPr>
        <w:t>Laboratories may adopt published methods for sample extraction, cleanup, and analysis, but these methods must be validated within the laboratory. The basic requirements include:</w:t>
      </w:r>
    </w:p>
    <w:p w14:paraId="465E1E09" w14:textId="0BA2F7D6" w:rsidR="00AC706A" w:rsidRPr="00A4272B" w:rsidRDefault="00AC706A">
      <w:pPr>
        <w:pStyle w:val="USAIDbullet1"/>
        <w:numPr>
          <w:ilvl w:val="0"/>
          <w:numId w:val="74"/>
        </w:numPr>
        <w:rPr>
          <w:lang w:val="en-US"/>
        </w:rPr>
      </w:pPr>
      <w:r w:rsidRPr="00A4272B">
        <w:rPr>
          <w:b/>
          <w:bCs/>
          <w:lang w:val="en-US"/>
        </w:rPr>
        <w:t>Competency</w:t>
      </w:r>
      <w:r w:rsidRPr="00A4272B">
        <w:rPr>
          <w:lang w:val="en-US"/>
        </w:rPr>
        <w:t>: The laboratory must demonstrate sufficient infrastructure, appropriate instrumentation, and qualified staff to perform specific analyses</w:t>
      </w:r>
      <w:r w:rsidR="003F50B4" w:rsidRPr="00A4272B">
        <w:rPr>
          <w:lang w:val="en-US"/>
        </w:rPr>
        <w:t>;</w:t>
      </w:r>
    </w:p>
    <w:p w14:paraId="23B32001" w14:textId="59E60D09" w:rsidR="00AC706A" w:rsidRPr="00A4272B" w:rsidRDefault="00AC706A">
      <w:pPr>
        <w:pStyle w:val="USAIDbullet1"/>
        <w:numPr>
          <w:ilvl w:val="0"/>
          <w:numId w:val="74"/>
        </w:numPr>
        <w:rPr>
          <w:lang w:val="en-US"/>
        </w:rPr>
      </w:pPr>
      <w:r w:rsidRPr="00A4272B">
        <w:rPr>
          <w:b/>
          <w:bCs/>
          <w:lang w:val="en-US"/>
        </w:rPr>
        <w:t>Method validation</w:t>
      </w:r>
      <w:r w:rsidRPr="00A4272B">
        <w:rPr>
          <w:lang w:val="en-US"/>
        </w:rPr>
        <w:t>: All analytical methods, including in-house methods, must be validated</w:t>
      </w:r>
      <w:r w:rsidR="003F50B4" w:rsidRPr="00A4272B">
        <w:rPr>
          <w:lang w:val="en-US"/>
        </w:rPr>
        <w:t>;</w:t>
      </w:r>
    </w:p>
    <w:p w14:paraId="29DF8CF3" w14:textId="2BA5B89A" w:rsidR="00AC706A" w:rsidRPr="00A4272B" w:rsidRDefault="00AC706A">
      <w:pPr>
        <w:pStyle w:val="USAIDbullet1"/>
        <w:numPr>
          <w:ilvl w:val="0"/>
          <w:numId w:val="74"/>
        </w:numPr>
        <w:rPr>
          <w:lang w:val="en-US"/>
        </w:rPr>
      </w:pPr>
      <w:r w:rsidRPr="00A4272B">
        <w:rPr>
          <w:b/>
          <w:bCs/>
          <w:lang w:val="en-US"/>
        </w:rPr>
        <w:t>Standard operating procedures (SOPs)</w:t>
      </w:r>
      <w:r w:rsidRPr="00A4272B">
        <w:rPr>
          <w:lang w:val="en-US"/>
        </w:rPr>
        <w:t>: SOPs for validated methods should be established, detailing all laboratory equipment and consumables</w:t>
      </w:r>
      <w:r w:rsidR="003F50B4" w:rsidRPr="00A4272B">
        <w:rPr>
          <w:lang w:val="en-US"/>
        </w:rPr>
        <w:t>;</w:t>
      </w:r>
    </w:p>
    <w:p w14:paraId="002EFDCE" w14:textId="4661602C" w:rsidR="00AC706A" w:rsidRPr="00A4272B" w:rsidRDefault="00AC706A">
      <w:pPr>
        <w:pStyle w:val="USAIDbullet1"/>
        <w:numPr>
          <w:ilvl w:val="0"/>
          <w:numId w:val="74"/>
        </w:numPr>
        <w:rPr>
          <w:lang w:val="en-US"/>
        </w:rPr>
      </w:pPr>
      <w:r w:rsidRPr="00A4272B">
        <w:rPr>
          <w:b/>
          <w:bCs/>
          <w:lang w:val="en-US"/>
        </w:rPr>
        <w:t>Quality criteria for QA/QC</w:t>
      </w:r>
      <w:r w:rsidRPr="00A4272B">
        <w:rPr>
          <w:lang w:val="en-US"/>
        </w:rPr>
        <w:t>: SOPs should specify quality assurance and quality control criteria, such as blank sample analysis, use of reference materials, signal-to-noise ratio, and system sensitivity.</w:t>
      </w:r>
    </w:p>
    <w:p w14:paraId="25CB6BCE" w14:textId="77777777" w:rsidR="00AC706A" w:rsidRPr="00A4272B" w:rsidRDefault="00AC706A" w:rsidP="00606AE8">
      <w:pPr>
        <w:pStyle w:val="USAIDbullet1"/>
        <w:numPr>
          <w:ilvl w:val="0"/>
          <w:numId w:val="0"/>
        </w:numPr>
        <w:rPr>
          <w:lang w:val="en-US"/>
        </w:rPr>
      </w:pPr>
      <w:r w:rsidRPr="00A4272B">
        <w:rPr>
          <w:b/>
          <w:bCs/>
          <w:lang w:val="en-US"/>
        </w:rPr>
        <w:t>Sampling</w:t>
      </w:r>
    </w:p>
    <w:p w14:paraId="07F37883" w14:textId="7977BDAF" w:rsidR="00AC706A" w:rsidRPr="00A4272B" w:rsidRDefault="00AC706A">
      <w:pPr>
        <w:pStyle w:val="USAIDbullet1"/>
        <w:numPr>
          <w:ilvl w:val="0"/>
          <w:numId w:val="75"/>
        </w:numPr>
        <w:rPr>
          <w:lang w:val="en-US"/>
        </w:rPr>
      </w:pPr>
      <w:r w:rsidRPr="00A4272B">
        <w:rPr>
          <w:lang w:val="en-US"/>
        </w:rPr>
        <w:t>The goal of any sampling activity is to collect a sample that meets the study’s objectives. Ensuring sample representativeness and integrity throughout the sampling process is essential, along with quality requirements for equipment, transportation, standardization, and traceability. All sampling procedures should be agreed upon and documented before starting a sampling campaign</w:t>
      </w:r>
      <w:r w:rsidR="003F50B4" w:rsidRPr="00A4272B">
        <w:rPr>
          <w:lang w:val="en-US"/>
        </w:rPr>
        <w:t>;</w:t>
      </w:r>
    </w:p>
    <w:p w14:paraId="2262DDB5" w14:textId="77777777" w:rsidR="00AC706A" w:rsidRPr="00A4272B" w:rsidRDefault="00AC706A">
      <w:pPr>
        <w:pStyle w:val="USAIDbullet1"/>
        <w:numPr>
          <w:ilvl w:val="0"/>
          <w:numId w:val="75"/>
        </w:numPr>
        <w:rPr>
          <w:lang w:val="en-US"/>
        </w:rPr>
      </w:pPr>
      <w:r w:rsidRPr="00A4272B">
        <w:rPr>
          <w:lang w:val="en-US"/>
        </w:rPr>
        <w:t>While full accreditation for sampling may be costly, quality assurance and quality control (QA/QC) procedures for sampling should still be implemented.</w:t>
      </w:r>
    </w:p>
    <w:p w14:paraId="3093009E" w14:textId="77777777" w:rsidR="00AE2951" w:rsidRPr="00A4272B" w:rsidRDefault="00AE2951" w:rsidP="0023432F">
      <w:pPr>
        <w:pStyle w:val="BodyText"/>
        <w:rPr>
          <w:rStyle w:val="Strong"/>
        </w:rPr>
      </w:pPr>
      <w:bookmarkStart w:id="841" w:name="_Toc145240710"/>
      <w:r w:rsidRPr="00A4272B">
        <w:rPr>
          <w:rStyle w:val="Strong"/>
        </w:rPr>
        <w:t>General sampling procedures</w:t>
      </w:r>
      <w:bookmarkEnd w:id="841"/>
    </w:p>
    <w:p w14:paraId="128B7389" w14:textId="77777777" w:rsidR="00AE2951" w:rsidRPr="00A4272B" w:rsidRDefault="00AE2951" w:rsidP="0023432F">
      <w:pPr>
        <w:pStyle w:val="BodyText"/>
      </w:pPr>
      <w:r w:rsidRPr="00A4272B">
        <w:t>General sampling procedures include:</w:t>
      </w:r>
    </w:p>
    <w:p w14:paraId="0ADC02D9" w14:textId="77777777" w:rsidR="00AE2951" w:rsidRPr="00A4272B" w:rsidRDefault="00AE2951">
      <w:pPr>
        <w:pStyle w:val="USAIDbullet1"/>
        <w:numPr>
          <w:ilvl w:val="0"/>
          <w:numId w:val="76"/>
        </w:numPr>
        <w:rPr>
          <w:lang w:val="en-US"/>
        </w:rPr>
      </w:pPr>
      <w:r w:rsidRPr="00A4272B">
        <w:rPr>
          <w:lang w:val="en-US"/>
        </w:rPr>
        <w:t>Preparation of sampling equipment(s), eventually shipment of samplers;</w:t>
      </w:r>
    </w:p>
    <w:p w14:paraId="3565FB86" w14:textId="77777777" w:rsidR="00AE2951" w:rsidRPr="00A4272B" w:rsidRDefault="00AE2951">
      <w:pPr>
        <w:pStyle w:val="USAIDbullet1"/>
        <w:numPr>
          <w:ilvl w:val="0"/>
          <w:numId w:val="76"/>
        </w:numPr>
        <w:rPr>
          <w:lang w:val="en-US"/>
        </w:rPr>
      </w:pPr>
      <w:r w:rsidRPr="00A4272B">
        <w:rPr>
          <w:lang w:val="en-US"/>
        </w:rPr>
        <w:t>Establishment of criteria for acceptance of samples at the laboratory;</w:t>
      </w:r>
    </w:p>
    <w:p w14:paraId="246F2277" w14:textId="77777777" w:rsidR="00AE2951" w:rsidRPr="00A4272B" w:rsidRDefault="00AE2951">
      <w:pPr>
        <w:pStyle w:val="USAIDbullet1"/>
        <w:numPr>
          <w:ilvl w:val="0"/>
          <w:numId w:val="76"/>
        </w:numPr>
        <w:rPr>
          <w:lang w:val="en-US"/>
        </w:rPr>
      </w:pPr>
      <w:r w:rsidRPr="00A4272B">
        <w:rPr>
          <w:lang w:val="en-US"/>
        </w:rPr>
        <w:t>Establishment of standard operation procedures for sampling;</w:t>
      </w:r>
    </w:p>
    <w:p w14:paraId="568A0074" w14:textId="77777777" w:rsidR="00AE2951" w:rsidRPr="00A4272B" w:rsidRDefault="00AE2951">
      <w:pPr>
        <w:pStyle w:val="USAIDbullet1"/>
        <w:numPr>
          <w:ilvl w:val="0"/>
          <w:numId w:val="76"/>
        </w:numPr>
        <w:rPr>
          <w:lang w:val="en-US"/>
        </w:rPr>
      </w:pPr>
      <w:r w:rsidRPr="00A4272B">
        <w:rPr>
          <w:lang w:val="en-US"/>
        </w:rPr>
        <w:t>Establishment of quality assurance procedures, e.g., field blanks, chain-of-custody;</w:t>
      </w:r>
    </w:p>
    <w:p w14:paraId="07403816" w14:textId="77777777" w:rsidR="00AE2951" w:rsidRPr="00A4272B" w:rsidRDefault="00AE2951">
      <w:pPr>
        <w:pStyle w:val="USAIDbullet1"/>
        <w:numPr>
          <w:ilvl w:val="0"/>
          <w:numId w:val="76"/>
        </w:numPr>
        <w:rPr>
          <w:lang w:val="en-US"/>
        </w:rPr>
      </w:pPr>
      <w:r w:rsidRPr="00A4272B">
        <w:rPr>
          <w:lang w:val="en-US"/>
        </w:rPr>
        <w:t>Establishment of field blank procedures.</w:t>
      </w:r>
    </w:p>
    <w:p w14:paraId="45B46495" w14:textId="77777777" w:rsidR="00AE2951" w:rsidRPr="00A4272B" w:rsidRDefault="00AE2951" w:rsidP="0023432F">
      <w:pPr>
        <w:pStyle w:val="BodyText"/>
        <w:rPr>
          <w:rStyle w:val="Strong"/>
        </w:rPr>
      </w:pPr>
      <w:bookmarkStart w:id="842" w:name="_Toc145240711"/>
      <w:r w:rsidRPr="00A4272B">
        <w:rPr>
          <w:rStyle w:val="Strong"/>
        </w:rPr>
        <w:t>Infrastructure and set-up</w:t>
      </w:r>
      <w:bookmarkEnd w:id="842"/>
    </w:p>
    <w:p w14:paraId="348371A2" w14:textId="22EBCC01" w:rsidR="00AE2951" w:rsidRPr="00A4272B" w:rsidRDefault="00AE2951" w:rsidP="0023432F">
      <w:pPr>
        <w:pStyle w:val="BodyText"/>
      </w:pPr>
      <w:r w:rsidRPr="00A4272B">
        <w:t>Sampling indispensable requirements include:</w:t>
      </w:r>
    </w:p>
    <w:p w14:paraId="31AB34F6" w14:textId="77777777" w:rsidR="00AE2951" w:rsidRPr="00A4272B" w:rsidRDefault="00AE2951">
      <w:pPr>
        <w:pStyle w:val="USAIDbullet1"/>
        <w:numPr>
          <w:ilvl w:val="0"/>
          <w:numId w:val="77"/>
        </w:numPr>
        <w:rPr>
          <w:lang w:val="en-US"/>
        </w:rPr>
      </w:pPr>
      <w:r w:rsidRPr="00A4272B">
        <w:rPr>
          <w:lang w:val="en-US"/>
        </w:rPr>
        <w:t>Equipment: Adequate sampling instruments according to the type of matrix and POP;</w:t>
      </w:r>
    </w:p>
    <w:p w14:paraId="101B846E" w14:textId="4AFDFB9C" w:rsidR="00AE2951" w:rsidRPr="00A4272B" w:rsidRDefault="00AE2951">
      <w:pPr>
        <w:pStyle w:val="USAIDbullet1"/>
        <w:numPr>
          <w:ilvl w:val="0"/>
          <w:numId w:val="77"/>
        </w:numPr>
        <w:rPr>
          <w:lang w:val="en-US"/>
        </w:rPr>
      </w:pPr>
      <w:r w:rsidRPr="00A4272B">
        <w:rPr>
          <w:lang w:val="en-US"/>
        </w:rPr>
        <w:t>Materials: Sampling instrumentation that is analyte-compatible, including utensils, containers, etc. (stainless steel-glass, glass ware, etc.);</w:t>
      </w:r>
    </w:p>
    <w:p w14:paraId="0AB4393F" w14:textId="77777777" w:rsidR="00AE2951" w:rsidRPr="00A4272B" w:rsidRDefault="00AE2951">
      <w:pPr>
        <w:pStyle w:val="USAIDbullet1"/>
        <w:numPr>
          <w:ilvl w:val="0"/>
          <w:numId w:val="77"/>
        </w:numPr>
        <w:rPr>
          <w:lang w:val="en-US"/>
        </w:rPr>
      </w:pPr>
      <w:r w:rsidRPr="00A4272B">
        <w:rPr>
          <w:lang w:val="en-US"/>
        </w:rPr>
        <w:t>Personal protection: Those in charge of the sampling must wear adequate protection outfits depending on the type of samples they will work;</w:t>
      </w:r>
    </w:p>
    <w:p w14:paraId="3F04CBBA" w14:textId="77777777" w:rsidR="00AE2951" w:rsidRPr="00A4272B" w:rsidRDefault="00AE2951">
      <w:pPr>
        <w:pStyle w:val="USAIDbullet1"/>
        <w:numPr>
          <w:ilvl w:val="0"/>
          <w:numId w:val="77"/>
        </w:numPr>
        <w:rPr>
          <w:lang w:val="en-US"/>
        </w:rPr>
      </w:pPr>
      <w:r w:rsidRPr="00A4272B">
        <w:rPr>
          <w:lang w:val="en-US"/>
        </w:rPr>
        <w:t>Sample blanks: These allow for the assessment of potential contamination;</w:t>
      </w:r>
    </w:p>
    <w:p w14:paraId="36086DFF" w14:textId="77777777" w:rsidR="00AE2951" w:rsidRPr="00A4272B" w:rsidRDefault="00AE2951">
      <w:pPr>
        <w:pStyle w:val="USAIDbullet1"/>
        <w:numPr>
          <w:ilvl w:val="0"/>
          <w:numId w:val="77"/>
        </w:numPr>
        <w:rPr>
          <w:lang w:val="en-US"/>
        </w:rPr>
      </w:pPr>
      <w:r w:rsidRPr="00A4272B">
        <w:rPr>
          <w:lang w:val="en-US"/>
        </w:rPr>
        <w:t>Preservation: Samples and sample blanks are preserved according to matrix and type of POP requirements;</w:t>
      </w:r>
    </w:p>
    <w:p w14:paraId="7C7097CA" w14:textId="77777777" w:rsidR="00AE2951" w:rsidRPr="00A4272B" w:rsidRDefault="00AE2951">
      <w:pPr>
        <w:pStyle w:val="USAIDbullet1"/>
        <w:numPr>
          <w:ilvl w:val="0"/>
          <w:numId w:val="77"/>
        </w:numPr>
        <w:rPr>
          <w:lang w:val="en-US"/>
        </w:rPr>
      </w:pPr>
      <w:r w:rsidRPr="00A4272B">
        <w:rPr>
          <w:lang w:val="en-US"/>
        </w:rPr>
        <w:t>Transportation: Adequate transportation that minimizes the possibility to contaminate the sample, ensuring its integrity and conservation until it reaches the laboratory in charge of the analysis;</w:t>
      </w:r>
    </w:p>
    <w:p w14:paraId="067C1D84" w14:textId="77777777" w:rsidR="00AE2951" w:rsidRPr="00A4272B" w:rsidRDefault="00AE2951">
      <w:pPr>
        <w:pStyle w:val="USAIDbullet1"/>
        <w:numPr>
          <w:ilvl w:val="0"/>
          <w:numId w:val="77"/>
        </w:numPr>
        <w:rPr>
          <w:lang w:val="en-US"/>
        </w:rPr>
      </w:pPr>
      <w:r w:rsidRPr="00A4272B">
        <w:rPr>
          <w:lang w:val="en-US"/>
        </w:rPr>
        <w:t>Availability of “in situ” monitoring equipment: To measure relevant environmental parameters according to each environment. The environmental conditions should be registered;</w:t>
      </w:r>
    </w:p>
    <w:p w14:paraId="6285119D" w14:textId="77777777" w:rsidR="00AE2951" w:rsidRPr="00A4272B" w:rsidRDefault="00AE2951">
      <w:pPr>
        <w:pStyle w:val="USAIDbullet1"/>
        <w:numPr>
          <w:ilvl w:val="0"/>
          <w:numId w:val="77"/>
        </w:numPr>
        <w:rPr>
          <w:lang w:val="en-US"/>
        </w:rPr>
      </w:pPr>
      <w:r w:rsidRPr="00A4272B">
        <w:rPr>
          <w:lang w:val="en-US"/>
        </w:rPr>
        <w:t>Geo-referencing and photographic registers: Availability of GPS to locate sampling sites with precision and ensure future location of the site;</w:t>
      </w:r>
    </w:p>
    <w:p w14:paraId="2601AAE0" w14:textId="0CAA60D3" w:rsidR="00AE2951" w:rsidRPr="00A4272B" w:rsidRDefault="00AE2951">
      <w:pPr>
        <w:pStyle w:val="USAIDbullet1"/>
        <w:numPr>
          <w:ilvl w:val="0"/>
          <w:numId w:val="77"/>
        </w:numPr>
        <w:rPr>
          <w:lang w:val="en-US"/>
        </w:rPr>
      </w:pPr>
      <w:r w:rsidRPr="00A4272B">
        <w:rPr>
          <w:lang w:val="en-US"/>
        </w:rPr>
        <w:lastRenderedPageBreak/>
        <w:t>Standardized protocol: Well-established sampling procedures have to be applied. Such sampling protocols have been developed by institutions or organizations such as ASTM (American Society for Testing and Materials), EC (European Commission), US-EPA (Environmental Protection Agency), GEMS (Global Environment Monitoring System), WHO (World Health Organization) and UNEP (United Nations Environment Programme);</w:t>
      </w:r>
    </w:p>
    <w:p w14:paraId="29050A00" w14:textId="77777777" w:rsidR="00AE2951" w:rsidRPr="00A4272B" w:rsidRDefault="00AE2951">
      <w:pPr>
        <w:pStyle w:val="USAIDbullet1"/>
        <w:numPr>
          <w:ilvl w:val="0"/>
          <w:numId w:val="77"/>
        </w:numPr>
        <w:rPr>
          <w:lang w:val="en-US"/>
        </w:rPr>
      </w:pPr>
      <w:r w:rsidRPr="00A4272B">
        <w:rPr>
          <w:lang w:val="en-US"/>
        </w:rPr>
        <w:t>Labelling: Unambiguous labels are needed;</w:t>
      </w:r>
    </w:p>
    <w:p w14:paraId="415D6570" w14:textId="77777777" w:rsidR="00AE2951" w:rsidRPr="00A4272B" w:rsidRDefault="00AE2951">
      <w:pPr>
        <w:pStyle w:val="USAIDbullet1"/>
        <w:numPr>
          <w:ilvl w:val="0"/>
          <w:numId w:val="77"/>
        </w:numPr>
        <w:rPr>
          <w:lang w:val="en-US"/>
        </w:rPr>
      </w:pPr>
      <w:r w:rsidRPr="00A4272B">
        <w:rPr>
          <w:lang w:val="en-US"/>
        </w:rPr>
        <w:t>Interview protocol: May be needed for human samples;</w:t>
      </w:r>
    </w:p>
    <w:p w14:paraId="37093F72" w14:textId="77777777" w:rsidR="00AE2951" w:rsidRPr="00A4272B" w:rsidRDefault="00AE2951">
      <w:pPr>
        <w:pStyle w:val="USAIDbullet1"/>
        <w:numPr>
          <w:ilvl w:val="0"/>
          <w:numId w:val="77"/>
        </w:numPr>
        <w:rPr>
          <w:lang w:val="en-US"/>
        </w:rPr>
      </w:pPr>
      <w:r w:rsidRPr="00A4272B">
        <w:rPr>
          <w:lang w:val="en-US"/>
        </w:rPr>
        <w:t>Approval from an ethical committee: May be needed for human samples;</w:t>
      </w:r>
    </w:p>
    <w:p w14:paraId="78D3D65F" w14:textId="77777777" w:rsidR="00AE2951" w:rsidRPr="00A4272B" w:rsidRDefault="00AE2951">
      <w:pPr>
        <w:pStyle w:val="USAIDbullet1"/>
        <w:numPr>
          <w:ilvl w:val="0"/>
          <w:numId w:val="77"/>
        </w:numPr>
        <w:rPr>
          <w:lang w:val="en-US"/>
        </w:rPr>
      </w:pPr>
      <w:r w:rsidRPr="00A4272B">
        <w:rPr>
          <w:lang w:val="en-US"/>
        </w:rPr>
        <w:t>Interface between sampling personnel and analytical laboratory: Close cooperation is crucial between project planners, the samplers, the analytical laboratory, and data users;</w:t>
      </w:r>
    </w:p>
    <w:p w14:paraId="71D3F22B" w14:textId="77777777" w:rsidR="00AE2951" w:rsidRPr="00A4272B" w:rsidRDefault="00AE2951">
      <w:pPr>
        <w:pStyle w:val="USAIDbullet1"/>
        <w:numPr>
          <w:ilvl w:val="0"/>
          <w:numId w:val="77"/>
        </w:numPr>
        <w:rPr>
          <w:lang w:val="en-US"/>
        </w:rPr>
      </w:pPr>
      <w:r w:rsidRPr="00A4272B">
        <w:rPr>
          <w:lang w:val="en-US"/>
        </w:rPr>
        <w:t>Training of personnel: Personnel should be sufficiently trained and familiarized with the sampling techniques;</w:t>
      </w:r>
    </w:p>
    <w:p w14:paraId="6AFE5EF8" w14:textId="77777777" w:rsidR="00AE2951" w:rsidRPr="00A4272B" w:rsidRDefault="00AE2951">
      <w:pPr>
        <w:pStyle w:val="USAIDbullet1"/>
        <w:numPr>
          <w:ilvl w:val="0"/>
          <w:numId w:val="77"/>
        </w:numPr>
        <w:rPr>
          <w:lang w:val="en-US"/>
        </w:rPr>
      </w:pPr>
      <w:r w:rsidRPr="00A4272B">
        <w:rPr>
          <w:lang w:val="en-US"/>
        </w:rPr>
        <w:t>Storage capacity: The laboratory must have an adequate storage capacity, i.e., refrigerators or freezers at sufficiently low and stable temperatures, to ensure the integrity of the samples. These temperatures should be monitored constantly and documented;</w:t>
      </w:r>
    </w:p>
    <w:p w14:paraId="3B8E39F8" w14:textId="77777777" w:rsidR="00AE2951" w:rsidRPr="00A4272B" w:rsidRDefault="00AE2951">
      <w:pPr>
        <w:pStyle w:val="USAIDbullet1"/>
        <w:numPr>
          <w:ilvl w:val="0"/>
          <w:numId w:val="77"/>
        </w:numPr>
        <w:rPr>
          <w:lang w:val="en-US"/>
        </w:rPr>
      </w:pPr>
      <w:r w:rsidRPr="00A4272B">
        <w:rPr>
          <w:lang w:val="en-US"/>
        </w:rPr>
        <w:t>Waste Treatment: Consideration of suitable treatment/handling of the waste generated during the sampling.</w:t>
      </w:r>
    </w:p>
    <w:p w14:paraId="5A52ABE5" w14:textId="77777777" w:rsidR="00AE2951" w:rsidRPr="00A4272B" w:rsidRDefault="00AE2951" w:rsidP="0023432F">
      <w:pPr>
        <w:pStyle w:val="BodyText"/>
        <w:rPr>
          <w:rStyle w:val="Strong"/>
        </w:rPr>
      </w:pPr>
      <w:bookmarkStart w:id="843" w:name="_Toc145240712"/>
      <w:r w:rsidRPr="00A4272B">
        <w:rPr>
          <w:rStyle w:val="Strong"/>
        </w:rPr>
        <w:t>Standard operating procedure (SOP)</w:t>
      </w:r>
      <w:bookmarkEnd w:id="843"/>
    </w:p>
    <w:p w14:paraId="30995100" w14:textId="7F512743" w:rsidR="00AE2951" w:rsidRPr="00A4272B" w:rsidRDefault="00AE2951" w:rsidP="0023432F">
      <w:pPr>
        <w:pStyle w:val="BodyText"/>
      </w:pPr>
      <w:r w:rsidRPr="00A4272B">
        <w:t>A standard operating procedure (SOP) has to be established for each type of matrix. In these SOPs the following requirements must be addressed:</w:t>
      </w:r>
    </w:p>
    <w:p w14:paraId="04C53A8E" w14:textId="77777777" w:rsidR="00AE2951" w:rsidRPr="00A4272B" w:rsidRDefault="00AE2951">
      <w:pPr>
        <w:pStyle w:val="USAIDbullet1"/>
        <w:numPr>
          <w:ilvl w:val="0"/>
          <w:numId w:val="78"/>
        </w:numPr>
        <w:rPr>
          <w:lang w:val="en-US"/>
        </w:rPr>
      </w:pPr>
      <w:r w:rsidRPr="00A4272B">
        <w:rPr>
          <w:lang w:val="en-US"/>
        </w:rPr>
        <w:t>The objective of the sampling exercise, including sampling protocols and specifications;</w:t>
      </w:r>
    </w:p>
    <w:p w14:paraId="1D640CFD" w14:textId="77777777" w:rsidR="00AE2951" w:rsidRPr="00A4272B" w:rsidRDefault="00AE2951">
      <w:pPr>
        <w:pStyle w:val="USAIDbullet1"/>
        <w:numPr>
          <w:ilvl w:val="0"/>
          <w:numId w:val="78"/>
        </w:numPr>
        <w:rPr>
          <w:lang w:val="en-US"/>
        </w:rPr>
      </w:pPr>
      <w:r w:rsidRPr="00A4272B">
        <w:rPr>
          <w:lang w:val="en-US"/>
        </w:rPr>
        <w:t>Sample size in accordance with the analytical requirements and limitations in order to meet regulations or other objectives as given in the study;</w:t>
      </w:r>
    </w:p>
    <w:p w14:paraId="2253109E" w14:textId="77777777" w:rsidR="00AE2951" w:rsidRPr="00A4272B" w:rsidRDefault="00AE2951">
      <w:pPr>
        <w:pStyle w:val="USAIDbullet1"/>
        <w:numPr>
          <w:ilvl w:val="0"/>
          <w:numId w:val="78"/>
        </w:numPr>
        <w:rPr>
          <w:lang w:val="en-US"/>
        </w:rPr>
      </w:pPr>
      <w:r w:rsidRPr="00A4272B">
        <w:rPr>
          <w:lang w:val="en-US"/>
        </w:rPr>
        <w:t>Description and geographic location of the sampling sites, preferentially with GPS coordinates;</w:t>
      </w:r>
    </w:p>
    <w:p w14:paraId="67B1348B" w14:textId="77777777" w:rsidR="00AE2951" w:rsidRPr="00A4272B" w:rsidRDefault="00AE2951">
      <w:pPr>
        <w:pStyle w:val="USAIDbullet1"/>
        <w:numPr>
          <w:ilvl w:val="0"/>
          <w:numId w:val="78"/>
        </w:numPr>
        <w:rPr>
          <w:lang w:val="en-US"/>
        </w:rPr>
      </w:pPr>
      <w:r w:rsidRPr="00A4272B">
        <w:rPr>
          <w:lang w:val="en-US"/>
        </w:rPr>
        <w:t>Guidelines for representative samples;</w:t>
      </w:r>
    </w:p>
    <w:p w14:paraId="1439ACB6" w14:textId="77777777" w:rsidR="00AE2951" w:rsidRPr="00A4272B" w:rsidRDefault="00AE2951">
      <w:pPr>
        <w:pStyle w:val="USAIDbullet1"/>
        <w:numPr>
          <w:ilvl w:val="0"/>
          <w:numId w:val="78"/>
        </w:numPr>
        <w:rPr>
          <w:lang w:val="en-US"/>
        </w:rPr>
      </w:pPr>
      <w:r w:rsidRPr="00A4272B">
        <w:rPr>
          <w:lang w:val="en-US"/>
        </w:rPr>
        <w:t>Criteria for composite samples, e.g., number of sub-samples, homogenization;</w:t>
      </w:r>
    </w:p>
    <w:p w14:paraId="03A39165" w14:textId="77777777" w:rsidR="00AE2951" w:rsidRPr="00A4272B" w:rsidRDefault="00AE2951">
      <w:pPr>
        <w:pStyle w:val="USAIDbullet1"/>
        <w:numPr>
          <w:ilvl w:val="0"/>
          <w:numId w:val="78"/>
        </w:numPr>
        <w:rPr>
          <w:lang w:val="en-US"/>
        </w:rPr>
      </w:pPr>
      <w:r w:rsidRPr="00A4272B">
        <w:rPr>
          <w:lang w:val="en-US"/>
        </w:rPr>
        <w:t>Description of field blank procedures;</w:t>
      </w:r>
    </w:p>
    <w:p w14:paraId="350D89E9" w14:textId="77777777" w:rsidR="00AE2951" w:rsidRPr="00A4272B" w:rsidRDefault="00AE2951">
      <w:pPr>
        <w:pStyle w:val="USAIDbullet1"/>
        <w:numPr>
          <w:ilvl w:val="0"/>
          <w:numId w:val="78"/>
        </w:numPr>
        <w:rPr>
          <w:lang w:val="en-US"/>
        </w:rPr>
      </w:pPr>
      <w:r w:rsidRPr="00A4272B">
        <w:rPr>
          <w:lang w:val="en-US"/>
        </w:rPr>
        <w:t>Date, time of the sample taking;</w:t>
      </w:r>
    </w:p>
    <w:p w14:paraId="63708EA7" w14:textId="77777777" w:rsidR="00AE2951" w:rsidRPr="00A4272B" w:rsidRDefault="00AE2951">
      <w:pPr>
        <w:pStyle w:val="USAIDbullet1"/>
        <w:numPr>
          <w:ilvl w:val="0"/>
          <w:numId w:val="78"/>
        </w:numPr>
        <w:rPr>
          <w:lang w:val="en-US"/>
        </w:rPr>
      </w:pPr>
      <w:r w:rsidRPr="00A4272B">
        <w:rPr>
          <w:lang w:val="en-US"/>
        </w:rPr>
        <w:t>Conditions during sampling;</w:t>
      </w:r>
    </w:p>
    <w:p w14:paraId="701D82CB" w14:textId="77777777" w:rsidR="00AE2951" w:rsidRPr="00A4272B" w:rsidRDefault="00AE2951">
      <w:pPr>
        <w:pStyle w:val="USAIDbullet1"/>
        <w:numPr>
          <w:ilvl w:val="0"/>
          <w:numId w:val="78"/>
        </w:numPr>
        <w:rPr>
          <w:lang w:val="en-US"/>
        </w:rPr>
      </w:pPr>
      <w:r w:rsidRPr="00A4272B">
        <w:rPr>
          <w:lang w:val="en-US"/>
        </w:rPr>
        <w:t>Time intervals between sampling exercises;</w:t>
      </w:r>
    </w:p>
    <w:p w14:paraId="372F95B1" w14:textId="77777777" w:rsidR="00AE2951" w:rsidRPr="00A4272B" w:rsidRDefault="00AE2951">
      <w:pPr>
        <w:pStyle w:val="USAIDbullet1"/>
        <w:numPr>
          <w:ilvl w:val="0"/>
          <w:numId w:val="78"/>
        </w:numPr>
        <w:rPr>
          <w:lang w:val="en-US"/>
        </w:rPr>
      </w:pPr>
      <w:r w:rsidRPr="00A4272B">
        <w:rPr>
          <w:lang w:val="en-US"/>
        </w:rPr>
        <w:t>Specifications for the sampling equipment, including the operating, maintenance, and cleaning procedures (glassware can be cleaned by heating the glass to 300 °C over night);</w:t>
      </w:r>
    </w:p>
    <w:p w14:paraId="378E692A" w14:textId="77777777" w:rsidR="00AE2951" w:rsidRPr="00A4272B" w:rsidRDefault="00AE2951">
      <w:pPr>
        <w:pStyle w:val="USAIDbullet1"/>
        <w:numPr>
          <w:ilvl w:val="0"/>
          <w:numId w:val="78"/>
        </w:numPr>
        <w:rPr>
          <w:lang w:val="en-US"/>
        </w:rPr>
      </w:pPr>
      <w:r w:rsidRPr="00A4272B">
        <w:rPr>
          <w:lang w:val="en-US"/>
        </w:rPr>
        <w:t>Identity of the person(s) who has taken the sample;</w:t>
      </w:r>
    </w:p>
    <w:p w14:paraId="6D653D22" w14:textId="77777777" w:rsidR="00AE2951" w:rsidRPr="00A4272B" w:rsidRDefault="00AE2951">
      <w:pPr>
        <w:pStyle w:val="USAIDbullet1"/>
        <w:numPr>
          <w:ilvl w:val="0"/>
          <w:numId w:val="78"/>
        </w:numPr>
        <w:rPr>
          <w:lang w:val="en-US"/>
        </w:rPr>
      </w:pPr>
      <w:r w:rsidRPr="00A4272B">
        <w:rPr>
          <w:lang w:val="en-US"/>
        </w:rPr>
        <w:t>Full description of sample characteristics;</w:t>
      </w:r>
    </w:p>
    <w:p w14:paraId="5FE72920" w14:textId="77777777" w:rsidR="00AE2951" w:rsidRPr="00A4272B" w:rsidRDefault="00AE2951">
      <w:pPr>
        <w:pStyle w:val="USAIDbullet1"/>
        <w:numPr>
          <w:ilvl w:val="0"/>
          <w:numId w:val="78"/>
        </w:numPr>
        <w:rPr>
          <w:lang w:val="en-US"/>
        </w:rPr>
      </w:pPr>
      <w:r w:rsidRPr="00A4272B">
        <w:rPr>
          <w:lang w:val="en-US"/>
        </w:rPr>
        <w:t>Labeling (sample numbers should be assigned in the protocol and prepared labels taken into the field);</w:t>
      </w:r>
    </w:p>
    <w:p w14:paraId="4221A07E" w14:textId="77777777" w:rsidR="00AE2951" w:rsidRPr="00A4272B" w:rsidRDefault="00AE2951">
      <w:pPr>
        <w:pStyle w:val="USAIDbullet1"/>
        <w:numPr>
          <w:ilvl w:val="0"/>
          <w:numId w:val="78"/>
        </w:numPr>
        <w:rPr>
          <w:lang w:val="en-US"/>
        </w:rPr>
      </w:pPr>
      <w:r w:rsidRPr="00A4272B">
        <w:rPr>
          <w:lang w:val="en-US"/>
        </w:rPr>
        <w:t>Labeling of samples (in the field) and sample registration for further follow-up;</w:t>
      </w:r>
    </w:p>
    <w:p w14:paraId="1F16E2E2" w14:textId="77777777" w:rsidR="00AE2951" w:rsidRPr="00A4272B" w:rsidRDefault="00AE2951">
      <w:pPr>
        <w:pStyle w:val="USAIDbullet1"/>
        <w:numPr>
          <w:ilvl w:val="0"/>
          <w:numId w:val="78"/>
        </w:numPr>
        <w:rPr>
          <w:lang w:val="en-US"/>
        </w:rPr>
      </w:pPr>
      <w:r w:rsidRPr="00A4272B">
        <w:rPr>
          <w:lang w:val="en-US"/>
        </w:rPr>
        <w:t>Indication of expected level of POP concentration in the sample;</w:t>
      </w:r>
    </w:p>
    <w:p w14:paraId="4C0ABB29" w14:textId="77777777" w:rsidR="00AE2951" w:rsidRPr="00A4272B" w:rsidRDefault="00AE2951">
      <w:pPr>
        <w:pStyle w:val="USAIDbullet1"/>
        <w:numPr>
          <w:ilvl w:val="0"/>
          <w:numId w:val="78"/>
        </w:numPr>
        <w:rPr>
          <w:lang w:val="en-US"/>
        </w:rPr>
      </w:pPr>
      <w:r w:rsidRPr="00A4272B">
        <w:rPr>
          <w:lang w:val="en-US"/>
        </w:rPr>
        <w:t>Any additional observation that may assist in the interpretation of the results;</w:t>
      </w:r>
    </w:p>
    <w:p w14:paraId="52BB0389" w14:textId="77777777" w:rsidR="00AE2951" w:rsidRPr="00A4272B" w:rsidRDefault="00AE2951">
      <w:pPr>
        <w:pStyle w:val="USAIDbullet1"/>
        <w:numPr>
          <w:ilvl w:val="0"/>
          <w:numId w:val="78"/>
        </w:numPr>
        <w:rPr>
          <w:lang w:val="en-US"/>
        </w:rPr>
      </w:pPr>
      <w:r w:rsidRPr="00A4272B">
        <w:rPr>
          <w:lang w:val="en-US"/>
        </w:rPr>
        <w:t>Quality assurance procedures to prevent cross-contamination;</w:t>
      </w:r>
    </w:p>
    <w:p w14:paraId="316B5FAB" w14:textId="675C2069" w:rsidR="00AE2951" w:rsidRPr="00A4272B" w:rsidRDefault="00AE2951">
      <w:pPr>
        <w:pStyle w:val="USAIDbullet1"/>
        <w:numPr>
          <w:ilvl w:val="0"/>
          <w:numId w:val="78"/>
        </w:numPr>
        <w:rPr>
          <w:lang w:val="en-US"/>
        </w:rPr>
      </w:pPr>
      <w:r w:rsidRPr="00A4272B">
        <w:rPr>
          <w:lang w:val="en-US"/>
        </w:rPr>
        <w:t>The SOP should also contain a section with details on personal protective equipment that must be worn and listing of other safety concerns as appropriate. Such SOPs have been developed by institutions and organizations such as UNEP (UNEP 2017a, b, c, d, UNEP 2018).</w:t>
      </w:r>
    </w:p>
    <w:p w14:paraId="7F41EB46" w14:textId="77777777" w:rsidR="00AE2951" w:rsidRPr="00A4272B" w:rsidRDefault="00AE2951" w:rsidP="0023432F">
      <w:pPr>
        <w:pStyle w:val="BodyText"/>
        <w:rPr>
          <w:rStyle w:val="Strong"/>
        </w:rPr>
      </w:pPr>
      <w:bookmarkStart w:id="844" w:name="_Toc145240713"/>
      <w:r w:rsidRPr="00A4272B">
        <w:rPr>
          <w:rStyle w:val="Strong"/>
        </w:rPr>
        <w:t>Sub-contracting a sampling laboratory</w:t>
      </w:r>
      <w:bookmarkEnd w:id="844"/>
    </w:p>
    <w:p w14:paraId="1EEBD990" w14:textId="12F9C337" w:rsidR="00AE2951" w:rsidRPr="00A4272B" w:rsidRDefault="00AE2951">
      <w:pPr>
        <w:pStyle w:val="BodyText"/>
        <w:numPr>
          <w:ilvl w:val="0"/>
          <w:numId w:val="79"/>
        </w:numPr>
      </w:pPr>
      <w:r w:rsidRPr="00A4272B">
        <w:t xml:space="preserve">No general recommendation can be given with respect to who should perform the sampling. For certain matrices, e.g., human blood, a specialist, i.e., medical doctor or nurse, has to take the sample. There are pros and contras for sub-contracting a laboratory specialist in sample taking. Sub-contracting the sampling can be an advantage to </w:t>
      </w:r>
      <w:r w:rsidRPr="00A4272B">
        <w:lastRenderedPageBreak/>
        <w:t>the laboratories that don’t have the required personnel and equipment, but the laboratory must be sure that the sampling was taken established quality assurance and quality control (QA/QC) conditions</w:t>
      </w:r>
      <w:r w:rsidR="003F50B4" w:rsidRPr="00A4272B">
        <w:t>;</w:t>
      </w:r>
    </w:p>
    <w:p w14:paraId="590629F9" w14:textId="77777777" w:rsidR="00AE2951" w:rsidRPr="00A4272B" w:rsidRDefault="00AE2951">
      <w:pPr>
        <w:pStyle w:val="BodyText"/>
        <w:numPr>
          <w:ilvl w:val="0"/>
          <w:numId w:val="79"/>
        </w:numPr>
      </w:pPr>
      <w:r w:rsidRPr="00A4272B">
        <w:t>In case a laboratory is sub-contracted to take the sample, it is recommended that the analytical laboratory establishes and provides the sampling protocol. Those in charge of the sampling process must apply security seals, as well as follow the preservation criteria to guarantee the integrity of the sample during transportation.</w:t>
      </w:r>
    </w:p>
    <w:p w14:paraId="5C852C4B" w14:textId="77777777" w:rsidR="00AE2951" w:rsidRPr="00A4272B" w:rsidRDefault="00AE2951" w:rsidP="0023432F">
      <w:pPr>
        <w:pStyle w:val="BodyText"/>
        <w:rPr>
          <w:rStyle w:val="Strong"/>
        </w:rPr>
      </w:pPr>
      <w:bookmarkStart w:id="845" w:name="_Toc145240714"/>
      <w:r w:rsidRPr="00A4272B">
        <w:rPr>
          <w:rStyle w:val="Strong"/>
        </w:rPr>
        <w:t>Transport and storage</w:t>
      </w:r>
      <w:bookmarkEnd w:id="845"/>
    </w:p>
    <w:p w14:paraId="7C01163B" w14:textId="77777777" w:rsidR="00AE2951" w:rsidRPr="00A4272B" w:rsidRDefault="00AE2951" w:rsidP="0023432F">
      <w:pPr>
        <w:pStyle w:val="BodyText"/>
      </w:pPr>
      <w:r w:rsidRPr="00A4272B">
        <w:t>The SOP also includes the requirements for transport and storage. More specifically, these are:</w:t>
      </w:r>
    </w:p>
    <w:p w14:paraId="50BEBF3B" w14:textId="77777777" w:rsidR="00AE2951" w:rsidRPr="00A4272B" w:rsidRDefault="00AE2951">
      <w:pPr>
        <w:pStyle w:val="USAIDbullet1"/>
        <w:numPr>
          <w:ilvl w:val="0"/>
          <w:numId w:val="80"/>
        </w:numPr>
        <w:rPr>
          <w:lang w:val="en-US"/>
        </w:rPr>
      </w:pPr>
      <w:r w:rsidRPr="00A4272B">
        <w:rPr>
          <w:lang w:val="en-US"/>
        </w:rPr>
        <w:t xml:space="preserve">Transport and storage conditions for each sample matrix including adequate facilities and infrastructure to be provided, e.g., freezers; </w:t>
      </w:r>
    </w:p>
    <w:p w14:paraId="40BB268E" w14:textId="77777777" w:rsidR="00AE2951" w:rsidRPr="00A4272B" w:rsidRDefault="00AE2951">
      <w:pPr>
        <w:pStyle w:val="USAIDbullet1"/>
        <w:numPr>
          <w:ilvl w:val="0"/>
          <w:numId w:val="80"/>
        </w:numPr>
        <w:rPr>
          <w:lang w:val="en-US"/>
        </w:rPr>
      </w:pPr>
      <w:r w:rsidRPr="00A4272B">
        <w:rPr>
          <w:lang w:val="en-US"/>
        </w:rPr>
        <w:t>Preservation of integrity of samples during transport (temperature, light, etc.);</w:t>
      </w:r>
    </w:p>
    <w:p w14:paraId="66C2F38B" w14:textId="77777777" w:rsidR="00AE2951" w:rsidRPr="00A4272B" w:rsidRDefault="00AE2951">
      <w:pPr>
        <w:pStyle w:val="USAIDbullet1"/>
        <w:numPr>
          <w:ilvl w:val="0"/>
          <w:numId w:val="80"/>
        </w:numPr>
        <w:rPr>
          <w:lang w:val="en-US"/>
        </w:rPr>
      </w:pPr>
      <w:r w:rsidRPr="00A4272B">
        <w:rPr>
          <w:lang w:val="en-US"/>
        </w:rPr>
        <w:t xml:space="preserve">Provisions for adequate storage, including: </w:t>
      </w:r>
    </w:p>
    <w:p w14:paraId="60061328" w14:textId="77777777" w:rsidR="00AE2951" w:rsidRPr="00A4272B" w:rsidRDefault="00AE2951">
      <w:pPr>
        <w:pStyle w:val="BodyText"/>
        <w:numPr>
          <w:ilvl w:val="0"/>
          <w:numId w:val="81"/>
        </w:numPr>
      </w:pPr>
      <w:r w:rsidRPr="00A4272B">
        <w:t>Registry of the performance of refrigerators and freezers, e.g., registration and control of temperature;</w:t>
      </w:r>
    </w:p>
    <w:p w14:paraId="6419C271" w14:textId="77777777" w:rsidR="00AE2951" w:rsidRPr="00A4272B" w:rsidRDefault="00AE2951">
      <w:pPr>
        <w:pStyle w:val="BodyText"/>
        <w:numPr>
          <w:ilvl w:val="0"/>
          <w:numId w:val="81"/>
        </w:numPr>
      </w:pPr>
      <w:r w:rsidRPr="00A4272B">
        <w:t>Availability of automatic power-supply equipment in case of power cuts;</w:t>
      </w:r>
    </w:p>
    <w:p w14:paraId="4B454BE1" w14:textId="77777777" w:rsidR="00AE2951" w:rsidRPr="00A4272B" w:rsidRDefault="00AE2951">
      <w:pPr>
        <w:pStyle w:val="BodyText"/>
        <w:numPr>
          <w:ilvl w:val="0"/>
          <w:numId w:val="81"/>
        </w:numPr>
      </w:pPr>
      <w:r w:rsidRPr="00A4272B">
        <w:t>There may be limits in storage times, temperature and other conditions;</w:t>
      </w:r>
    </w:p>
    <w:p w14:paraId="3C7CE6FB" w14:textId="77777777" w:rsidR="00AE2951" w:rsidRPr="00A4272B" w:rsidRDefault="00AE2951">
      <w:pPr>
        <w:pStyle w:val="USAIDbullet1"/>
        <w:numPr>
          <w:ilvl w:val="0"/>
          <w:numId w:val="80"/>
        </w:numPr>
        <w:rPr>
          <w:lang w:val="en-US"/>
        </w:rPr>
      </w:pPr>
      <w:r w:rsidRPr="00A4272B">
        <w:rPr>
          <w:lang w:val="en-US"/>
        </w:rPr>
        <w:t>Preservation of individual samples for their re-analysis (counter-sample);</w:t>
      </w:r>
    </w:p>
    <w:p w14:paraId="1EB608C5" w14:textId="77777777" w:rsidR="00AE2951" w:rsidRPr="00A4272B" w:rsidRDefault="00AE2951">
      <w:pPr>
        <w:pStyle w:val="USAIDbullet1"/>
        <w:numPr>
          <w:ilvl w:val="0"/>
          <w:numId w:val="80"/>
        </w:numPr>
        <w:rPr>
          <w:lang w:val="en-US"/>
        </w:rPr>
      </w:pPr>
      <w:r w:rsidRPr="00A4272B">
        <w:rPr>
          <w:lang w:val="en-US"/>
        </w:rPr>
        <w:t>Pre-analytical treatment of the sample: statistical criteria to obtain sub-samples and composite samples (pools) that are representative; homogenization of solids and tissue.</w:t>
      </w:r>
    </w:p>
    <w:p w14:paraId="487B4263" w14:textId="77777777" w:rsidR="00AE2951" w:rsidRPr="00A4272B" w:rsidRDefault="00AE2951" w:rsidP="0023432F">
      <w:pPr>
        <w:pStyle w:val="BodyText"/>
      </w:pPr>
      <w:r w:rsidRPr="00A4272B">
        <w:t>Note: there may be requirements for shipment to be addressed and respected. Especially in the case of international shipment, considerations for transport and customs’ clearance must be taken into account since restrictions may exist.</w:t>
      </w:r>
    </w:p>
    <w:p w14:paraId="3BAE9B1E" w14:textId="77777777" w:rsidR="00AE2951" w:rsidRPr="00A4272B" w:rsidRDefault="00AE2951" w:rsidP="0023432F">
      <w:pPr>
        <w:pStyle w:val="BodyText"/>
        <w:rPr>
          <w:rStyle w:val="Strong"/>
        </w:rPr>
      </w:pPr>
      <w:bookmarkStart w:id="846" w:name="_Toc145240715"/>
      <w:r w:rsidRPr="00A4272B">
        <w:rPr>
          <w:rStyle w:val="Strong"/>
        </w:rPr>
        <w:t>Analysis</w:t>
      </w:r>
      <w:bookmarkEnd w:id="846"/>
    </w:p>
    <w:p w14:paraId="3481AEDB" w14:textId="77777777" w:rsidR="00AE2951" w:rsidRPr="00A4272B" w:rsidRDefault="00AE2951" w:rsidP="0023432F">
      <w:pPr>
        <w:pStyle w:val="BodyText"/>
      </w:pPr>
      <w:r w:rsidRPr="00A4272B">
        <w:t>Key steps to be considered are:</w:t>
      </w:r>
    </w:p>
    <w:p w14:paraId="6E1DE30B" w14:textId="77777777" w:rsidR="00AE2951" w:rsidRPr="00A4272B" w:rsidRDefault="00AE2951">
      <w:pPr>
        <w:pStyle w:val="USAIDbullet1"/>
        <w:numPr>
          <w:ilvl w:val="0"/>
          <w:numId w:val="82"/>
        </w:numPr>
        <w:rPr>
          <w:lang w:val="en-US"/>
        </w:rPr>
      </w:pPr>
      <w:r w:rsidRPr="00A4272B">
        <w:rPr>
          <w:lang w:val="en-US"/>
        </w:rPr>
        <w:t>Procedures and acceptance criteria for handling and preparation of the sample in the laboratory;</w:t>
      </w:r>
    </w:p>
    <w:p w14:paraId="0B9C14E3" w14:textId="2E3CA5E7" w:rsidR="00AE2951" w:rsidRPr="00A4272B" w:rsidRDefault="00AE2951">
      <w:pPr>
        <w:pStyle w:val="USAIDbullet1"/>
        <w:numPr>
          <w:ilvl w:val="0"/>
          <w:numId w:val="82"/>
        </w:numPr>
        <w:rPr>
          <w:lang w:val="en-US"/>
        </w:rPr>
      </w:pPr>
      <w:r w:rsidRPr="00A4272B">
        <w:rPr>
          <w:lang w:val="en-US"/>
        </w:rPr>
        <w:t>Standard QA/QC procedures must be followed by the laboratory; accreditation is recommended</w:t>
      </w:r>
      <w:r w:rsidR="003F50B4" w:rsidRPr="00A4272B">
        <w:rPr>
          <w:lang w:val="en-US"/>
        </w:rPr>
        <w:t>;</w:t>
      </w:r>
    </w:p>
    <w:p w14:paraId="7DD9ED8D" w14:textId="77777777" w:rsidR="00AE2951" w:rsidRPr="00A4272B" w:rsidRDefault="00AE2951">
      <w:pPr>
        <w:pStyle w:val="USAIDbullet1"/>
        <w:numPr>
          <w:ilvl w:val="0"/>
          <w:numId w:val="82"/>
        </w:numPr>
        <w:rPr>
          <w:lang w:val="en-US"/>
        </w:rPr>
      </w:pPr>
      <w:r w:rsidRPr="00A4272B">
        <w:rPr>
          <w:lang w:val="en-US"/>
        </w:rPr>
        <w:t>Participation at international intercalibration studies, analysis of certified or laboratory reference materials are essential.</w:t>
      </w:r>
    </w:p>
    <w:p w14:paraId="2C7B370E" w14:textId="77777777" w:rsidR="00AE2951" w:rsidRPr="00A4272B" w:rsidRDefault="00AE2951" w:rsidP="00606AE8">
      <w:pPr>
        <w:pStyle w:val="USAIDbullet1"/>
        <w:numPr>
          <w:ilvl w:val="0"/>
          <w:numId w:val="0"/>
        </w:numPr>
        <w:rPr>
          <w:lang w:val="en-US"/>
        </w:rPr>
      </w:pPr>
      <w:r w:rsidRPr="00A4272B">
        <w:rPr>
          <w:lang w:val="en-US"/>
        </w:rPr>
        <w:t>Protocols were developed for the sampling and analyses of POPs in abiotic and biotic matrices under the UNEP/GEF GMP projects (UNEP 2014 a, b, UNEP2015a, b, c), which could be used as examples.</w:t>
      </w:r>
    </w:p>
    <w:p w14:paraId="0DFBDF3E" w14:textId="77777777" w:rsidR="00AE2951" w:rsidRPr="00A4272B" w:rsidRDefault="00AE2951" w:rsidP="0023432F">
      <w:pPr>
        <w:pStyle w:val="BodyText"/>
        <w:rPr>
          <w:rStyle w:val="Strong"/>
        </w:rPr>
      </w:pPr>
      <w:bookmarkStart w:id="847" w:name="_Toc145240716"/>
      <w:r w:rsidRPr="00A4272B">
        <w:rPr>
          <w:rStyle w:val="Strong"/>
        </w:rPr>
        <w:t>Set-up and infrastructure</w:t>
      </w:r>
      <w:bookmarkEnd w:id="847"/>
    </w:p>
    <w:p w14:paraId="12B0081F" w14:textId="77777777" w:rsidR="00AE2951" w:rsidRPr="00A4272B" w:rsidRDefault="00AE2951" w:rsidP="0023432F">
      <w:pPr>
        <w:pStyle w:val="BodyText"/>
      </w:pPr>
      <w:r w:rsidRPr="00A4272B">
        <w:t>In order to guarantee preservation of the samples, control of potential cross-contamination, standardization of the technique, calibration, and good maintenance of instruments, the requirements listed below are considered indispensable. In general, the laboratory should be clean and safe, well organized, and have adequately trained staff to conduct the analysis. Having implemented the above mentioned measures may allow for accreditation. The requirements include:</w:t>
      </w:r>
    </w:p>
    <w:p w14:paraId="06344264" w14:textId="77777777" w:rsidR="00AE2951" w:rsidRPr="00A4272B" w:rsidRDefault="00AE2951">
      <w:pPr>
        <w:pStyle w:val="USAIDbullet1"/>
        <w:numPr>
          <w:ilvl w:val="0"/>
          <w:numId w:val="83"/>
        </w:numPr>
        <w:rPr>
          <w:lang w:val="en-US"/>
        </w:rPr>
      </w:pPr>
      <w:r w:rsidRPr="00A4272B">
        <w:rPr>
          <w:lang w:val="en-US"/>
        </w:rPr>
        <w:t>General laboratory environmental conditions should ensure enough laboratory space for each step of the analysis and avoid interference between individual samples. This includes:</w:t>
      </w:r>
    </w:p>
    <w:p w14:paraId="1DE3A17D" w14:textId="77777777" w:rsidR="00AE2951" w:rsidRPr="00A4272B" w:rsidRDefault="00AE2951">
      <w:pPr>
        <w:pStyle w:val="BodyText"/>
        <w:numPr>
          <w:ilvl w:val="0"/>
          <w:numId w:val="84"/>
        </w:numPr>
      </w:pPr>
      <w:r w:rsidRPr="00A4272B">
        <w:t>Physical separation of standards and samples;</w:t>
      </w:r>
    </w:p>
    <w:p w14:paraId="40B703DD" w14:textId="77777777" w:rsidR="00AE2951" w:rsidRPr="00A4272B" w:rsidRDefault="00AE2951">
      <w:pPr>
        <w:pStyle w:val="BodyText"/>
        <w:numPr>
          <w:ilvl w:val="0"/>
          <w:numId w:val="84"/>
        </w:numPr>
      </w:pPr>
      <w:r w:rsidRPr="00A4272B">
        <w:t>Expected POP concentration (minimize cross-contamination by separating highly contaminated samples from low contamination samples);</w:t>
      </w:r>
    </w:p>
    <w:p w14:paraId="481C0BC1" w14:textId="77777777" w:rsidR="00AE2951" w:rsidRPr="00A4272B" w:rsidRDefault="00AE2951">
      <w:pPr>
        <w:pStyle w:val="BodyText"/>
        <w:numPr>
          <w:ilvl w:val="0"/>
          <w:numId w:val="84"/>
        </w:numPr>
      </w:pPr>
      <w:r w:rsidRPr="00A4272B">
        <w:t>Control of temperature and provision of air-conditioning;</w:t>
      </w:r>
    </w:p>
    <w:p w14:paraId="76FBB61D" w14:textId="77777777" w:rsidR="00AE2951" w:rsidRPr="00A4272B" w:rsidRDefault="00AE2951">
      <w:pPr>
        <w:pStyle w:val="BodyText"/>
        <w:numPr>
          <w:ilvl w:val="0"/>
          <w:numId w:val="84"/>
        </w:numPr>
      </w:pPr>
      <w:r w:rsidRPr="00A4272B">
        <w:t>Availability of extraction hoods;</w:t>
      </w:r>
    </w:p>
    <w:p w14:paraId="31866FEC" w14:textId="77777777" w:rsidR="00AE2951" w:rsidRPr="00A4272B" w:rsidRDefault="00AE2951">
      <w:pPr>
        <w:pStyle w:val="BodyText"/>
        <w:numPr>
          <w:ilvl w:val="0"/>
          <w:numId w:val="84"/>
        </w:numPr>
      </w:pPr>
      <w:r w:rsidRPr="00A4272B">
        <w:t>Handling area of inflammable products;</w:t>
      </w:r>
    </w:p>
    <w:p w14:paraId="0D806E1B" w14:textId="77777777" w:rsidR="00AE2951" w:rsidRPr="00A4272B" w:rsidRDefault="00AE2951">
      <w:pPr>
        <w:pStyle w:val="BodyText"/>
        <w:numPr>
          <w:ilvl w:val="0"/>
          <w:numId w:val="84"/>
        </w:numPr>
      </w:pPr>
      <w:r w:rsidRPr="00A4272B">
        <w:t>Provisions for laboratory waste disposal;</w:t>
      </w:r>
    </w:p>
    <w:p w14:paraId="130CAC39" w14:textId="77777777" w:rsidR="00AE2951" w:rsidRPr="00A4272B" w:rsidRDefault="00AE2951">
      <w:pPr>
        <w:pStyle w:val="BodyText"/>
        <w:numPr>
          <w:ilvl w:val="0"/>
          <w:numId w:val="84"/>
        </w:numPr>
      </w:pPr>
      <w:r w:rsidRPr="00A4272B">
        <w:t>Facilities such as refrgerator for storage of samples.</w:t>
      </w:r>
    </w:p>
    <w:p w14:paraId="6837B2D6" w14:textId="77777777" w:rsidR="00AE2951" w:rsidRPr="00A4272B" w:rsidRDefault="00AE2951">
      <w:pPr>
        <w:pStyle w:val="USAIDbullet1"/>
        <w:numPr>
          <w:ilvl w:val="0"/>
          <w:numId w:val="83"/>
        </w:numPr>
        <w:rPr>
          <w:lang w:val="en-US"/>
        </w:rPr>
      </w:pPr>
      <w:r w:rsidRPr="00A4272B">
        <w:rPr>
          <w:lang w:val="en-US"/>
        </w:rPr>
        <w:lastRenderedPageBreak/>
        <w:t>Ensure and document the custody chain of the sample: verify the integrity and preservation of the samples (maintenance) in terms of temperature, containers, labels, registry, those responsible at each stage, establishment of acceptance criteria (conditions as well as quantity of material, according to analyte and matrix);</w:t>
      </w:r>
    </w:p>
    <w:p w14:paraId="3BD4BB6C" w14:textId="77777777" w:rsidR="00AE2951" w:rsidRPr="00A4272B" w:rsidRDefault="00AE2951">
      <w:pPr>
        <w:pStyle w:val="USAIDbullet1"/>
        <w:numPr>
          <w:ilvl w:val="0"/>
          <w:numId w:val="83"/>
        </w:numPr>
        <w:rPr>
          <w:lang w:val="en-US"/>
        </w:rPr>
      </w:pPr>
      <w:r w:rsidRPr="00A4272B">
        <w:rPr>
          <w:lang w:val="en-US"/>
        </w:rPr>
        <w:t xml:space="preserve">Separation of aliquots: In the case of complementary analysis (for example, fat determinations) prior to the freezing of the sample; </w:t>
      </w:r>
    </w:p>
    <w:p w14:paraId="6B26E57D" w14:textId="7816CA2B" w:rsidR="00AE2951" w:rsidRPr="00A4272B" w:rsidRDefault="00AE2951">
      <w:pPr>
        <w:pStyle w:val="USAIDbullet1"/>
        <w:numPr>
          <w:ilvl w:val="0"/>
          <w:numId w:val="83"/>
        </w:numPr>
        <w:rPr>
          <w:lang w:val="en-US"/>
        </w:rPr>
      </w:pPr>
      <w:r w:rsidRPr="00A4272B">
        <w:rPr>
          <w:lang w:val="en-US"/>
        </w:rPr>
        <w:t>Selection and validation of the analytical method: Use method validation protocol according to the type of analyte and matrix (selectivity, repeatability, ability to reproduce, extraction efficiency, recovery, detection limit, quantification limit, uncertainty). Quality of solvents and reagents (blanks). Clean glass material (avoid cross-contamination). Maintenance and calibration of auxiliary equipment (stoves, scales, test tubes, pipettes, glassware). Protocols and procedures must be clearly described and documented.</w:t>
      </w:r>
    </w:p>
    <w:p w14:paraId="4E3EE2A5" w14:textId="77777777" w:rsidR="00AE2951" w:rsidRPr="00A4272B" w:rsidRDefault="00AE2951" w:rsidP="0023432F">
      <w:pPr>
        <w:pStyle w:val="BodyText"/>
        <w:rPr>
          <w:rStyle w:val="Strong"/>
        </w:rPr>
      </w:pPr>
      <w:bookmarkStart w:id="848" w:name="_Toc145240717"/>
      <w:r w:rsidRPr="00A4272B">
        <w:rPr>
          <w:rStyle w:val="Strong"/>
        </w:rPr>
        <w:t>Extraction</w:t>
      </w:r>
      <w:bookmarkEnd w:id="848"/>
    </w:p>
    <w:p w14:paraId="5D89C60E" w14:textId="77777777" w:rsidR="00AE2951" w:rsidRPr="00A4272B" w:rsidRDefault="00AE2951" w:rsidP="0023432F">
      <w:pPr>
        <w:pStyle w:val="BodyText"/>
      </w:pPr>
      <w:r w:rsidRPr="00A4272B">
        <w:t>There are various methods for extraction, which include Soxhlet, solid phase, liquid-liquid, and pressurized extractions. Detailed guidance can be found in Chapter 5. After extraction, the extract will be concentrated. In order to do so, the technique should be optimized to avoid excessive loss of the analyte. Typically, this step includes: evaporation under vacuum or with nitrogen (Note: control of temperature, flow of nitrogen, and vacuum are essential). Complete drying of the extract should be avoided; the possibility of adding a high boiling compound as a “keeper” may be considered.</w:t>
      </w:r>
    </w:p>
    <w:p w14:paraId="097FF96E" w14:textId="77777777" w:rsidR="00AE2951" w:rsidRPr="00A4272B" w:rsidRDefault="00AE2951">
      <w:pPr>
        <w:pStyle w:val="USAIDbullet1"/>
        <w:numPr>
          <w:ilvl w:val="0"/>
          <w:numId w:val="85"/>
        </w:numPr>
        <w:rPr>
          <w:lang w:val="en-US"/>
        </w:rPr>
      </w:pPr>
      <w:r w:rsidRPr="00A4272B">
        <w:rPr>
          <w:lang w:val="en-US"/>
        </w:rPr>
        <w:t>Before or during extraction, water, lipids, proteins, and sulfur should be eliminated. This can be done by:</w:t>
      </w:r>
    </w:p>
    <w:p w14:paraId="0D90AB7C" w14:textId="77777777" w:rsidR="00AE2951" w:rsidRPr="00A4272B" w:rsidRDefault="00AE2951">
      <w:pPr>
        <w:pStyle w:val="USAIDbullet1"/>
        <w:numPr>
          <w:ilvl w:val="0"/>
          <w:numId w:val="86"/>
        </w:numPr>
        <w:rPr>
          <w:lang w:val="en-US"/>
        </w:rPr>
      </w:pPr>
      <w:r w:rsidRPr="00A4272B">
        <w:rPr>
          <w:lang w:val="en-US"/>
        </w:rPr>
        <w:t>Elimination of water by drying of the sample with sodium sulphate or equivalent demonstrated acceptable drying procedure;</w:t>
      </w:r>
    </w:p>
    <w:p w14:paraId="020F6235" w14:textId="77777777" w:rsidR="00AE2951" w:rsidRPr="00A4272B" w:rsidRDefault="00AE2951">
      <w:pPr>
        <w:pStyle w:val="USAIDbullet1"/>
        <w:numPr>
          <w:ilvl w:val="0"/>
          <w:numId w:val="86"/>
        </w:numPr>
        <w:rPr>
          <w:lang w:val="en-US"/>
        </w:rPr>
      </w:pPr>
      <w:r w:rsidRPr="00A4272B">
        <w:rPr>
          <w:lang w:val="en-US"/>
        </w:rPr>
        <w:t>Elimination of lipids with sulphuric acid or permeation in gels after extraction;</w:t>
      </w:r>
    </w:p>
    <w:p w14:paraId="23373A89" w14:textId="77777777" w:rsidR="00AE2951" w:rsidRPr="00A4272B" w:rsidRDefault="00AE2951">
      <w:pPr>
        <w:pStyle w:val="USAIDbullet1"/>
        <w:numPr>
          <w:ilvl w:val="0"/>
          <w:numId w:val="86"/>
        </w:numPr>
        <w:rPr>
          <w:lang w:val="en-US"/>
        </w:rPr>
      </w:pPr>
      <w:r w:rsidRPr="00A4272B">
        <w:rPr>
          <w:lang w:val="en-US"/>
        </w:rPr>
        <w:t>Denaturation of proteins with oxalate;</w:t>
      </w:r>
    </w:p>
    <w:p w14:paraId="18CD64DA" w14:textId="77777777" w:rsidR="00AE2951" w:rsidRPr="00A4272B" w:rsidRDefault="00AE2951">
      <w:pPr>
        <w:pStyle w:val="USAIDbullet1"/>
        <w:numPr>
          <w:ilvl w:val="0"/>
          <w:numId w:val="86"/>
        </w:numPr>
        <w:rPr>
          <w:lang w:val="en-US"/>
        </w:rPr>
      </w:pPr>
      <w:r w:rsidRPr="00A4272B">
        <w:rPr>
          <w:lang w:val="en-US"/>
        </w:rPr>
        <w:t>Elimination of sulphur with activated copper or by gel permeation after extraction;</w:t>
      </w:r>
    </w:p>
    <w:p w14:paraId="1AA2C9D4" w14:textId="77777777" w:rsidR="00AE2951" w:rsidRPr="00A4272B" w:rsidRDefault="00AE2951">
      <w:pPr>
        <w:pStyle w:val="USAIDbullet1"/>
        <w:numPr>
          <w:ilvl w:val="0"/>
          <w:numId w:val="85"/>
        </w:numPr>
        <w:rPr>
          <w:lang w:val="en-US"/>
        </w:rPr>
      </w:pPr>
      <w:r w:rsidRPr="00A4272B">
        <w:rPr>
          <w:lang w:val="en-US"/>
        </w:rPr>
        <w:t xml:space="preserve">Purity of extraction solvents is also a major consideration. Only high purity glass distilled solvents should be used; </w:t>
      </w:r>
    </w:p>
    <w:p w14:paraId="72257A31" w14:textId="77777777" w:rsidR="00AE2951" w:rsidRPr="00A4272B" w:rsidRDefault="00AE2951">
      <w:pPr>
        <w:pStyle w:val="USAIDbullet1"/>
        <w:numPr>
          <w:ilvl w:val="0"/>
          <w:numId w:val="85"/>
        </w:numPr>
        <w:rPr>
          <w:lang w:val="en-US"/>
        </w:rPr>
      </w:pPr>
      <w:r w:rsidRPr="00A4272B">
        <w:rPr>
          <w:lang w:val="en-US"/>
        </w:rPr>
        <w:t>Extraction should be standardized with respect to extraction times, type of solvent, and performance of auxiliary equipment;</w:t>
      </w:r>
    </w:p>
    <w:p w14:paraId="22CDA223" w14:textId="77777777" w:rsidR="00AE2951" w:rsidRPr="00A4272B" w:rsidRDefault="00AE2951">
      <w:pPr>
        <w:pStyle w:val="USAIDbullet1"/>
        <w:numPr>
          <w:ilvl w:val="0"/>
          <w:numId w:val="85"/>
        </w:numPr>
        <w:rPr>
          <w:lang w:val="en-US"/>
        </w:rPr>
      </w:pPr>
      <w:r w:rsidRPr="00A4272B">
        <w:rPr>
          <w:lang w:val="en-US"/>
        </w:rPr>
        <w:t>Before extraction, internal standards should be added to control the extraction efficiency;</w:t>
      </w:r>
    </w:p>
    <w:p w14:paraId="45D1E7C4" w14:textId="77777777" w:rsidR="00AE2951" w:rsidRPr="00A4272B" w:rsidRDefault="00AE2951">
      <w:pPr>
        <w:pStyle w:val="USAIDbullet1"/>
        <w:numPr>
          <w:ilvl w:val="0"/>
          <w:numId w:val="85"/>
        </w:numPr>
        <w:rPr>
          <w:lang w:val="en-US"/>
        </w:rPr>
      </w:pPr>
      <w:r w:rsidRPr="00A4272B">
        <w:rPr>
          <w:lang w:val="en-US"/>
        </w:rPr>
        <w:t xml:space="preserve">The recoveries of the extraction standards differ with POP to be analyzed and matrix. Based on current experiences (from international calibration studies) as a general rule: </w:t>
      </w:r>
    </w:p>
    <w:p w14:paraId="20B515E2" w14:textId="13E0B10A" w:rsidR="00AE2951" w:rsidRPr="00A4272B" w:rsidRDefault="00AE2951">
      <w:pPr>
        <w:pStyle w:val="USAIDbullet1"/>
        <w:numPr>
          <w:ilvl w:val="0"/>
          <w:numId w:val="87"/>
        </w:numPr>
        <w:rPr>
          <w:lang w:val="en-US"/>
        </w:rPr>
      </w:pPr>
      <w:r w:rsidRPr="00A4272B">
        <w:rPr>
          <w:lang w:val="en-US"/>
        </w:rPr>
        <w:t>For PCB</w:t>
      </w:r>
      <w:r w:rsidR="0051584B" w:rsidRPr="00A4272B">
        <w:rPr>
          <w:lang w:val="en-US"/>
        </w:rPr>
        <w:t>s</w:t>
      </w:r>
      <w:r w:rsidRPr="00A4272B">
        <w:rPr>
          <w:lang w:val="en-US"/>
        </w:rPr>
        <w:t xml:space="preserve"> and pesticides: 80 %-120 % (for tetra- and penta-chlorinated PCB recoveries down to 60 % can be accepted);</w:t>
      </w:r>
    </w:p>
    <w:p w14:paraId="5E15441C" w14:textId="72A017FB" w:rsidR="00AE2951" w:rsidRPr="00A4272B" w:rsidRDefault="00AE2951">
      <w:pPr>
        <w:pStyle w:val="USAIDbullet1"/>
        <w:numPr>
          <w:ilvl w:val="0"/>
          <w:numId w:val="87"/>
        </w:numPr>
        <w:rPr>
          <w:lang w:val="en-US"/>
        </w:rPr>
      </w:pPr>
      <w:r w:rsidRPr="00A4272B">
        <w:rPr>
          <w:lang w:val="en-US"/>
        </w:rPr>
        <w:t xml:space="preserve">For </w:t>
      </w:r>
      <w:r w:rsidR="0051584B" w:rsidRPr="00A4272B">
        <w:rPr>
          <w:lang w:val="en-US"/>
        </w:rPr>
        <w:t>PCDDs/Fs</w:t>
      </w:r>
      <w:r w:rsidRPr="00A4272B">
        <w:rPr>
          <w:lang w:val="en-US"/>
        </w:rPr>
        <w:t xml:space="preserve">: 50 %-130 % (for hepta- and octa-chlorinated </w:t>
      </w:r>
      <w:r w:rsidR="0051584B" w:rsidRPr="00A4272B">
        <w:rPr>
          <w:lang w:val="en-US"/>
        </w:rPr>
        <w:t>PCDDs/Fs</w:t>
      </w:r>
      <w:r w:rsidRPr="00A4272B">
        <w:rPr>
          <w:lang w:val="en-US"/>
        </w:rPr>
        <w:t xml:space="preserve"> 40 %</w:t>
      </w:r>
      <w:r w:rsidRPr="00A4272B">
        <w:rPr>
          <w:lang w:val="en-US"/>
        </w:rPr>
        <w:noBreakHyphen/>
        <w:t>150 % can be accepted).</w:t>
      </w:r>
    </w:p>
    <w:p w14:paraId="70E2CB2C" w14:textId="77777777" w:rsidR="00AE2951" w:rsidRPr="00A4272B" w:rsidRDefault="00AE2951">
      <w:pPr>
        <w:pStyle w:val="USAIDbullet1"/>
        <w:numPr>
          <w:ilvl w:val="0"/>
          <w:numId w:val="87"/>
        </w:numPr>
        <w:rPr>
          <w:lang w:val="en-US"/>
        </w:rPr>
      </w:pPr>
      <w:r w:rsidRPr="00A4272B">
        <w:rPr>
          <w:lang w:val="en-US"/>
        </w:rPr>
        <w:t>The extracts not used in the analysis can be stored, preferably in glass ampoules, at 20°C.</w:t>
      </w:r>
    </w:p>
    <w:p w14:paraId="4799517E" w14:textId="77777777" w:rsidR="00AE2951" w:rsidRPr="00A4272B" w:rsidRDefault="00AE2951" w:rsidP="0023432F">
      <w:pPr>
        <w:pStyle w:val="BodyText"/>
        <w:rPr>
          <w:rStyle w:val="Strong"/>
        </w:rPr>
      </w:pPr>
      <w:r w:rsidRPr="00A4272B">
        <w:rPr>
          <w:rStyle w:val="Strong"/>
        </w:rPr>
        <w:t>Clean-up</w:t>
      </w:r>
    </w:p>
    <w:p w14:paraId="5FD82803" w14:textId="77777777" w:rsidR="00AE2951" w:rsidRPr="00A4272B" w:rsidRDefault="00AE2951">
      <w:pPr>
        <w:pStyle w:val="BodyText"/>
        <w:numPr>
          <w:ilvl w:val="0"/>
          <w:numId w:val="88"/>
        </w:numPr>
      </w:pPr>
      <w:r w:rsidRPr="00A4272B">
        <w:t>Clean-up is done to remove interfering substances/materials from the analyte in order to obtain unambiguous results. Purification should be efficient enough so that the chromatographic retention is not influenced by the matrix (especially when no labelled internal standards are used or no mass-specific detector is available).</w:t>
      </w:r>
    </w:p>
    <w:p w14:paraId="0283E1BF" w14:textId="77777777" w:rsidR="00AE2951" w:rsidRPr="00A4272B" w:rsidRDefault="00AE2951">
      <w:pPr>
        <w:pStyle w:val="BodyText"/>
        <w:numPr>
          <w:ilvl w:val="0"/>
          <w:numId w:val="88"/>
        </w:numPr>
      </w:pPr>
      <w:r w:rsidRPr="00A4272B">
        <w:t>Clean-up is performed with various combinations of adsorbents and solvents depending on selectivity, conditioning and column flow. During purification the following aspects need to be controlled or maintained:</w:t>
      </w:r>
    </w:p>
    <w:p w14:paraId="18780A05" w14:textId="77777777" w:rsidR="00AE2951" w:rsidRPr="00A4272B" w:rsidRDefault="00AE2951">
      <w:pPr>
        <w:pStyle w:val="USAIDbullet1"/>
        <w:numPr>
          <w:ilvl w:val="0"/>
          <w:numId w:val="89"/>
        </w:numPr>
        <w:rPr>
          <w:lang w:val="en-US"/>
        </w:rPr>
      </w:pPr>
      <w:r w:rsidRPr="00A4272B">
        <w:rPr>
          <w:lang w:val="en-US"/>
        </w:rPr>
        <w:t>An internal standard is added at a concentration giving a signal/noise ratio of at least 20/1, with fixed concentrations of internal standards from sample to sample in order to obtain adequate response factors;</w:t>
      </w:r>
    </w:p>
    <w:p w14:paraId="50252D0C" w14:textId="77777777" w:rsidR="00AE2951" w:rsidRPr="00A4272B" w:rsidRDefault="00AE2951">
      <w:pPr>
        <w:pStyle w:val="USAIDbullet1"/>
        <w:numPr>
          <w:ilvl w:val="0"/>
          <w:numId w:val="89"/>
        </w:numPr>
        <w:rPr>
          <w:lang w:val="en-US"/>
        </w:rPr>
      </w:pPr>
      <w:r w:rsidRPr="00A4272B">
        <w:rPr>
          <w:lang w:val="en-US"/>
        </w:rPr>
        <w:t>Control fraction cut.</w:t>
      </w:r>
    </w:p>
    <w:p w14:paraId="3D3DFDED" w14:textId="77777777" w:rsidR="00AE2951" w:rsidRPr="00A4272B" w:rsidRDefault="00AE2951" w:rsidP="0023432F">
      <w:pPr>
        <w:pStyle w:val="BodyText"/>
        <w:rPr>
          <w:rStyle w:val="Strong"/>
        </w:rPr>
      </w:pPr>
      <w:bookmarkStart w:id="849" w:name="_Toc145240719"/>
      <w:r w:rsidRPr="00A4272B">
        <w:rPr>
          <w:rStyle w:val="Strong"/>
        </w:rPr>
        <w:t>Separation</w:t>
      </w:r>
      <w:bookmarkEnd w:id="849"/>
    </w:p>
    <w:p w14:paraId="0E433B67" w14:textId="64A233E9" w:rsidR="00AE2951" w:rsidRPr="00A4272B" w:rsidRDefault="00AE2951" w:rsidP="0023432F">
      <w:pPr>
        <w:pStyle w:val="BodyText"/>
      </w:pPr>
      <w:r w:rsidRPr="00A4272B">
        <w:t>Separation of POPs is conducted using gas chromatography with electronic capture detector (ECD), mass selective detector (MS detector) or, if available, high-resolution mass spectrometry (HRMS or MS/MS). Other separation techniques, such as high-pressure liquid chromatography (HPLC), have not been found adequate except for PFASs.</w:t>
      </w:r>
    </w:p>
    <w:p w14:paraId="444A8AC7" w14:textId="77777777" w:rsidR="00AE2951" w:rsidRPr="00A4272B" w:rsidRDefault="00AE2951">
      <w:pPr>
        <w:pStyle w:val="USAIDbullet1"/>
        <w:numPr>
          <w:ilvl w:val="0"/>
          <w:numId w:val="100"/>
        </w:numPr>
        <w:rPr>
          <w:lang w:val="en-US"/>
        </w:rPr>
      </w:pPr>
      <w:r w:rsidRPr="00A4272B">
        <w:rPr>
          <w:lang w:val="en-US"/>
        </w:rPr>
        <w:lastRenderedPageBreak/>
        <w:t>In general, an appropriate stationary phase has to be selected and enough peak separation must be achieved to allow accurate quantification (general numeric criteria cannot be given, but the use of capillary columns with lengths of 30-60 m, internal diameters of 0.15-0.25 mm, a film thickness of 0.1-0.3 µm and helium or hydrogen as a carrier gas should ensure sufficient resolution) (note: hydrogen cannot be used together with MS detection);</w:t>
      </w:r>
    </w:p>
    <w:p w14:paraId="7ABABC25" w14:textId="5529F15F" w:rsidR="00AE2951" w:rsidRPr="00A4272B" w:rsidRDefault="00AE2951">
      <w:pPr>
        <w:pStyle w:val="USAIDbullet1"/>
        <w:numPr>
          <w:ilvl w:val="0"/>
          <w:numId w:val="100"/>
        </w:numPr>
        <w:rPr>
          <w:lang w:val="en-US"/>
        </w:rPr>
      </w:pPr>
      <w:r w:rsidRPr="00A4272B">
        <w:rPr>
          <w:lang w:val="en-US"/>
        </w:rPr>
        <w:t xml:space="preserve">Separation of critical pairs of compounds has to be verified, e.g., pairs of PCB 28 and 31, 118 and 149; in dioxin analysis separation of </w:t>
      </w:r>
      <w:r w:rsidR="0051584B" w:rsidRPr="00A4272B">
        <w:rPr>
          <w:lang w:val="en-US"/>
        </w:rPr>
        <w:t>PCDDs/Fs</w:t>
      </w:r>
      <w:r w:rsidRPr="00A4272B">
        <w:rPr>
          <w:lang w:val="en-US"/>
        </w:rPr>
        <w:t xml:space="preserve"> from polychlorinated diphenyl ethers (PCDE) should be checked;</w:t>
      </w:r>
    </w:p>
    <w:p w14:paraId="68D0DF0F" w14:textId="77777777" w:rsidR="00AE2951" w:rsidRPr="00A4272B" w:rsidRDefault="00AE2951">
      <w:pPr>
        <w:pStyle w:val="USAIDbullet1"/>
        <w:numPr>
          <w:ilvl w:val="0"/>
          <w:numId w:val="100"/>
        </w:numPr>
        <w:rPr>
          <w:lang w:val="en-US"/>
        </w:rPr>
      </w:pPr>
      <w:r w:rsidRPr="00A4272B">
        <w:rPr>
          <w:lang w:val="en-US"/>
        </w:rPr>
        <w:t>Helium, compared to nitrogen, gives a better choice to achieve the desired separation of pesticide POPs and PCB. The best carrier gas to achieve the required separation is hydrogen but it has some safety risk. If all the precautions and safety procedures are in place a hydrogen generator may be considered;</w:t>
      </w:r>
    </w:p>
    <w:p w14:paraId="300A39F6" w14:textId="77777777" w:rsidR="00AE2951" w:rsidRPr="00A4272B" w:rsidRDefault="00AE2951">
      <w:pPr>
        <w:pStyle w:val="USAIDbullet1"/>
        <w:numPr>
          <w:ilvl w:val="0"/>
          <w:numId w:val="100"/>
        </w:numPr>
        <w:rPr>
          <w:lang w:val="en-US"/>
        </w:rPr>
      </w:pPr>
      <w:r w:rsidRPr="00A4272B">
        <w:rPr>
          <w:lang w:val="en-US"/>
        </w:rPr>
        <w:t>Sample clean-up procedures should be efficient to prevent contamination of the detector;</w:t>
      </w:r>
    </w:p>
    <w:p w14:paraId="135E6158" w14:textId="77777777" w:rsidR="00AE2951" w:rsidRPr="00A4272B" w:rsidRDefault="00AE2951">
      <w:pPr>
        <w:pStyle w:val="USAIDbullet1"/>
        <w:numPr>
          <w:ilvl w:val="0"/>
          <w:numId w:val="100"/>
        </w:numPr>
        <w:rPr>
          <w:lang w:val="en-US"/>
        </w:rPr>
      </w:pPr>
      <w:r w:rsidRPr="00A4272B">
        <w:rPr>
          <w:lang w:val="en-US"/>
        </w:rPr>
        <w:t>For PCB analysis and ECD detection, a minimum of two internal standards - one eluting at the beginning and one at the end of the chromatogram – should be used. It is recommended to also use one PCB congener that elutes in the middle of the chromatogram. Thus, the following three congeners are recommended: PCB #112, #155, and #198. These three congeners are quite stable and typically not found in commercial PCB mixtures. Note: decachlorobiphenyl (PCB #209) is not recommended because it tends to precipitate easily in standard solutions and due to long retention times, the peaks tend to be broad and have tailings. PCB #209 has also been identified in environmental samples and could not be quantified if this congener is selected as an internal standard;</w:t>
      </w:r>
    </w:p>
    <w:p w14:paraId="26C931AE" w14:textId="77777777" w:rsidR="00AE2951" w:rsidRPr="00A4272B" w:rsidRDefault="00AE2951">
      <w:pPr>
        <w:pStyle w:val="USAIDbullet1"/>
        <w:numPr>
          <w:ilvl w:val="0"/>
          <w:numId w:val="100"/>
        </w:numPr>
        <w:rPr>
          <w:lang w:val="en-US"/>
        </w:rPr>
      </w:pPr>
      <w:r w:rsidRPr="00A4272B">
        <w:rPr>
          <w:lang w:val="en-US"/>
        </w:rPr>
        <w:t>Adequate handling and preservation of all standards and reference materials.</w:t>
      </w:r>
    </w:p>
    <w:p w14:paraId="0F83A958" w14:textId="77777777" w:rsidR="00AE2951" w:rsidRPr="00A4272B" w:rsidRDefault="00AE2951" w:rsidP="0023432F">
      <w:pPr>
        <w:pStyle w:val="BodyText"/>
        <w:rPr>
          <w:rStyle w:val="Strong"/>
        </w:rPr>
      </w:pPr>
      <w:r w:rsidRPr="00A4272B">
        <w:rPr>
          <w:rStyle w:val="Strong"/>
        </w:rPr>
        <w:t>Injection</w:t>
      </w:r>
    </w:p>
    <w:p w14:paraId="4904533C" w14:textId="77777777" w:rsidR="00AE2951" w:rsidRPr="00A4272B" w:rsidRDefault="00AE2951" w:rsidP="00606AE8">
      <w:pPr>
        <w:pStyle w:val="USAIDbullet1"/>
        <w:numPr>
          <w:ilvl w:val="0"/>
          <w:numId w:val="0"/>
        </w:numPr>
        <w:rPr>
          <w:lang w:val="en-US"/>
        </w:rPr>
      </w:pPr>
      <w:r w:rsidRPr="00A4272B">
        <w:rPr>
          <w:lang w:val="en-US"/>
        </w:rPr>
        <w:t>It is important to:</w:t>
      </w:r>
    </w:p>
    <w:p w14:paraId="45F9FC77" w14:textId="77777777" w:rsidR="00AE2951" w:rsidRPr="00A4272B" w:rsidRDefault="00AE2951">
      <w:pPr>
        <w:pStyle w:val="USAIDbullet1"/>
        <w:numPr>
          <w:ilvl w:val="0"/>
          <w:numId w:val="101"/>
        </w:numPr>
        <w:rPr>
          <w:lang w:val="en-US"/>
        </w:rPr>
      </w:pPr>
      <w:r w:rsidRPr="00A4272B">
        <w:rPr>
          <w:lang w:val="en-US"/>
        </w:rPr>
        <w:t>Ensure cleanliness of injector (deactivated glass insert, evaluate activity with an acceptance criterion, for example, for DDE/DDT &lt; 20 %);</w:t>
      </w:r>
    </w:p>
    <w:p w14:paraId="225728A4" w14:textId="77777777" w:rsidR="00AE2951" w:rsidRPr="00A4272B" w:rsidRDefault="00AE2951">
      <w:pPr>
        <w:pStyle w:val="USAIDbullet1"/>
        <w:numPr>
          <w:ilvl w:val="0"/>
          <w:numId w:val="101"/>
        </w:numPr>
        <w:rPr>
          <w:lang w:val="en-US"/>
        </w:rPr>
      </w:pPr>
      <w:r w:rsidRPr="00A4272B">
        <w:rPr>
          <w:lang w:val="en-US"/>
        </w:rPr>
        <w:t>Verify the split/splitless relation, flows and state of septum;</w:t>
      </w:r>
    </w:p>
    <w:p w14:paraId="04BED307" w14:textId="77777777" w:rsidR="00AE2951" w:rsidRPr="00A4272B" w:rsidRDefault="00AE2951">
      <w:pPr>
        <w:pStyle w:val="USAIDbullet1"/>
        <w:numPr>
          <w:ilvl w:val="0"/>
          <w:numId w:val="101"/>
        </w:numPr>
        <w:rPr>
          <w:lang w:val="en-US"/>
        </w:rPr>
      </w:pPr>
      <w:r w:rsidRPr="00A4272B">
        <w:rPr>
          <w:lang w:val="en-US"/>
        </w:rPr>
        <w:t xml:space="preserve">Ensure repeatability (for example, criterion &lt; 5 %); </w:t>
      </w:r>
    </w:p>
    <w:p w14:paraId="27B276E8" w14:textId="77777777" w:rsidR="00AE2951" w:rsidRPr="00A4272B" w:rsidRDefault="00AE2951">
      <w:pPr>
        <w:pStyle w:val="USAIDbullet1"/>
        <w:numPr>
          <w:ilvl w:val="0"/>
          <w:numId w:val="101"/>
        </w:numPr>
        <w:rPr>
          <w:lang w:val="en-US"/>
        </w:rPr>
      </w:pPr>
      <w:r w:rsidRPr="00A4272B">
        <w:rPr>
          <w:lang w:val="en-US"/>
        </w:rPr>
        <w:t>Verify chromatographic conditions, including:</w:t>
      </w:r>
    </w:p>
    <w:p w14:paraId="04886113" w14:textId="77777777" w:rsidR="00AE2951" w:rsidRPr="00A4272B" w:rsidRDefault="00AE2951">
      <w:pPr>
        <w:pStyle w:val="BodyText"/>
        <w:numPr>
          <w:ilvl w:val="0"/>
          <w:numId w:val="102"/>
        </w:numPr>
      </w:pPr>
      <w:r w:rsidRPr="00A4272B">
        <w:t>Resolution, symmetric peak shape;</w:t>
      </w:r>
    </w:p>
    <w:p w14:paraId="7F00D19E" w14:textId="77777777" w:rsidR="00AE2951" w:rsidRPr="00A4272B" w:rsidRDefault="00AE2951">
      <w:pPr>
        <w:pStyle w:val="BodyText"/>
        <w:numPr>
          <w:ilvl w:val="0"/>
          <w:numId w:val="102"/>
        </w:numPr>
      </w:pPr>
      <w:r w:rsidRPr="00A4272B">
        <w:t>Reproducibility of retention times;</w:t>
      </w:r>
    </w:p>
    <w:p w14:paraId="5D7691AF" w14:textId="77777777" w:rsidR="00AE2951" w:rsidRPr="00A4272B" w:rsidRDefault="00AE2951">
      <w:pPr>
        <w:pStyle w:val="BodyText"/>
        <w:numPr>
          <w:ilvl w:val="0"/>
          <w:numId w:val="102"/>
        </w:numPr>
      </w:pPr>
      <w:r w:rsidRPr="00A4272B">
        <w:t>Purity of gases;</w:t>
      </w:r>
    </w:p>
    <w:p w14:paraId="28BFC702" w14:textId="77777777" w:rsidR="00AE2951" w:rsidRPr="00A4272B" w:rsidRDefault="00AE2951">
      <w:pPr>
        <w:pStyle w:val="BodyText"/>
        <w:numPr>
          <w:ilvl w:val="0"/>
          <w:numId w:val="102"/>
        </w:numPr>
      </w:pPr>
      <w:r w:rsidRPr="00A4272B">
        <w:t>Use of second column of different polarity as confirmation column;</w:t>
      </w:r>
    </w:p>
    <w:p w14:paraId="604268CC" w14:textId="77777777" w:rsidR="00AE2951" w:rsidRPr="00A4272B" w:rsidRDefault="00AE2951">
      <w:pPr>
        <w:pStyle w:val="BodyText"/>
        <w:numPr>
          <w:ilvl w:val="0"/>
          <w:numId w:val="102"/>
        </w:numPr>
      </w:pPr>
      <w:r w:rsidRPr="00A4272B">
        <w:t>Verification of the linear range of the instrument;</w:t>
      </w:r>
    </w:p>
    <w:p w14:paraId="6EBB487A" w14:textId="77777777" w:rsidR="00AE2951" w:rsidRPr="00A4272B" w:rsidRDefault="00AE2951">
      <w:pPr>
        <w:pStyle w:val="BodyText"/>
        <w:numPr>
          <w:ilvl w:val="0"/>
          <w:numId w:val="102"/>
        </w:numPr>
      </w:pPr>
      <w:r w:rsidRPr="00A4272B">
        <w:t>Registration and traceability of services and performance of equipment.</w:t>
      </w:r>
    </w:p>
    <w:p w14:paraId="21D85F84" w14:textId="77777777" w:rsidR="00AE2951" w:rsidRPr="00A4272B" w:rsidRDefault="00AE2951" w:rsidP="0023432F">
      <w:pPr>
        <w:pStyle w:val="BodyText"/>
        <w:rPr>
          <w:rStyle w:val="Strong"/>
        </w:rPr>
      </w:pPr>
      <w:bookmarkStart w:id="850" w:name="_Toc145240720"/>
      <w:r w:rsidRPr="00A4272B">
        <w:rPr>
          <w:rStyle w:val="Strong"/>
        </w:rPr>
        <w:t>Identification</w:t>
      </w:r>
      <w:bookmarkEnd w:id="850"/>
    </w:p>
    <w:p w14:paraId="04D513B6" w14:textId="77777777" w:rsidR="00AE2951" w:rsidRPr="00A4272B" w:rsidRDefault="00AE2951" w:rsidP="0023432F">
      <w:pPr>
        <w:pStyle w:val="BodyText"/>
      </w:pPr>
      <w:r w:rsidRPr="00A4272B">
        <w:t xml:space="preserve">The information available to identify the compounds eluted from the gas chromatographic column depends on the type of detector being used. The following criteria may generally be used: </w:t>
      </w:r>
    </w:p>
    <w:p w14:paraId="7D61EEE7" w14:textId="77777777" w:rsidR="00AE2951" w:rsidRPr="00A4272B" w:rsidRDefault="00AE2951">
      <w:pPr>
        <w:pStyle w:val="USAIDbullet1"/>
        <w:numPr>
          <w:ilvl w:val="0"/>
          <w:numId w:val="103"/>
        </w:numPr>
        <w:rPr>
          <w:lang w:val="en-US"/>
        </w:rPr>
      </w:pPr>
      <w:r w:rsidRPr="00A4272B">
        <w:rPr>
          <w:lang w:val="en-US"/>
        </w:rPr>
        <w:t>Retention time should match between sample and internal standard;</w:t>
      </w:r>
    </w:p>
    <w:p w14:paraId="31170031" w14:textId="77777777" w:rsidR="00AE2951" w:rsidRPr="00A4272B" w:rsidRDefault="00AE2951">
      <w:pPr>
        <w:pStyle w:val="USAIDbullet1"/>
        <w:numPr>
          <w:ilvl w:val="0"/>
          <w:numId w:val="103"/>
        </w:numPr>
        <w:rPr>
          <w:lang w:val="en-US"/>
        </w:rPr>
      </w:pPr>
      <w:r w:rsidRPr="00A4272B">
        <w:rPr>
          <w:lang w:val="en-US"/>
        </w:rPr>
        <w:t>Confirmation of peaks can be performed on a second column with different polarity;</w:t>
      </w:r>
    </w:p>
    <w:p w14:paraId="5A6F1D68" w14:textId="4CC2AC87" w:rsidR="00AE2951" w:rsidRPr="00A4272B" w:rsidRDefault="00AE2951">
      <w:pPr>
        <w:pStyle w:val="USAIDbullet1"/>
        <w:numPr>
          <w:ilvl w:val="0"/>
          <w:numId w:val="103"/>
        </w:numPr>
        <w:rPr>
          <w:lang w:val="en-US"/>
        </w:rPr>
      </w:pPr>
      <w:r w:rsidRPr="00A4272B">
        <w:rPr>
          <w:lang w:val="en-US"/>
        </w:rPr>
        <w:t>Matrix spikes (or co-injection) are recommended to verify components and check the quantification</w:t>
      </w:r>
      <w:r w:rsidR="003F50B4" w:rsidRPr="00A4272B">
        <w:rPr>
          <w:lang w:val="en-US"/>
        </w:rPr>
        <w:t>;</w:t>
      </w:r>
    </w:p>
    <w:p w14:paraId="73C8152A" w14:textId="69EB0C61" w:rsidR="00AE2951" w:rsidRPr="00A4272B" w:rsidRDefault="00AE2951">
      <w:pPr>
        <w:pStyle w:val="USAIDbullet1"/>
        <w:numPr>
          <w:ilvl w:val="0"/>
          <w:numId w:val="103"/>
        </w:numPr>
        <w:rPr>
          <w:lang w:val="en-US"/>
        </w:rPr>
      </w:pPr>
      <w:r w:rsidRPr="00A4272B">
        <w:rPr>
          <w:lang w:val="en-US"/>
        </w:rPr>
        <w:t>For HRGC-ECD combinations, the following specific recommendations are given: Retention time ± 0.2 min</w:t>
      </w:r>
      <w:r w:rsidR="003F50B4" w:rsidRPr="00A4272B">
        <w:rPr>
          <w:lang w:val="en-US"/>
        </w:rPr>
        <w:t>;</w:t>
      </w:r>
    </w:p>
    <w:p w14:paraId="5DE0EC29" w14:textId="77777777" w:rsidR="00AE2951" w:rsidRPr="00A4272B" w:rsidRDefault="00AE2951">
      <w:pPr>
        <w:pStyle w:val="USAIDbullet1"/>
        <w:numPr>
          <w:ilvl w:val="0"/>
          <w:numId w:val="103"/>
        </w:numPr>
        <w:rPr>
          <w:lang w:val="en-US"/>
        </w:rPr>
      </w:pPr>
      <w:r w:rsidRPr="00A4272B">
        <w:rPr>
          <w:lang w:val="en-US"/>
        </w:rPr>
        <w:t>For HRGC-MS detection combinations, the following specific recommendations are given:</w:t>
      </w:r>
    </w:p>
    <w:p w14:paraId="18D0BD22" w14:textId="77777777" w:rsidR="00AE2951" w:rsidRPr="00A4272B" w:rsidRDefault="00AE2951">
      <w:pPr>
        <w:pStyle w:val="USAIDbullet1"/>
        <w:numPr>
          <w:ilvl w:val="0"/>
          <w:numId w:val="104"/>
        </w:numPr>
        <w:rPr>
          <w:lang w:val="en-US"/>
        </w:rPr>
      </w:pPr>
      <w:r w:rsidRPr="00A4272B">
        <w:rPr>
          <w:lang w:val="en-US"/>
        </w:rPr>
        <w:t>Positive identification should be done on isotopic ratios within 20 % of theoretical value;</w:t>
      </w:r>
    </w:p>
    <w:p w14:paraId="1AF48BD5" w14:textId="77777777" w:rsidR="00AE2951" w:rsidRPr="00A4272B" w:rsidRDefault="00AE2951">
      <w:pPr>
        <w:pStyle w:val="USAIDbullet1"/>
        <w:numPr>
          <w:ilvl w:val="0"/>
          <w:numId w:val="104"/>
        </w:numPr>
        <w:rPr>
          <w:lang w:val="en-US"/>
        </w:rPr>
      </w:pPr>
      <w:r w:rsidRPr="00A4272B">
        <w:rPr>
          <w:lang w:val="en-US"/>
        </w:rPr>
        <w:t xml:space="preserve">For positive identification with MS detection, the retention time of the labelled internal standard to the native compound should be within 3 seconds; </w:t>
      </w:r>
    </w:p>
    <w:p w14:paraId="32A532FC" w14:textId="77777777" w:rsidR="00AE2951" w:rsidRPr="00A4272B" w:rsidRDefault="00AE2951">
      <w:pPr>
        <w:pStyle w:val="USAIDbullet1"/>
        <w:numPr>
          <w:ilvl w:val="0"/>
          <w:numId w:val="104"/>
        </w:numPr>
        <w:rPr>
          <w:lang w:val="en-US"/>
        </w:rPr>
      </w:pPr>
      <w:r w:rsidRPr="00A4272B">
        <w:rPr>
          <w:lang w:val="en-US"/>
        </w:rPr>
        <w:t>The use of MS libraries is useful (if full scan).</w:t>
      </w:r>
    </w:p>
    <w:p w14:paraId="06A1C7C4" w14:textId="77777777" w:rsidR="00AE2951" w:rsidRPr="00A4272B" w:rsidRDefault="00AE2951" w:rsidP="0023432F">
      <w:pPr>
        <w:pStyle w:val="BodyText"/>
        <w:rPr>
          <w:rStyle w:val="Strong"/>
        </w:rPr>
      </w:pPr>
      <w:bookmarkStart w:id="851" w:name="_Toc145240721"/>
      <w:r w:rsidRPr="00A4272B">
        <w:rPr>
          <w:rStyle w:val="Strong"/>
        </w:rPr>
        <w:t>Quantification</w:t>
      </w:r>
      <w:bookmarkEnd w:id="851"/>
    </w:p>
    <w:p w14:paraId="077951FE" w14:textId="1F7AA091" w:rsidR="00AE2951" w:rsidRPr="00A4272B" w:rsidRDefault="00AE2951" w:rsidP="0023432F">
      <w:pPr>
        <w:pStyle w:val="BodyText"/>
      </w:pPr>
      <w:r w:rsidRPr="00A4272B">
        <w:lastRenderedPageBreak/>
        <w:t xml:space="preserve">In general, quantification of the analyte should be done according to the internal standard methodology. For </w:t>
      </w:r>
      <w:r w:rsidR="0051584B" w:rsidRPr="00A4272B">
        <w:t>PCDDs/Fs</w:t>
      </w:r>
      <w:r w:rsidRPr="00A4272B">
        <w:t xml:space="preserve"> and dioxin-like PCB, typically additional requirements are needed. The following requirements are considered to be indispensable:</w:t>
      </w:r>
    </w:p>
    <w:p w14:paraId="544B420F" w14:textId="77777777" w:rsidR="00AE2951" w:rsidRPr="00A4272B" w:rsidRDefault="00AE2951">
      <w:pPr>
        <w:pStyle w:val="USAIDbullet1"/>
        <w:numPr>
          <w:ilvl w:val="0"/>
          <w:numId w:val="99"/>
        </w:numPr>
        <w:rPr>
          <w:lang w:val="en-US"/>
        </w:rPr>
      </w:pPr>
      <w:r w:rsidRPr="00A4272B">
        <w:rPr>
          <w:lang w:val="en-US"/>
        </w:rPr>
        <w:t>At least one standard representative for the POPs analyte group analyzed should be added at the normal level of quantification;</w:t>
      </w:r>
    </w:p>
    <w:p w14:paraId="6632098C" w14:textId="77777777" w:rsidR="00AE2951" w:rsidRPr="00A4272B" w:rsidRDefault="00AE2951">
      <w:pPr>
        <w:pStyle w:val="USAIDbullet1"/>
        <w:numPr>
          <w:ilvl w:val="0"/>
          <w:numId w:val="99"/>
        </w:numPr>
        <w:rPr>
          <w:lang w:val="en-US"/>
        </w:rPr>
      </w:pPr>
      <w:r w:rsidRPr="00A4272B">
        <w:rPr>
          <w:lang w:val="en-US"/>
        </w:rPr>
        <w:t>For quantification it must be assured that the concentration of the compounds is within the previously determined linear range of the detector (Note: Not necessary when multi-level calibration is performed!);</w:t>
      </w:r>
    </w:p>
    <w:p w14:paraId="28A5205E" w14:textId="77777777" w:rsidR="00AE2951" w:rsidRPr="00A4272B" w:rsidRDefault="00AE2951">
      <w:pPr>
        <w:pStyle w:val="USAIDbullet1"/>
        <w:numPr>
          <w:ilvl w:val="0"/>
          <w:numId w:val="99"/>
        </w:numPr>
        <w:rPr>
          <w:lang w:val="en-US"/>
        </w:rPr>
      </w:pPr>
      <w:r w:rsidRPr="00A4272B">
        <w:rPr>
          <w:lang w:val="en-US"/>
        </w:rPr>
        <w:t>Integration: select the baseline level and the adequate signal to noise relation of integration according to the type of sample, verify the general form of the chromatogram, the form of the peaks and manually verify integration;</w:t>
      </w:r>
    </w:p>
    <w:p w14:paraId="61D78E30" w14:textId="77777777" w:rsidR="00AE2951" w:rsidRPr="00A4272B" w:rsidRDefault="00AE2951">
      <w:pPr>
        <w:pStyle w:val="USAIDbullet1"/>
        <w:numPr>
          <w:ilvl w:val="0"/>
          <w:numId w:val="99"/>
        </w:numPr>
        <w:rPr>
          <w:lang w:val="en-US"/>
        </w:rPr>
      </w:pPr>
      <w:r w:rsidRPr="00A4272B">
        <w:rPr>
          <w:lang w:val="en-US"/>
        </w:rPr>
        <w:t>Verification that the concentration of blanks is significantly lower than the samples; recommendation: &lt; 10%;</w:t>
      </w:r>
    </w:p>
    <w:p w14:paraId="2576B1B0" w14:textId="77777777" w:rsidR="00AE2951" w:rsidRPr="00A4272B" w:rsidRDefault="00AE2951">
      <w:pPr>
        <w:pStyle w:val="USAIDbullet1"/>
        <w:numPr>
          <w:ilvl w:val="0"/>
          <w:numId w:val="99"/>
        </w:numPr>
        <w:rPr>
          <w:lang w:val="en-US"/>
        </w:rPr>
      </w:pPr>
      <w:r w:rsidRPr="00A4272B">
        <w:rPr>
          <w:lang w:val="en-US"/>
        </w:rPr>
        <w:t>Noise should be defined as close as possible to the peak of interest;</w:t>
      </w:r>
    </w:p>
    <w:p w14:paraId="558B7624" w14:textId="77777777" w:rsidR="00AE2951" w:rsidRPr="00A4272B" w:rsidRDefault="00AE2951">
      <w:pPr>
        <w:pStyle w:val="USAIDbullet1"/>
        <w:numPr>
          <w:ilvl w:val="0"/>
          <w:numId w:val="99"/>
        </w:numPr>
        <w:rPr>
          <w:lang w:val="en-US"/>
        </w:rPr>
      </w:pPr>
      <w:r w:rsidRPr="00A4272B">
        <w:rPr>
          <w:lang w:val="en-US"/>
        </w:rPr>
        <w:t>At least 10 data-points should be sampled across a peak for quantification (Note: some instruments do so automatically).</w:t>
      </w:r>
    </w:p>
    <w:p w14:paraId="62402EAC" w14:textId="77777777" w:rsidR="00AE2951" w:rsidRPr="00A4272B" w:rsidRDefault="00AE2951" w:rsidP="0023432F">
      <w:pPr>
        <w:pStyle w:val="BodyText"/>
        <w:rPr>
          <w:rStyle w:val="Strong"/>
        </w:rPr>
      </w:pPr>
      <w:bookmarkStart w:id="852" w:name="_Ref132608711"/>
      <w:bookmarkStart w:id="853" w:name="_Ref132608725"/>
      <w:r w:rsidRPr="00A4272B">
        <w:rPr>
          <w:rStyle w:val="Strong"/>
        </w:rPr>
        <w:t>Calibration</w:t>
      </w:r>
    </w:p>
    <w:p w14:paraId="534B7664" w14:textId="77777777" w:rsidR="00AE2951" w:rsidRPr="00A4272B" w:rsidRDefault="00AE2951">
      <w:pPr>
        <w:pStyle w:val="USAIDbullet1"/>
        <w:numPr>
          <w:ilvl w:val="0"/>
          <w:numId w:val="98"/>
        </w:numPr>
        <w:rPr>
          <w:lang w:val="en-US"/>
        </w:rPr>
      </w:pPr>
      <w:r w:rsidRPr="00A4272B">
        <w:rPr>
          <w:lang w:val="en-US"/>
        </w:rPr>
        <w:t>Labelled internal standards are an added value;</w:t>
      </w:r>
    </w:p>
    <w:p w14:paraId="1109C87A" w14:textId="77777777" w:rsidR="00AE2951" w:rsidRPr="00A4272B" w:rsidRDefault="00AE2951">
      <w:pPr>
        <w:pStyle w:val="USAIDbullet1"/>
        <w:numPr>
          <w:ilvl w:val="0"/>
          <w:numId w:val="98"/>
        </w:numPr>
        <w:rPr>
          <w:lang w:val="en-US"/>
        </w:rPr>
      </w:pPr>
      <w:r w:rsidRPr="00A4272B">
        <w:rPr>
          <w:lang w:val="en-US"/>
        </w:rPr>
        <w:t>Multi-point calibrations should be carried out;</w:t>
      </w:r>
    </w:p>
    <w:p w14:paraId="3F5CA43F" w14:textId="77777777" w:rsidR="00AE2951" w:rsidRPr="00A4272B" w:rsidRDefault="00AE2951">
      <w:pPr>
        <w:pStyle w:val="USAIDbullet1"/>
        <w:numPr>
          <w:ilvl w:val="0"/>
          <w:numId w:val="98"/>
        </w:numPr>
        <w:rPr>
          <w:lang w:val="en-US"/>
        </w:rPr>
      </w:pPr>
      <w:r w:rsidRPr="00A4272B">
        <w:rPr>
          <w:lang w:val="en-US"/>
        </w:rPr>
        <w:t>Daily calibration checks in connection with analyzing a series of samples should be done (for large batches calibration drifts have to be checked during the run);</w:t>
      </w:r>
    </w:p>
    <w:p w14:paraId="6015DA01" w14:textId="77777777" w:rsidR="00AE2951" w:rsidRPr="00A4272B" w:rsidRDefault="00AE2951">
      <w:pPr>
        <w:pStyle w:val="USAIDbullet1"/>
        <w:numPr>
          <w:ilvl w:val="0"/>
          <w:numId w:val="98"/>
        </w:numPr>
        <w:rPr>
          <w:lang w:val="en-US"/>
        </w:rPr>
      </w:pPr>
      <w:r w:rsidRPr="00A4272B">
        <w:rPr>
          <w:lang w:val="en-US"/>
        </w:rPr>
        <w:t>Suitable laboratory reference material should be used to verify the performance.</w:t>
      </w:r>
    </w:p>
    <w:p w14:paraId="41593F64" w14:textId="77777777" w:rsidR="00AE2951" w:rsidRPr="00A4272B" w:rsidRDefault="00AE2951" w:rsidP="0023432F">
      <w:pPr>
        <w:pStyle w:val="BodyText"/>
        <w:rPr>
          <w:rStyle w:val="Strong"/>
        </w:rPr>
      </w:pPr>
      <w:bookmarkStart w:id="854" w:name="_Ref141608882"/>
      <w:bookmarkStart w:id="855" w:name="_Ref141608907"/>
      <w:bookmarkStart w:id="856" w:name="_Toc145240722"/>
      <w:r w:rsidRPr="00A4272B">
        <w:rPr>
          <w:rStyle w:val="Strong"/>
        </w:rPr>
        <w:t>Reporting</w:t>
      </w:r>
      <w:bookmarkEnd w:id="852"/>
      <w:bookmarkEnd w:id="853"/>
      <w:bookmarkEnd w:id="854"/>
      <w:bookmarkEnd w:id="855"/>
      <w:bookmarkEnd w:id="856"/>
    </w:p>
    <w:p w14:paraId="17E1AFCE" w14:textId="77777777" w:rsidR="00AE2951" w:rsidRPr="00A4272B" w:rsidRDefault="00AE2951" w:rsidP="0023432F">
      <w:pPr>
        <w:pStyle w:val="BodyText"/>
      </w:pPr>
      <w:r w:rsidRPr="00A4272B">
        <w:t xml:space="preserve">Data compilation and reporting together with data storage are the final steps in analysis. The report form must include: </w:t>
      </w:r>
    </w:p>
    <w:p w14:paraId="48222875" w14:textId="77777777" w:rsidR="00AE2951" w:rsidRPr="00A4272B" w:rsidRDefault="00AE2951">
      <w:pPr>
        <w:pStyle w:val="USAIDbullet1"/>
        <w:numPr>
          <w:ilvl w:val="0"/>
          <w:numId w:val="97"/>
        </w:numPr>
        <w:rPr>
          <w:lang w:val="en-US"/>
        </w:rPr>
      </w:pPr>
      <w:r w:rsidRPr="00A4272B">
        <w:rPr>
          <w:lang w:val="en-US"/>
        </w:rPr>
        <w:t>Date, name of the sample and description, method used, the name of staff that has performed analysis, and signature of person in charge of the POPs laboratory;</w:t>
      </w:r>
    </w:p>
    <w:p w14:paraId="6176FA4D" w14:textId="77777777" w:rsidR="00AE2951" w:rsidRPr="00A4272B" w:rsidRDefault="00AE2951">
      <w:pPr>
        <w:pStyle w:val="USAIDbullet1"/>
        <w:numPr>
          <w:ilvl w:val="0"/>
          <w:numId w:val="97"/>
        </w:numPr>
        <w:rPr>
          <w:lang w:val="en-US"/>
        </w:rPr>
      </w:pPr>
      <w:r w:rsidRPr="00A4272B">
        <w:rPr>
          <w:lang w:val="en-US"/>
        </w:rPr>
        <w:t>Only SI units (International System) should be used and should be verified before clearing the report;</w:t>
      </w:r>
    </w:p>
    <w:p w14:paraId="2C6D4818" w14:textId="77777777" w:rsidR="00AE2951" w:rsidRPr="00A4272B" w:rsidRDefault="00AE2951">
      <w:pPr>
        <w:pStyle w:val="USAIDbullet1"/>
        <w:numPr>
          <w:ilvl w:val="0"/>
          <w:numId w:val="97"/>
        </w:numPr>
        <w:rPr>
          <w:lang w:val="en-US"/>
        </w:rPr>
      </w:pPr>
      <w:r w:rsidRPr="00A4272B">
        <w:rPr>
          <w:lang w:val="en-US"/>
        </w:rPr>
        <w:t>Clear references to the basis for the concentration must be given, e.g., fresh weight, lipid weight, or volume;</w:t>
      </w:r>
    </w:p>
    <w:p w14:paraId="77739EAD" w14:textId="77777777" w:rsidR="00AE2951" w:rsidRPr="00A4272B" w:rsidRDefault="00AE2951">
      <w:pPr>
        <w:pStyle w:val="USAIDbullet1"/>
        <w:numPr>
          <w:ilvl w:val="0"/>
          <w:numId w:val="97"/>
        </w:numPr>
        <w:rPr>
          <w:lang w:val="en-US"/>
        </w:rPr>
      </w:pPr>
      <w:r w:rsidRPr="00A4272B">
        <w:rPr>
          <w:lang w:val="en-US"/>
        </w:rPr>
        <w:t>Data below the LOQ but above the LOD should be reported as "LOD-LOQ”, data below LOD as “&lt;LOD”;</w:t>
      </w:r>
    </w:p>
    <w:p w14:paraId="299B4A83" w14:textId="77777777" w:rsidR="00AE2951" w:rsidRPr="00A4272B" w:rsidRDefault="00AE2951">
      <w:pPr>
        <w:pStyle w:val="USAIDbullet1"/>
        <w:numPr>
          <w:ilvl w:val="0"/>
          <w:numId w:val="97"/>
        </w:numPr>
        <w:rPr>
          <w:lang w:val="en-US"/>
        </w:rPr>
      </w:pPr>
      <w:r w:rsidRPr="00A4272B">
        <w:rPr>
          <w:lang w:val="en-US"/>
        </w:rPr>
        <w:t>Recovery efficiency should be reported;</w:t>
      </w:r>
    </w:p>
    <w:p w14:paraId="45863A36" w14:textId="77777777" w:rsidR="00AE2951" w:rsidRPr="00A4272B" w:rsidRDefault="00AE2951">
      <w:pPr>
        <w:pStyle w:val="USAIDbullet1"/>
        <w:numPr>
          <w:ilvl w:val="0"/>
          <w:numId w:val="97"/>
        </w:numPr>
        <w:rPr>
          <w:lang w:val="en-US"/>
        </w:rPr>
      </w:pPr>
      <w:r w:rsidRPr="00A4272B">
        <w:rPr>
          <w:lang w:val="en-US"/>
        </w:rPr>
        <w:t>Measured or estimated information on the uncertainty in the results should be made available;</w:t>
      </w:r>
    </w:p>
    <w:p w14:paraId="4974136A" w14:textId="77777777" w:rsidR="00AE2951" w:rsidRPr="00A4272B" w:rsidRDefault="00AE2951">
      <w:pPr>
        <w:pStyle w:val="USAIDbullet1"/>
        <w:numPr>
          <w:ilvl w:val="0"/>
          <w:numId w:val="97"/>
        </w:numPr>
        <w:rPr>
          <w:lang w:val="en-US"/>
        </w:rPr>
      </w:pPr>
      <w:r w:rsidRPr="00A4272B">
        <w:rPr>
          <w:lang w:val="en-US"/>
        </w:rPr>
        <w:t>Reporting values should not be corrected for percentage of recovery;</w:t>
      </w:r>
    </w:p>
    <w:p w14:paraId="0519B5A2" w14:textId="77777777" w:rsidR="00AE2951" w:rsidRPr="00A4272B" w:rsidRDefault="00AE2951">
      <w:pPr>
        <w:pStyle w:val="USAIDbullet1"/>
        <w:numPr>
          <w:ilvl w:val="0"/>
          <w:numId w:val="97"/>
        </w:numPr>
        <w:rPr>
          <w:lang w:val="en-US"/>
        </w:rPr>
      </w:pPr>
      <w:r w:rsidRPr="00A4272B">
        <w:rPr>
          <w:lang w:val="en-US"/>
        </w:rPr>
        <w:t>It should be demonstrated that the blank is 10-times lower than the value that is reported. Reporting values should not be corrected by laboratory blanks (Note: There may be high fluctuations for laboratories' blanks, e.g., for PCB 118). Handling of all blanks needs written documentation; in the case of high laboratory blanks; handling of such cases and justification should be clearly indicated in the SOP.</w:t>
      </w:r>
    </w:p>
    <w:p w14:paraId="4659BF73" w14:textId="77777777" w:rsidR="00AE2951" w:rsidRPr="00A4272B" w:rsidRDefault="00AE2951" w:rsidP="0023432F">
      <w:pPr>
        <w:pStyle w:val="BodyText"/>
        <w:rPr>
          <w:rStyle w:val="Strong"/>
        </w:rPr>
      </w:pPr>
      <w:bookmarkStart w:id="857" w:name="_Ref133072032"/>
      <w:bookmarkStart w:id="858" w:name="_Ref133072054"/>
      <w:bookmarkStart w:id="859" w:name="_Toc145240723"/>
      <w:r w:rsidRPr="00A4272B">
        <w:rPr>
          <w:rStyle w:val="Strong"/>
        </w:rPr>
        <w:t>Definitions</w:t>
      </w:r>
      <w:bookmarkEnd w:id="857"/>
      <w:bookmarkEnd w:id="858"/>
      <w:bookmarkEnd w:id="859"/>
    </w:p>
    <w:p w14:paraId="7C127012" w14:textId="77777777" w:rsidR="00AE2951" w:rsidRPr="00A4272B" w:rsidRDefault="00AE2951">
      <w:pPr>
        <w:pStyle w:val="USAIDbullet1"/>
        <w:numPr>
          <w:ilvl w:val="0"/>
          <w:numId w:val="94"/>
        </w:numPr>
        <w:rPr>
          <w:lang w:val="en-US"/>
        </w:rPr>
      </w:pPr>
      <w:r w:rsidRPr="00A4272B">
        <w:rPr>
          <w:lang w:val="en-US"/>
        </w:rPr>
        <w:t>Limit of detection and limit of quantification are defined as follows:</w:t>
      </w:r>
    </w:p>
    <w:p w14:paraId="6A6265D0" w14:textId="77777777" w:rsidR="00AE2951" w:rsidRPr="00A4272B" w:rsidRDefault="00AE2951">
      <w:pPr>
        <w:pStyle w:val="USAIDbullet1"/>
        <w:numPr>
          <w:ilvl w:val="0"/>
          <w:numId w:val="95"/>
        </w:numPr>
        <w:rPr>
          <w:lang w:val="en-US"/>
        </w:rPr>
      </w:pPr>
      <w:r w:rsidRPr="00A4272B">
        <w:rPr>
          <w:lang w:val="en-US"/>
        </w:rPr>
        <w:t>LOD should be 3 times the noise;</w:t>
      </w:r>
    </w:p>
    <w:p w14:paraId="5BE8BF64" w14:textId="77777777" w:rsidR="00AE2951" w:rsidRPr="00A4272B" w:rsidRDefault="00AE2951">
      <w:pPr>
        <w:pStyle w:val="USAIDbullet1"/>
        <w:numPr>
          <w:ilvl w:val="0"/>
          <w:numId w:val="95"/>
        </w:numPr>
        <w:rPr>
          <w:lang w:val="en-US"/>
        </w:rPr>
      </w:pPr>
      <w:r w:rsidRPr="00A4272B">
        <w:rPr>
          <w:lang w:val="en-US"/>
        </w:rPr>
        <w:t>LOQ should be 3 times the LOD.</w:t>
      </w:r>
    </w:p>
    <w:p w14:paraId="0B034F93" w14:textId="77777777" w:rsidR="00AE2951" w:rsidRPr="00A4272B" w:rsidRDefault="00AE2951">
      <w:pPr>
        <w:pStyle w:val="BodyText"/>
        <w:numPr>
          <w:ilvl w:val="0"/>
          <w:numId w:val="94"/>
        </w:numPr>
      </w:pPr>
      <w:r w:rsidRPr="00A4272B">
        <w:t>Results for sum parameters where one or several individual compounds are &lt;LOQ should be reported as intervals with a lower bound limit calculated with the &lt;LOQ set to 0, and the upper bond limit with &lt;LOQ set equal to LOQ.</w:t>
      </w:r>
    </w:p>
    <w:p w14:paraId="191071A1" w14:textId="77777777" w:rsidR="00AE2951" w:rsidRPr="00A4272B" w:rsidRDefault="00AE2951">
      <w:pPr>
        <w:pStyle w:val="BodyText"/>
        <w:numPr>
          <w:ilvl w:val="0"/>
          <w:numId w:val="94"/>
        </w:numPr>
      </w:pPr>
      <w:r w:rsidRPr="00A4272B">
        <w:t>There are two methods available to provide information on uncertainty:</w:t>
      </w:r>
    </w:p>
    <w:p w14:paraId="26E3DBF2" w14:textId="77777777" w:rsidR="00AE2951" w:rsidRPr="00A4272B" w:rsidRDefault="00AE2951">
      <w:pPr>
        <w:pStyle w:val="USAIDbullet1"/>
        <w:numPr>
          <w:ilvl w:val="0"/>
          <w:numId w:val="96"/>
        </w:numPr>
        <w:rPr>
          <w:lang w:val="en-US"/>
        </w:rPr>
      </w:pPr>
      <w:r w:rsidRPr="00A4272B">
        <w:rPr>
          <w:lang w:val="en-US"/>
        </w:rPr>
        <w:t>Quantification of uncertainty for each step;</w:t>
      </w:r>
    </w:p>
    <w:p w14:paraId="0E799E12" w14:textId="77777777" w:rsidR="00AE2951" w:rsidRPr="00A4272B" w:rsidRDefault="00AE2951">
      <w:pPr>
        <w:pStyle w:val="USAIDbullet1"/>
        <w:numPr>
          <w:ilvl w:val="0"/>
          <w:numId w:val="96"/>
        </w:numPr>
        <w:rPr>
          <w:lang w:val="en-US"/>
        </w:rPr>
      </w:pPr>
      <w:r w:rsidRPr="00A4272B">
        <w:rPr>
          <w:lang w:val="en-US"/>
        </w:rPr>
        <w:t>Overall uncertainty derived from inter- and intra-laboratory results.</w:t>
      </w:r>
    </w:p>
    <w:p w14:paraId="6AB1D321" w14:textId="77777777" w:rsidR="00AE2951" w:rsidRPr="00A4272B" w:rsidRDefault="00AE2951" w:rsidP="0023432F">
      <w:pPr>
        <w:pStyle w:val="BodyText"/>
        <w:rPr>
          <w:rStyle w:val="Strong"/>
        </w:rPr>
      </w:pPr>
      <w:bookmarkStart w:id="860" w:name="_Toc145240724"/>
      <w:r w:rsidRPr="00A4272B">
        <w:rPr>
          <w:rStyle w:val="Strong"/>
        </w:rPr>
        <w:lastRenderedPageBreak/>
        <w:t>Further important issues to consider</w:t>
      </w:r>
      <w:bookmarkEnd w:id="860"/>
    </w:p>
    <w:p w14:paraId="42FD9AD7" w14:textId="77777777" w:rsidR="00AE2951" w:rsidRPr="00A4272B" w:rsidRDefault="00AE2951" w:rsidP="0023432F">
      <w:pPr>
        <w:pStyle w:val="BodyText"/>
        <w:rPr>
          <w:rStyle w:val="Strong"/>
        </w:rPr>
      </w:pPr>
      <w:bookmarkStart w:id="861" w:name="_Toc145240725"/>
      <w:r w:rsidRPr="00A4272B">
        <w:rPr>
          <w:rStyle w:val="Strong"/>
        </w:rPr>
        <w:t>Maintenance of equipment</w:t>
      </w:r>
      <w:bookmarkEnd w:id="861"/>
    </w:p>
    <w:p w14:paraId="1629FBA1" w14:textId="0F1276F1" w:rsidR="00AE2951" w:rsidRPr="00A4272B" w:rsidRDefault="00AE2951">
      <w:pPr>
        <w:pStyle w:val="BodyText"/>
        <w:numPr>
          <w:ilvl w:val="0"/>
          <w:numId w:val="93"/>
        </w:numPr>
      </w:pPr>
      <w:r w:rsidRPr="00A4272B">
        <w:t>The maintenance of the analytical equipment is considered as one of the most important aspects in POPs analysis. It is very expensive to have service contracts for all the maintenance and therefore it is important to train the laboratory personnel to do the basic maintenance when the QA/QC results are unacceptable</w:t>
      </w:r>
      <w:r w:rsidR="003F50B4" w:rsidRPr="00A4272B">
        <w:t>;</w:t>
      </w:r>
    </w:p>
    <w:p w14:paraId="63A71AF0" w14:textId="77777777" w:rsidR="00AE2951" w:rsidRPr="00A4272B" w:rsidRDefault="00AE2951">
      <w:pPr>
        <w:pStyle w:val="BodyText"/>
        <w:numPr>
          <w:ilvl w:val="0"/>
          <w:numId w:val="93"/>
        </w:numPr>
      </w:pPr>
      <w:r w:rsidRPr="00A4272B">
        <w:t>Laboratories must arrange for proper training, including basic maintenance, when new equipment is installed in the laboratories.</w:t>
      </w:r>
    </w:p>
    <w:p w14:paraId="1CC16605" w14:textId="77777777" w:rsidR="00AE2951" w:rsidRPr="00A4272B" w:rsidRDefault="00AE2951" w:rsidP="0023432F">
      <w:pPr>
        <w:pStyle w:val="BodyText"/>
        <w:rPr>
          <w:rStyle w:val="Strong"/>
        </w:rPr>
      </w:pPr>
      <w:bookmarkStart w:id="862" w:name="_Toc145240726"/>
      <w:r w:rsidRPr="00A4272B">
        <w:rPr>
          <w:rStyle w:val="Strong"/>
        </w:rPr>
        <w:t>Training of laboratory staff</w:t>
      </w:r>
      <w:bookmarkEnd w:id="862"/>
    </w:p>
    <w:p w14:paraId="427398D2" w14:textId="77777777" w:rsidR="00AE2951" w:rsidRPr="00A4272B" w:rsidRDefault="00AE2951" w:rsidP="00606AE8">
      <w:pPr>
        <w:pStyle w:val="USAIDbullet1"/>
        <w:numPr>
          <w:ilvl w:val="0"/>
          <w:numId w:val="0"/>
        </w:numPr>
        <w:rPr>
          <w:lang w:val="en-US"/>
        </w:rPr>
      </w:pPr>
      <w:r w:rsidRPr="00A4272B">
        <w:rPr>
          <w:lang w:val="en-US"/>
        </w:rPr>
        <w:t>Human resources are crucial for any analytical work. The following specific problems need to be addressed and resolved:</w:t>
      </w:r>
    </w:p>
    <w:p w14:paraId="67BA834F" w14:textId="77777777" w:rsidR="00AE2951" w:rsidRPr="00A4272B" w:rsidRDefault="00AE2951">
      <w:pPr>
        <w:pStyle w:val="USAIDbullet1"/>
        <w:numPr>
          <w:ilvl w:val="0"/>
          <w:numId w:val="91"/>
        </w:numPr>
        <w:rPr>
          <w:lang w:val="en-US"/>
        </w:rPr>
      </w:pPr>
      <w:r w:rsidRPr="00A4272B">
        <w:rPr>
          <w:lang w:val="en-US"/>
        </w:rPr>
        <w:t>The lack of skilled laboratory personnel to conduct the analytical work has been identified as one of the critical problems;</w:t>
      </w:r>
    </w:p>
    <w:p w14:paraId="794C516D" w14:textId="77777777" w:rsidR="00AE2951" w:rsidRPr="00A4272B" w:rsidRDefault="00AE2951">
      <w:pPr>
        <w:pStyle w:val="USAIDbullet1"/>
        <w:numPr>
          <w:ilvl w:val="0"/>
          <w:numId w:val="91"/>
        </w:numPr>
        <w:rPr>
          <w:lang w:val="en-US"/>
        </w:rPr>
      </w:pPr>
      <w:r w:rsidRPr="00A4272B">
        <w:rPr>
          <w:lang w:val="en-US"/>
        </w:rPr>
        <w:t xml:space="preserve">Gender integration and partipacipation of under represented groups are encouraged in the monitoring activities </w:t>
      </w:r>
    </w:p>
    <w:p w14:paraId="7FDCB9BB" w14:textId="77777777" w:rsidR="00AE2951" w:rsidRPr="00A4272B" w:rsidRDefault="00AE2951">
      <w:pPr>
        <w:pStyle w:val="USAIDbullet1"/>
        <w:numPr>
          <w:ilvl w:val="0"/>
          <w:numId w:val="92"/>
        </w:numPr>
        <w:rPr>
          <w:lang w:val="en-US"/>
        </w:rPr>
      </w:pPr>
      <w:r w:rsidRPr="00A4272B">
        <w:rPr>
          <w:lang w:val="en-US"/>
        </w:rPr>
        <w:t>The training requirements. Two levels of training exist:</w:t>
      </w:r>
    </w:p>
    <w:p w14:paraId="51CE33F1" w14:textId="77777777" w:rsidR="00AE2951" w:rsidRPr="00A4272B" w:rsidRDefault="00AE2951">
      <w:pPr>
        <w:pStyle w:val="USAIDbullet1"/>
        <w:numPr>
          <w:ilvl w:val="0"/>
          <w:numId w:val="92"/>
        </w:numPr>
        <w:rPr>
          <w:lang w:val="en-US"/>
        </w:rPr>
      </w:pPr>
      <w:r w:rsidRPr="00A4272B">
        <w:rPr>
          <w:lang w:val="en-US"/>
        </w:rPr>
        <w:t>Training of people to follow the analytical procedures and to report the results;</w:t>
      </w:r>
    </w:p>
    <w:p w14:paraId="6EAB8BE0" w14:textId="77777777" w:rsidR="00AE2951" w:rsidRPr="00A4272B" w:rsidRDefault="00AE2951">
      <w:pPr>
        <w:pStyle w:val="USAIDbullet1"/>
        <w:numPr>
          <w:ilvl w:val="0"/>
          <w:numId w:val="91"/>
        </w:numPr>
        <w:rPr>
          <w:lang w:val="en-US"/>
        </w:rPr>
      </w:pPr>
      <w:r w:rsidRPr="00A4272B">
        <w:rPr>
          <w:lang w:val="en-US"/>
        </w:rPr>
        <w:t>Training of people to do troubleshooting and conduct the necessary maintenance when the QA/QC criteria fail;</w:t>
      </w:r>
    </w:p>
    <w:p w14:paraId="4621FCB9" w14:textId="77777777" w:rsidR="00AE2951" w:rsidRPr="00A4272B" w:rsidRDefault="00AE2951">
      <w:pPr>
        <w:pStyle w:val="USAIDbullet1"/>
        <w:numPr>
          <w:ilvl w:val="0"/>
          <w:numId w:val="91"/>
        </w:numPr>
        <w:rPr>
          <w:lang w:val="en-US"/>
        </w:rPr>
      </w:pPr>
      <w:r w:rsidRPr="00A4272B">
        <w:rPr>
          <w:lang w:val="en-US"/>
        </w:rPr>
        <w:t>Countries with experienced personnel should assist other countries with training of laboratory personnel;</w:t>
      </w:r>
    </w:p>
    <w:p w14:paraId="20E911DC" w14:textId="77777777" w:rsidR="00AE2951" w:rsidRPr="00A4272B" w:rsidRDefault="00AE2951">
      <w:pPr>
        <w:pStyle w:val="USAIDbullet1"/>
        <w:numPr>
          <w:ilvl w:val="0"/>
          <w:numId w:val="91"/>
        </w:numPr>
        <w:rPr>
          <w:lang w:val="en-US"/>
        </w:rPr>
      </w:pPr>
      <w:r w:rsidRPr="00A4272B">
        <w:rPr>
          <w:lang w:val="en-US"/>
        </w:rPr>
        <w:t xml:space="preserve">There is a need in the region for training courses and annual training workshops for the transfer of technology know-how. </w:t>
      </w:r>
    </w:p>
    <w:p w14:paraId="285EF7CB" w14:textId="77777777" w:rsidR="00AE2951" w:rsidRPr="00A4272B" w:rsidRDefault="00AE2951">
      <w:pPr>
        <w:pStyle w:val="USAIDbullet1"/>
        <w:numPr>
          <w:ilvl w:val="0"/>
          <w:numId w:val="91"/>
        </w:numPr>
        <w:rPr>
          <w:lang w:val="en-US"/>
        </w:rPr>
      </w:pPr>
      <w:r w:rsidRPr="00A4272B">
        <w:rPr>
          <w:lang w:val="en-US"/>
        </w:rPr>
        <w:t>There is a need in the region for training courses and guidelines on data handling, management and interpretation.</w:t>
      </w:r>
    </w:p>
    <w:p w14:paraId="5E54FC8A" w14:textId="77D81775" w:rsidR="00AE2951" w:rsidRPr="00A4272B" w:rsidRDefault="00AE2951" w:rsidP="0023432F">
      <w:pPr>
        <w:pStyle w:val="BodyText"/>
        <w:rPr>
          <w:rStyle w:val="Strong"/>
        </w:rPr>
      </w:pPr>
      <w:bookmarkStart w:id="863" w:name="_Toc145240727"/>
      <w:r w:rsidRPr="00A4272B">
        <w:rPr>
          <w:rStyle w:val="Strong"/>
        </w:rPr>
        <w:t>Housing</w:t>
      </w:r>
      <w:bookmarkEnd w:id="863"/>
      <w:r w:rsidR="00E31E30" w:rsidRPr="00A4272B">
        <w:rPr>
          <w:rStyle w:val="Strong"/>
        </w:rPr>
        <w:t xml:space="preserve"> </w:t>
      </w:r>
    </w:p>
    <w:p w14:paraId="7D691325" w14:textId="77777777" w:rsidR="00AE2951" w:rsidRPr="00A4272B" w:rsidRDefault="00AE2951" w:rsidP="0023432F">
      <w:pPr>
        <w:pStyle w:val="BodyText"/>
      </w:pPr>
      <w:r w:rsidRPr="00A4272B">
        <w:t>For POPs analytical laboratories there are certain requirements as to housing. These include:</w:t>
      </w:r>
    </w:p>
    <w:p w14:paraId="0FD0F137" w14:textId="38ED28ED" w:rsidR="000C3CA8" w:rsidRPr="00A4272B" w:rsidRDefault="00AE2951">
      <w:pPr>
        <w:pStyle w:val="USAIDbullet1"/>
        <w:numPr>
          <w:ilvl w:val="0"/>
          <w:numId w:val="90"/>
        </w:numPr>
        <w:rPr>
          <w:lang w:val="en-US"/>
        </w:rPr>
      </w:pPr>
      <w:r w:rsidRPr="00A4272B">
        <w:rPr>
          <w:lang w:val="en-US"/>
        </w:rPr>
        <w:t>Proper environmental conditions (humidity is a most critical factor) for instrumental analysis but also for sample preparation;</w:t>
      </w:r>
    </w:p>
    <w:p w14:paraId="5ECB951A" w14:textId="0F046D8F" w:rsidR="00AE2951" w:rsidRPr="00A4272B" w:rsidRDefault="00AE2951">
      <w:pPr>
        <w:pStyle w:val="USAIDbullet1"/>
        <w:numPr>
          <w:ilvl w:val="0"/>
          <w:numId w:val="90"/>
        </w:numPr>
        <w:rPr>
          <w:lang w:val="en-US"/>
        </w:rPr>
      </w:pPr>
      <w:r w:rsidRPr="00A4272B">
        <w:rPr>
          <w:lang w:val="en-US"/>
        </w:rPr>
        <w:t>Temperature control for carrier gas</w:t>
      </w:r>
      <w:r w:rsidR="00D0557A" w:rsidRPr="00A4272B">
        <w:rPr>
          <w:lang w:val="en-US"/>
        </w:rPr>
        <w:t>es such as helium</w:t>
      </w:r>
      <w:r w:rsidR="00A947AD" w:rsidRPr="00A4272B">
        <w:rPr>
          <w:lang w:val="en-US"/>
        </w:rPr>
        <w:t>, hydrogen</w:t>
      </w:r>
      <w:r w:rsidR="00D0557A" w:rsidRPr="00A4272B">
        <w:rPr>
          <w:lang w:val="en-US"/>
        </w:rPr>
        <w:t xml:space="preserve"> and nitrogen used with ECD</w:t>
      </w:r>
      <w:r w:rsidR="00C45102" w:rsidRPr="00A4272B">
        <w:rPr>
          <w:lang w:val="en-US"/>
        </w:rPr>
        <w:t xml:space="preserve">, </w:t>
      </w:r>
      <w:r w:rsidR="00D0557A" w:rsidRPr="00A4272B">
        <w:rPr>
          <w:lang w:val="en-US"/>
        </w:rPr>
        <w:t>GC-MS</w:t>
      </w:r>
      <w:r w:rsidR="00C05EA7" w:rsidRPr="00A4272B">
        <w:rPr>
          <w:lang w:val="en-US"/>
        </w:rPr>
        <w:t>(</w:t>
      </w:r>
      <w:r w:rsidR="00A37DA3" w:rsidRPr="00A4272B">
        <w:rPr>
          <w:lang w:val="en-US"/>
        </w:rPr>
        <w:t>/</w:t>
      </w:r>
      <w:r w:rsidR="00C05EA7" w:rsidRPr="00A4272B">
        <w:rPr>
          <w:lang w:val="en-US"/>
        </w:rPr>
        <w:t>MS)</w:t>
      </w:r>
      <w:r w:rsidR="00C45102" w:rsidRPr="00A4272B">
        <w:rPr>
          <w:lang w:val="en-US"/>
        </w:rPr>
        <w:t xml:space="preserve"> and LC-MS</w:t>
      </w:r>
      <w:r w:rsidR="00C05EA7" w:rsidRPr="00A4272B">
        <w:rPr>
          <w:lang w:val="en-US"/>
        </w:rPr>
        <w:t>(</w:t>
      </w:r>
      <w:r w:rsidR="00A37DA3" w:rsidRPr="00A4272B">
        <w:rPr>
          <w:lang w:val="en-US"/>
        </w:rPr>
        <w:t>/</w:t>
      </w:r>
      <w:r w:rsidR="00C05EA7" w:rsidRPr="00A4272B">
        <w:rPr>
          <w:lang w:val="en-US"/>
        </w:rPr>
        <w:t>MS)</w:t>
      </w:r>
      <w:r w:rsidR="00D0557A" w:rsidRPr="00A4272B">
        <w:rPr>
          <w:lang w:val="en-US"/>
        </w:rPr>
        <w:t>. Gas cylinders or generators must be secured and leak-checked</w:t>
      </w:r>
      <w:r w:rsidRPr="00A4272B">
        <w:rPr>
          <w:lang w:val="en-US"/>
        </w:rPr>
        <w:t>;</w:t>
      </w:r>
    </w:p>
    <w:p w14:paraId="0335E7E8" w14:textId="3C0BD294" w:rsidR="000C3CA8" w:rsidRPr="00A4272B" w:rsidRDefault="000C3CA8">
      <w:pPr>
        <w:pStyle w:val="USAIDbullet1"/>
        <w:numPr>
          <w:ilvl w:val="0"/>
          <w:numId w:val="90"/>
        </w:numPr>
        <w:rPr>
          <w:lang w:val="en-US"/>
        </w:rPr>
      </w:pPr>
      <w:r w:rsidRPr="00A4272B">
        <w:rPr>
          <w:lang w:val="en-US"/>
        </w:rPr>
        <w:t>Ventilition</w:t>
      </w:r>
      <w:r w:rsidR="00A37DA3" w:rsidRPr="00A4272B">
        <w:rPr>
          <w:lang w:val="en-US"/>
        </w:rPr>
        <w:t xml:space="preserve"> to ensure cooling and airflow</w:t>
      </w:r>
      <w:r w:rsidRPr="00A4272B">
        <w:rPr>
          <w:lang w:val="en-US"/>
        </w:rPr>
        <w:t>; enhanced ventilation for additional head dissipation should be considered for GC-MS/MS</w:t>
      </w:r>
      <w:r w:rsidR="00E942CB" w:rsidRPr="00A4272B">
        <w:rPr>
          <w:lang w:val="en-US"/>
        </w:rPr>
        <w:t>;</w:t>
      </w:r>
    </w:p>
    <w:p w14:paraId="3FEAE604" w14:textId="16BF36A8" w:rsidR="00A947AD" w:rsidRPr="00A4272B" w:rsidRDefault="00A37DA3">
      <w:pPr>
        <w:pStyle w:val="USAIDbullet1"/>
        <w:numPr>
          <w:ilvl w:val="0"/>
          <w:numId w:val="90"/>
        </w:numPr>
        <w:rPr>
          <w:lang w:val="en-US"/>
        </w:rPr>
      </w:pPr>
      <w:r w:rsidRPr="00A4272B">
        <w:rPr>
          <w:lang w:val="en-US"/>
        </w:rPr>
        <w:t>Secure</w:t>
      </w:r>
      <w:r w:rsidR="000C3CA8" w:rsidRPr="00A4272B">
        <w:rPr>
          <w:lang w:val="en-US"/>
        </w:rPr>
        <w:t xml:space="preserve"> space for the instrument</w:t>
      </w:r>
      <w:r w:rsidRPr="00A4272B">
        <w:rPr>
          <w:lang w:val="en-US"/>
        </w:rPr>
        <w:t xml:space="preserve"> </w:t>
      </w:r>
      <w:r w:rsidR="000C3CA8" w:rsidRPr="00A4272B">
        <w:rPr>
          <w:lang w:val="en-US"/>
        </w:rPr>
        <w:t>and servicing access; a</w:t>
      </w:r>
      <w:r w:rsidR="00A947AD" w:rsidRPr="00A4272B">
        <w:rPr>
          <w:lang w:val="en-US"/>
        </w:rPr>
        <w:t xml:space="preserve">void direct sunlignt and hear sources; </w:t>
      </w:r>
    </w:p>
    <w:p w14:paraId="548B86EF" w14:textId="77777777" w:rsidR="000C3CA8" w:rsidRPr="00A4272B" w:rsidRDefault="000C3CA8">
      <w:pPr>
        <w:pStyle w:val="USAIDbullet1"/>
        <w:numPr>
          <w:ilvl w:val="0"/>
          <w:numId w:val="90"/>
        </w:numPr>
        <w:rPr>
          <w:lang w:val="en-US"/>
        </w:rPr>
      </w:pPr>
      <w:r w:rsidRPr="00A4272B">
        <w:rPr>
          <w:lang w:val="en-US"/>
        </w:rPr>
        <w:t>Minimization of vibration (most important for HRMS instruments);</w:t>
      </w:r>
    </w:p>
    <w:p w14:paraId="3F592A16" w14:textId="22F2E9DE" w:rsidR="00C05EA7" w:rsidRPr="00A4272B" w:rsidRDefault="00AE2951">
      <w:pPr>
        <w:pStyle w:val="USAIDbullet1"/>
        <w:numPr>
          <w:ilvl w:val="0"/>
          <w:numId w:val="90"/>
        </w:numPr>
        <w:rPr>
          <w:lang w:val="en-US"/>
        </w:rPr>
      </w:pPr>
      <w:r w:rsidRPr="00A4272B">
        <w:rPr>
          <w:lang w:val="en-US"/>
        </w:rPr>
        <w:t>At certain locations where the incoming air has to be cleaned. Ideally this would involve a well ventilated lab with air pre-filtered through HEPA (HEPA Corporation) and carbon filters. The analysis of blank samples will disclose background interferences, and to identify the influence from the laboratory environment, a small volume of a solvent left in an open Petri dish for a couple of days will catch the compounds in the atmosphere;</w:t>
      </w:r>
    </w:p>
    <w:p w14:paraId="5573BEC1" w14:textId="7E849513" w:rsidR="00AE2951" w:rsidRPr="00A4272B" w:rsidRDefault="00AE2951">
      <w:pPr>
        <w:pStyle w:val="USAIDbullet1"/>
        <w:numPr>
          <w:ilvl w:val="0"/>
          <w:numId w:val="90"/>
        </w:numPr>
        <w:rPr>
          <w:lang w:val="en-US"/>
        </w:rPr>
      </w:pPr>
      <w:r w:rsidRPr="00A4272B">
        <w:rPr>
          <w:lang w:val="en-US"/>
        </w:rPr>
        <w:t>Occupational Health Safety venting</w:t>
      </w:r>
      <w:r w:rsidR="008C0E83" w:rsidRPr="00A4272B">
        <w:rPr>
          <w:lang w:val="en-US"/>
        </w:rPr>
        <w:t>, including vacuum system, fume hood and exhaust ventilation especially for GC-MS(/MS)</w:t>
      </w:r>
      <w:r w:rsidRPr="00A4272B">
        <w:rPr>
          <w:lang w:val="en-US"/>
        </w:rPr>
        <w:t>;</w:t>
      </w:r>
    </w:p>
    <w:p w14:paraId="28DD08FF" w14:textId="168A9452" w:rsidR="008C0E83" w:rsidRPr="00A4272B" w:rsidRDefault="008C0E83">
      <w:pPr>
        <w:pStyle w:val="USAIDbullet1"/>
        <w:numPr>
          <w:ilvl w:val="0"/>
          <w:numId w:val="90"/>
        </w:numPr>
        <w:rPr>
          <w:lang w:val="en-US"/>
        </w:rPr>
      </w:pPr>
      <w:r w:rsidRPr="00A4272B">
        <w:rPr>
          <w:lang w:val="en-US"/>
        </w:rPr>
        <w:t>Space for storage and handling of flammable solvents and proper waste disposal especially for LC-MS(/MS);</w:t>
      </w:r>
    </w:p>
    <w:p w14:paraId="5469E13B" w14:textId="28CC873D" w:rsidR="00AE2951" w:rsidRPr="00A4272B" w:rsidRDefault="00AE2951">
      <w:pPr>
        <w:pStyle w:val="USAIDbullet1"/>
        <w:numPr>
          <w:ilvl w:val="0"/>
          <w:numId w:val="90"/>
        </w:numPr>
        <w:rPr>
          <w:lang w:val="en-US"/>
        </w:rPr>
      </w:pPr>
      <w:r w:rsidRPr="00A4272B">
        <w:rPr>
          <w:lang w:val="en-US"/>
        </w:rPr>
        <w:t>Environmentally sound/safe disposal of laboratory wastes</w:t>
      </w:r>
      <w:r w:rsidR="00D0557A" w:rsidRPr="00A4272B">
        <w:rPr>
          <w:lang w:val="en-US"/>
        </w:rPr>
        <w:t xml:space="preserve">, such as containers for solvent </w:t>
      </w:r>
      <w:r w:rsidRPr="00A4272B">
        <w:rPr>
          <w:lang w:val="en-US"/>
        </w:rPr>
        <w:t>and highly contaminated samples</w:t>
      </w:r>
      <w:r w:rsidR="00D0557A" w:rsidRPr="00A4272B">
        <w:rPr>
          <w:lang w:val="en-US"/>
        </w:rPr>
        <w:t>,</w:t>
      </w:r>
      <w:r w:rsidRPr="00A4272B">
        <w:rPr>
          <w:lang w:val="en-US"/>
        </w:rPr>
        <w:t xml:space="preserve"> must be guaranteed</w:t>
      </w:r>
      <w:r w:rsidR="00E942CB" w:rsidRPr="00A4272B">
        <w:rPr>
          <w:lang w:val="en-US"/>
        </w:rPr>
        <w:t>;</w:t>
      </w:r>
      <w:r w:rsidR="00D0557A" w:rsidRPr="00A4272B">
        <w:rPr>
          <w:lang w:val="en-US"/>
        </w:rPr>
        <w:t xml:space="preserve"> </w:t>
      </w:r>
    </w:p>
    <w:p w14:paraId="7067680D" w14:textId="2A74C5E2" w:rsidR="008C0E83" w:rsidRPr="00A4272B" w:rsidRDefault="008C0E83">
      <w:pPr>
        <w:pStyle w:val="USAIDbullet1"/>
        <w:numPr>
          <w:ilvl w:val="0"/>
          <w:numId w:val="90"/>
        </w:numPr>
        <w:rPr>
          <w:lang w:val="en-US"/>
        </w:rPr>
      </w:pPr>
      <w:r w:rsidRPr="00A4272B">
        <w:rPr>
          <w:lang w:val="en-US"/>
        </w:rPr>
        <w:t xml:space="preserve">Stable electrical supply and power backup; </w:t>
      </w:r>
    </w:p>
    <w:p w14:paraId="44EAEC12" w14:textId="0B590026" w:rsidR="00D0557A" w:rsidRPr="00A4272B" w:rsidRDefault="00D0557A">
      <w:pPr>
        <w:pStyle w:val="USAIDbullet1"/>
        <w:numPr>
          <w:ilvl w:val="0"/>
          <w:numId w:val="90"/>
        </w:numPr>
        <w:rPr>
          <w:lang w:val="en-US"/>
        </w:rPr>
      </w:pPr>
      <w:r w:rsidRPr="00A4272B">
        <w:rPr>
          <w:lang w:val="en-US"/>
        </w:rPr>
        <w:t xml:space="preserve">IT erquirements: </w:t>
      </w:r>
      <w:r w:rsidR="00C05EA7" w:rsidRPr="00A4272B">
        <w:rPr>
          <w:lang w:val="en-US"/>
        </w:rPr>
        <w:t>High storage</w:t>
      </w:r>
      <w:r w:rsidRPr="00A4272B">
        <w:rPr>
          <w:lang w:val="en-US"/>
        </w:rPr>
        <w:t xml:space="preserve"> </w:t>
      </w:r>
      <w:r w:rsidR="00C05EA7" w:rsidRPr="00A4272B">
        <w:rPr>
          <w:lang w:val="en-US"/>
        </w:rPr>
        <w:t xml:space="preserve">capacity </w:t>
      </w:r>
      <w:r w:rsidRPr="00A4272B">
        <w:rPr>
          <w:lang w:val="en-US"/>
        </w:rPr>
        <w:t>and a secure network connection for data transfer and storage</w:t>
      </w:r>
      <w:r w:rsidR="008C0E83" w:rsidRPr="00A4272B">
        <w:rPr>
          <w:lang w:val="en-US"/>
        </w:rPr>
        <w:t>.</w:t>
      </w:r>
      <w:r w:rsidRPr="00A4272B">
        <w:rPr>
          <w:lang w:val="en-US"/>
        </w:rPr>
        <w:t xml:space="preserve"> </w:t>
      </w:r>
    </w:p>
    <w:p w14:paraId="7CF27C95" w14:textId="77777777" w:rsidR="00AE2951" w:rsidRPr="00A4272B" w:rsidRDefault="00AE2951" w:rsidP="004B62AA">
      <w:pPr>
        <w:pStyle w:val="USAIDbullet1"/>
        <w:numPr>
          <w:ilvl w:val="0"/>
          <w:numId w:val="0"/>
        </w:numPr>
        <w:ind w:left="714"/>
        <w:rPr>
          <w:lang w:val="en-US"/>
        </w:rPr>
      </w:pPr>
    </w:p>
    <w:p w14:paraId="127F0289" w14:textId="471EB0B7" w:rsidR="00606AE8" w:rsidRPr="00A4272B" w:rsidRDefault="00606AE8">
      <w:pPr>
        <w:snapToGrid/>
        <w:spacing w:after="0"/>
        <w:rPr>
          <w:rFonts w:ascii="Times New Roman Bold" w:hAnsi="Times New Roman Bold" w:hint="eastAsia"/>
          <w:b/>
          <w:bCs/>
          <w:snapToGrid w:val="0"/>
          <w:sz w:val="28"/>
          <w:szCs w:val="28"/>
          <w:lang w:val="en-US" w:eastAsia="x-none"/>
        </w:rPr>
      </w:pPr>
      <w:r w:rsidRPr="00A4272B">
        <w:rPr>
          <w:lang w:val="en-US"/>
        </w:rPr>
        <w:br w:type="page"/>
      </w:r>
    </w:p>
    <w:p w14:paraId="73A0A918" w14:textId="7E40AECE" w:rsidR="00F3536C" w:rsidRPr="00A4272B" w:rsidRDefault="0081578F" w:rsidP="002A04E0">
      <w:pPr>
        <w:pStyle w:val="GMPHeading1"/>
        <w:rPr>
          <w:rFonts w:hint="eastAsia"/>
        </w:rPr>
      </w:pPr>
      <w:bookmarkStart w:id="864" w:name="_Toc187270553"/>
      <w:r w:rsidRPr="00A4272B">
        <w:lastRenderedPageBreak/>
        <w:t>Appendix II: Air monitoring sites</w:t>
      </w:r>
      <w:bookmarkEnd w:id="864"/>
    </w:p>
    <w:p w14:paraId="633E1DA7" w14:textId="69A0C906" w:rsidR="00F3536C" w:rsidRPr="00A4272B" w:rsidRDefault="00F3536C" w:rsidP="00817D9F">
      <w:pPr>
        <w:pStyle w:val="GMPHeading2"/>
        <w:rPr>
          <w:rFonts w:hint="eastAsia"/>
        </w:rPr>
      </w:pPr>
      <w:bookmarkStart w:id="865" w:name="_Toc160507644"/>
      <w:bookmarkStart w:id="866" w:name="_Toc187270554"/>
      <w:bookmarkStart w:id="867" w:name="_Toc280689332"/>
      <w:bookmarkStart w:id="868" w:name="_Toc280690071"/>
      <w:bookmarkStart w:id="869" w:name="_Toc280691037"/>
      <w:bookmarkStart w:id="870" w:name="_Toc280693191"/>
      <w:bookmarkStart w:id="871" w:name="_Toc280695246"/>
      <w:bookmarkStart w:id="872" w:name="_Toc282086448"/>
      <w:bookmarkStart w:id="873" w:name="_Toc282435162"/>
      <w:bookmarkStart w:id="874" w:name="_Toc287965961"/>
      <w:bookmarkStart w:id="875" w:name="_Toc287973484"/>
      <w:bookmarkStart w:id="876" w:name="_Toc288232638"/>
      <w:bookmarkStart w:id="877" w:name="_Toc288745857"/>
      <w:r w:rsidRPr="00A4272B">
        <w:t xml:space="preserve">Part </w:t>
      </w:r>
      <w:r w:rsidR="001F14B3" w:rsidRPr="00A4272B">
        <w:t>1</w:t>
      </w:r>
      <w:r w:rsidR="00AC706A" w:rsidRPr="00A4272B">
        <w:t>.</w:t>
      </w:r>
      <w:r w:rsidR="00874453" w:rsidRPr="00A4272B">
        <w:t xml:space="preserve"> </w:t>
      </w:r>
      <w:r w:rsidRPr="00A4272B">
        <w:t xml:space="preserve">Air </w:t>
      </w:r>
      <w:r w:rsidR="00AC706A" w:rsidRPr="00A4272B">
        <w:t>m</w:t>
      </w:r>
      <w:r w:rsidRPr="00A4272B">
        <w:t xml:space="preserve">onitoring </w:t>
      </w:r>
      <w:r w:rsidR="00AC706A" w:rsidRPr="00A4272B">
        <w:t>s</w:t>
      </w:r>
      <w:r w:rsidRPr="00A4272B">
        <w:t>ites</w:t>
      </w:r>
      <w:bookmarkEnd w:id="865"/>
      <w:bookmarkEnd w:id="866"/>
    </w:p>
    <w:p w14:paraId="040252DD" w14:textId="09F16AEC" w:rsidR="00F3536C" w:rsidRPr="00A4272B" w:rsidRDefault="00F3536C" w:rsidP="008B4AAC">
      <w:pPr>
        <w:rPr>
          <w:b/>
          <w:lang w:val="en-US"/>
        </w:rPr>
      </w:pPr>
      <w:r w:rsidRPr="00A4272B">
        <w:rPr>
          <w:b/>
          <w:lang w:val="en-US"/>
        </w:rPr>
        <w:t>Table 1</w:t>
      </w:r>
      <w:r w:rsidR="006F0869" w:rsidRPr="00A4272B">
        <w:rPr>
          <w:b/>
          <w:lang w:val="en-US"/>
        </w:rPr>
        <w:t>:</w:t>
      </w:r>
      <w:r w:rsidRPr="00A4272B">
        <w:rPr>
          <w:b/>
          <w:lang w:val="en-US"/>
        </w:rPr>
        <w:t xml:space="preserve"> Global POP air monitoring network contacts</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2167"/>
        <w:gridCol w:w="1116"/>
        <w:gridCol w:w="2000"/>
        <w:gridCol w:w="3185"/>
      </w:tblGrid>
      <w:tr w:rsidR="00F3536C" w:rsidRPr="00A4272B" w14:paraId="1D93D05C" w14:textId="77777777" w:rsidTr="008B4AAC">
        <w:tc>
          <w:tcPr>
            <w:tcW w:w="31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620BCD" w14:textId="77777777" w:rsidR="00F3536C" w:rsidRPr="00A4272B" w:rsidRDefault="00F3536C" w:rsidP="00A41632">
            <w:pPr>
              <w:rPr>
                <w:rFonts w:asciiTheme="majorBidi" w:eastAsia="Calibri" w:hAnsiTheme="majorBidi" w:cstheme="majorBidi"/>
                <w:b/>
                <w:lang w:val="en-US"/>
              </w:rPr>
            </w:pPr>
            <w:r w:rsidRPr="00A4272B">
              <w:rPr>
                <w:rFonts w:asciiTheme="majorBidi" w:eastAsia="Calibri" w:hAnsiTheme="majorBidi" w:cstheme="majorBidi"/>
                <w:b/>
                <w:lang w:val="en-US"/>
              </w:rPr>
              <w:t>Name</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BA863" w14:textId="77777777" w:rsidR="00F3536C" w:rsidRPr="00A4272B" w:rsidRDefault="00F3536C" w:rsidP="00A41632">
            <w:pPr>
              <w:rPr>
                <w:rFonts w:asciiTheme="majorBidi" w:eastAsia="Calibri" w:hAnsiTheme="majorBidi" w:cstheme="majorBidi"/>
                <w:b/>
                <w:lang w:val="en-US"/>
              </w:rPr>
            </w:pPr>
            <w:r w:rsidRPr="00A4272B">
              <w:rPr>
                <w:rFonts w:asciiTheme="majorBidi" w:eastAsia="Calibri" w:hAnsiTheme="majorBidi" w:cstheme="majorBidi"/>
                <w:b/>
                <w:lang w:val="en-US"/>
              </w:rPr>
              <w:t>Contact</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7D3E8" w14:textId="77777777" w:rsidR="00F3536C" w:rsidRPr="00A4272B" w:rsidRDefault="00F3536C" w:rsidP="00A41632">
            <w:pPr>
              <w:rPr>
                <w:rFonts w:asciiTheme="majorBidi" w:eastAsia="Calibri" w:hAnsiTheme="majorBidi" w:cstheme="majorBidi"/>
                <w:b/>
                <w:lang w:val="en-US"/>
              </w:rPr>
            </w:pPr>
            <w:r w:rsidRPr="00A4272B">
              <w:rPr>
                <w:rFonts w:asciiTheme="majorBidi" w:eastAsia="Calibri" w:hAnsiTheme="majorBidi" w:cstheme="majorBidi"/>
                <w:b/>
                <w:lang w:val="en-US"/>
              </w:rPr>
              <w:t>Institution</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91B2A" w14:textId="77777777" w:rsidR="00F3536C" w:rsidRPr="00A4272B" w:rsidRDefault="00F3536C" w:rsidP="00A41632">
            <w:pPr>
              <w:rPr>
                <w:rFonts w:asciiTheme="majorBidi" w:eastAsia="Calibri" w:hAnsiTheme="majorBidi" w:cstheme="majorBidi"/>
                <w:b/>
                <w:lang w:val="en-US"/>
              </w:rPr>
            </w:pPr>
            <w:r w:rsidRPr="00A4272B">
              <w:rPr>
                <w:rFonts w:asciiTheme="majorBidi" w:eastAsia="Calibri" w:hAnsiTheme="majorBidi" w:cstheme="majorBidi"/>
                <w:b/>
                <w:lang w:val="en-US"/>
              </w:rPr>
              <w:t>Email</w:t>
            </w:r>
          </w:p>
        </w:tc>
      </w:tr>
      <w:tr w:rsidR="00F3536C" w:rsidRPr="00A4272B" w14:paraId="420D81A6" w14:textId="77777777" w:rsidTr="008B4AAC">
        <w:tc>
          <w:tcPr>
            <w:tcW w:w="31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AD1271"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Australian POPs Network</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95BA7" w14:textId="2AD6F87D" w:rsidR="00F3536C" w:rsidRPr="00A4272B" w:rsidRDefault="00EB3197" w:rsidP="00A41632">
            <w:pPr>
              <w:rPr>
                <w:rFonts w:asciiTheme="majorBidi" w:eastAsia="Calibri" w:hAnsiTheme="majorBidi" w:cstheme="majorBidi"/>
                <w:lang w:val="en-US"/>
              </w:rPr>
            </w:pPr>
            <w:r w:rsidRPr="00A4272B">
              <w:rPr>
                <w:rFonts w:asciiTheme="majorBidi" w:eastAsia="Calibri" w:hAnsiTheme="majorBidi" w:cstheme="majorBidi"/>
                <w:lang w:val="en-US"/>
              </w:rPr>
              <w:t>To be confirmed</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E175F"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Department of the Environment and Energy (Australia)</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35B2C" w14:textId="05746317" w:rsidR="00F3536C" w:rsidRPr="00A4272B" w:rsidRDefault="00F3536C" w:rsidP="00A41632">
            <w:pPr>
              <w:rPr>
                <w:rFonts w:asciiTheme="majorBidi" w:eastAsia="Calibri" w:hAnsiTheme="majorBidi" w:cstheme="majorBidi"/>
                <w:lang w:val="en-US"/>
              </w:rPr>
            </w:pPr>
          </w:p>
        </w:tc>
      </w:tr>
      <w:tr w:rsidR="00F3536C" w:rsidRPr="00A4272B" w14:paraId="2D460C51" w14:textId="77777777" w:rsidTr="008B4AAC">
        <w:tc>
          <w:tcPr>
            <w:tcW w:w="31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338EE7"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Chinese POPs Network</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E0657"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Minghui Zheng</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609F3"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Chinese Academy of Sciences</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8A106" w14:textId="77777777" w:rsidR="00F3536C" w:rsidRPr="00A4272B" w:rsidRDefault="00F3536C" w:rsidP="00A41632">
            <w:pPr>
              <w:rPr>
                <w:rFonts w:asciiTheme="majorBidi" w:eastAsia="Calibri" w:hAnsiTheme="majorBidi" w:cstheme="majorBidi"/>
                <w:lang w:val="en-US"/>
              </w:rPr>
            </w:pPr>
            <w:hyperlink r:id="rId72" w:history="1">
              <w:r w:rsidRPr="00A4272B">
                <w:rPr>
                  <w:rFonts w:asciiTheme="majorBidi" w:eastAsia="Calibri" w:hAnsiTheme="majorBidi" w:cstheme="majorBidi"/>
                  <w:color w:val="0563C1"/>
                  <w:u w:val="single"/>
                  <w:lang w:val="en-US"/>
                </w:rPr>
                <w:t>zhengmh@rcees.ac.cn</w:t>
              </w:r>
            </w:hyperlink>
          </w:p>
        </w:tc>
      </w:tr>
      <w:tr w:rsidR="00F3536C" w:rsidRPr="00A4272B" w14:paraId="3538A757" w14:textId="77777777" w:rsidTr="008B4AAC">
        <w:tc>
          <w:tcPr>
            <w:tcW w:w="31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534E8C"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East Asian POPs Network</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949DE" w14:textId="0EDD04E8" w:rsidR="00F3536C" w:rsidRPr="00A4272B" w:rsidRDefault="00EB3197" w:rsidP="00A41632">
            <w:pPr>
              <w:rPr>
                <w:rFonts w:asciiTheme="majorBidi" w:eastAsia="Calibri" w:hAnsiTheme="majorBidi" w:cstheme="majorBidi"/>
                <w:lang w:val="en-US"/>
              </w:rPr>
            </w:pPr>
            <w:r w:rsidRPr="00A4272B">
              <w:rPr>
                <w:rFonts w:asciiTheme="majorBidi" w:eastAsia="Calibri" w:hAnsiTheme="majorBidi" w:cstheme="majorBidi"/>
                <w:lang w:val="en-US"/>
              </w:rPr>
              <w:t xml:space="preserve">Yoshikatsu Takazawa </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3B0FA"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National Institute for Environmental Studies (Japan)</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92CCE" w14:textId="7DBCB4EB" w:rsidR="00F3536C" w:rsidRPr="00A4272B" w:rsidRDefault="00EB3197" w:rsidP="00A41632">
            <w:pPr>
              <w:rPr>
                <w:rFonts w:asciiTheme="majorBidi" w:eastAsia="Calibri" w:hAnsiTheme="majorBidi" w:cstheme="majorBidi"/>
                <w:lang w:val="en-US"/>
              </w:rPr>
            </w:pPr>
            <w:r w:rsidRPr="00A4272B">
              <w:rPr>
                <w:rFonts w:asciiTheme="majorBidi" w:eastAsia="Calibri" w:hAnsiTheme="majorBidi" w:cstheme="majorBidi"/>
                <w:color w:val="0563C1"/>
                <w:u w:val="single"/>
                <w:lang w:val="en-US"/>
              </w:rPr>
              <w:t>takazawa@nies.go.jp</w:t>
            </w:r>
          </w:p>
        </w:tc>
      </w:tr>
      <w:tr w:rsidR="00F3536C" w:rsidRPr="00A4272B" w14:paraId="73297593" w14:textId="77777777" w:rsidTr="008B4AAC">
        <w:tc>
          <w:tcPr>
            <w:tcW w:w="31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78798A"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Spanish POPs Network</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26E2" w14:textId="5A114F20" w:rsidR="00F3536C" w:rsidRPr="00A4272B" w:rsidRDefault="00EB3197" w:rsidP="00A41632">
            <w:pPr>
              <w:rPr>
                <w:rFonts w:asciiTheme="majorBidi" w:eastAsia="Calibri" w:hAnsiTheme="majorBidi" w:cstheme="majorBidi"/>
                <w:lang w:val="en-US"/>
              </w:rPr>
            </w:pPr>
            <w:r w:rsidRPr="00A4272B">
              <w:rPr>
                <w:rFonts w:asciiTheme="majorBidi" w:eastAsia="Calibri" w:hAnsiTheme="majorBidi" w:cstheme="majorBidi"/>
                <w:lang w:val="en-US"/>
              </w:rPr>
              <w:t>To be confirmed</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BAB67"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National Reference Centre on POPs (Spain)</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B7F90" w14:textId="1407AC94" w:rsidR="00F3536C" w:rsidRPr="00A4272B" w:rsidRDefault="00F3536C" w:rsidP="00A41632">
            <w:pPr>
              <w:rPr>
                <w:rFonts w:asciiTheme="majorBidi" w:eastAsia="Calibri" w:hAnsiTheme="majorBidi" w:cstheme="majorBidi"/>
                <w:color w:val="0563C1"/>
                <w:u w:val="single"/>
                <w:lang w:val="en-US"/>
              </w:rPr>
            </w:pPr>
          </w:p>
        </w:tc>
      </w:tr>
      <w:tr w:rsidR="00F3536C" w:rsidRPr="00A4272B" w14:paraId="2A0F2EBC" w14:textId="77777777" w:rsidTr="008B4AA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0866F"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EMEP</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217E1"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European Monitoring and Evaluation Program</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AFE7C"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Pernilla Bohlin-Nizzetto</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1BCAE"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Norwegian Institute for Air Research</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02CB1" w14:textId="77777777" w:rsidR="00F3536C" w:rsidRPr="00A4272B" w:rsidRDefault="00F3536C" w:rsidP="00A41632">
            <w:pPr>
              <w:rPr>
                <w:rFonts w:asciiTheme="majorBidi" w:eastAsia="Calibri" w:hAnsiTheme="majorBidi" w:cstheme="majorBidi"/>
                <w:lang w:val="en-US"/>
              </w:rPr>
            </w:pPr>
            <w:hyperlink r:id="rId73" w:history="1">
              <w:r w:rsidRPr="00A4272B">
                <w:rPr>
                  <w:rFonts w:asciiTheme="majorBidi" w:eastAsia="Calibri" w:hAnsiTheme="majorBidi" w:cstheme="majorBidi"/>
                  <w:color w:val="0563C1"/>
                  <w:u w:val="single"/>
                  <w:lang w:val="en-US"/>
                </w:rPr>
                <w:t>pernilla.bohlin.nizzetto@nilu.no</w:t>
              </w:r>
            </w:hyperlink>
          </w:p>
        </w:tc>
      </w:tr>
      <w:tr w:rsidR="00F3536C" w:rsidRPr="00A4272B" w14:paraId="75C84A07" w14:textId="77777777" w:rsidTr="008B4AA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0B120"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GAPS</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7CF66"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Global Atmospheric Passive Sampling Network</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C4D6C"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Tom Harner</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3327A"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Environment and Climate Change Canada</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4511A" w14:textId="77777777" w:rsidR="00F3536C" w:rsidRPr="00A4272B" w:rsidRDefault="00F3536C" w:rsidP="00A41632">
            <w:pPr>
              <w:rPr>
                <w:rFonts w:asciiTheme="majorBidi" w:eastAsia="Calibri" w:hAnsiTheme="majorBidi" w:cstheme="majorBidi"/>
                <w:lang w:val="en-US"/>
              </w:rPr>
            </w:pPr>
            <w:hyperlink r:id="rId74" w:history="1">
              <w:r w:rsidRPr="00A4272B">
                <w:rPr>
                  <w:rFonts w:asciiTheme="majorBidi" w:eastAsia="Calibri" w:hAnsiTheme="majorBidi" w:cstheme="majorBidi"/>
                  <w:color w:val="0563C1"/>
                  <w:u w:val="single"/>
                  <w:lang w:val="en-US"/>
                </w:rPr>
                <w:t>tom.harner@canada.ca</w:t>
              </w:r>
            </w:hyperlink>
          </w:p>
        </w:tc>
      </w:tr>
      <w:tr w:rsidR="00F3536C" w:rsidRPr="00A4272B" w14:paraId="64168010" w14:textId="77777777" w:rsidTr="008B4AA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CEADA"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GLB</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A6DDD"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Monitoring &amp; Surveillance in the Great Lakes Basin</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56166"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Hayley Hung</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63CAE"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Environment and Climate Change Canada</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2A2A5" w14:textId="77777777" w:rsidR="00F3536C" w:rsidRPr="00A4272B" w:rsidRDefault="00F3536C" w:rsidP="00A41632">
            <w:pPr>
              <w:rPr>
                <w:rFonts w:asciiTheme="majorBidi" w:eastAsia="Calibri" w:hAnsiTheme="majorBidi" w:cstheme="majorBidi"/>
                <w:lang w:val="en-US"/>
              </w:rPr>
            </w:pPr>
            <w:hyperlink r:id="rId75" w:history="1">
              <w:r w:rsidRPr="00A4272B">
                <w:rPr>
                  <w:rFonts w:asciiTheme="majorBidi" w:eastAsia="Calibri" w:hAnsiTheme="majorBidi" w:cstheme="majorBidi"/>
                  <w:color w:val="0563C1"/>
                  <w:u w:val="single"/>
                  <w:lang w:val="en-US"/>
                </w:rPr>
                <w:t>hayley.hung@canada.ca</w:t>
              </w:r>
            </w:hyperlink>
          </w:p>
        </w:tc>
      </w:tr>
      <w:tr w:rsidR="00F3536C" w:rsidRPr="00A4272B" w14:paraId="7298B80C" w14:textId="77777777" w:rsidTr="008B4AA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BC3C6"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IADN</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2543A"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Integrated Atmospheric Deposition Network</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611FB"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 xml:space="preserve">Ron </w:t>
            </w:r>
          </w:p>
          <w:p w14:paraId="0B1CAD04"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Hites</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63C55"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Indiana University (United States)</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56676" w14:textId="77777777" w:rsidR="00F3536C" w:rsidRPr="00A4272B" w:rsidRDefault="00F3536C" w:rsidP="00A41632">
            <w:pPr>
              <w:rPr>
                <w:rFonts w:asciiTheme="majorBidi" w:eastAsia="Calibri" w:hAnsiTheme="majorBidi" w:cstheme="majorBidi"/>
                <w:lang w:val="en-US"/>
              </w:rPr>
            </w:pPr>
            <w:hyperlink r:id="rId76" w:history="1">
              <w:r w:rsidRPr="00A4272B">
                <w:rPr>
                  <w:rFonts w:asciiTheme="majorBidi" w:eastAsia="Calibri" w:hAnsiTheme="majorBidi" w:cstheme="majorBidi"/>
                  <w:color w:val="0563C1"/>
                  <w:u w:val="single"/>
                  <w:lang w:val="en-US"/>
                </w:rPr>
                <w:t>hitesr@indiana.edu</w:t>
              </w:r>
            </w:hyperlink>
          </w:p>
        </w:tc>
      </w:tr>
      <w:tr w:rsidR="00F3536C" w:rsidRPr="00A4272B" w14:paraId="58E8AC06" w14:textId="77777777" w:rsidTr="008B4AA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995E0"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LAPAN</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79369"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Latin America Passive Air Network</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EDF3D"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Gilberto Fillmann</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6F490"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Universidade Federal do Rio Grande (Brazil)</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10424" w14:textId="77777777" w:rsidR="00F3536C" w:rsidRPr="00A4272B" w:rsidRDefault="00F3536C" w:rsidP="00A41632">
            <w:pPr>
              <w:rPr>
                <w:rFonts w:asciiTheme="majorBidi" w:eastAsia="Calibri" w:hAnsiTheme="majorBidi" w:cstheme="majorBidi"/>
                <w:lang w:val="en-US"/>
              </w:rPr>
            </w:pPr>
            <w:hyperlink r:id="rId77" w:history="1">
              <w:r w:rsidRPr="00A4272B">
                <w:rPr>
                  <w:rFonts w:asciiTheme="majorBidi" w:eastAsia="Calibri" w:hAnsiTheme="majorBidi" w:cstheme="majorBidi"/>
                  <w:color w:val="0563C1"/>
                  <w:u w:val="single"/>
                  <w:lang w:val="en-US"/>
                </w:rPr>
                <w:t>gfillmann@gmail.com</w:t>
              </w:r>
            </w:hyperlink>
          </w:p>
        </w:tc>
      </w:tr>
      <w:tr w:rsidR="00F3536C" w:rsidRPr="00A4272B" w14:paraId="6BD9B32F" w14:textId="77777777" w:rsidTr="008B4AA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C3EF0"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MONET</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77871"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Monitoring Network</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47F9D"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Jana Klánová</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0677A"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RECETOX, Masaryk University (Czech Republic)</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E8B10" w14:textId="77777777" w:rsidR="00F3536C" w:rsidRPr="00A4272B" w:rsidRDefault="00F3536C" w:rsidP="00A41632">
            <w:pPr>
              <w:rPr>
                <w:rFonts w:asciiTheme="majorBidi" w:eastAsia="Calibri" w:hAnsiTheme="majorBidi" w:cstheme="majorBidi"/>
                <w:lang w:val="en-US"/>
              </w:rPr>
            </w:pPr>
            <w:hyperlink r:id="rId78" w:history="1">
              <w:r w:rsidRPr="00A4272B">
                <w:rPr>
                  <w:rFonts w:asciiTheme="majorBidi" w:eastAsia="Calibri" w:hAnsiTheme="majorBidi" w:cstheme="majorBidi"/>
                  <w:color w:val="0563C1"/>
                  <w:u w:val="single"/>
                  <w:lang w:val="en-US"/>
                </w:rPr>
                <w:t>klanova@recetox.muni.cz</w:t>
              </w:r>
            </w:hyperlink>
          </w:p>
        </w:tc>
      </w:tr>
      <w:tr w:rsidR="00F3536C" w:rsidRPr="00A4272B" w14:paraId="36FB564B" w14:textId="77777777" w:rsidTr="008B4AA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C1221"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NCP</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03FCC"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Northern Contaminants Program</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C5DB6"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Hayley Hung</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3D87A"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Environment and Climate Change Canada</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46D20" w14:textId="77777777" w:rsidR="00F3536C" w:rsidRPr="00A4272B" w:rsidRDefault="00F3536C" w:rsidP="00A41632">
            <w:pPr>
              <w:rPr>
                <w:rFonts w:asciiTheme="majorBidi" w:eastAsia="Calibri" w:hAnsiTheme="majorBidi" w:cstheme="majorBidi"/>
                <w:lang w:val="en-US"/>
              </w:rPr>
            </w:pPr>
            <w:hyperlink r:id="rId79" w:history="1">
              <w:r w:rsidRPr="00A4272B">
                <w:rPr>
                  <w:rFonts w:asciiTheme="majorBidi" w:eastAsia="Calibri" w:hAnsiTheme="majorBidi" w:cstheme="majorBidi"/>
                  <w:color w:val="0563C1"/>
                  <w:u w:val="single"/>
                  <w:lang w:val="en-US"/>
                </w:rPr>
                <w:t>hayley.hung@canada.ca</w:t>
              </w:r>
            </w:hyperlink>
          </w:p>
        </w:tc>
      </w:tr>
      <w:tr w:rsidR="00F3536C" w:rsidRPr="00A4272B" w14:paraId="58B682FC" w14:textId="77777777" w:rsidTr="008B4AA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A43C6"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TOMPS</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6FC89"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Toxic Organic Micro Pollutants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30C67"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Andrew Sweetman</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FB632" w14:textId="77777777" w:rsidR="00F3536C" w:rsidRPr="00A4272B" w:rsidRDefault="00F3536C" w:rsidP="00A41632">
            <w:pPr>
              <w:rPr>
                <w:rFonts w:asciiTheme="majorBidi" w:eastAsia="Calibri" w:hAnsiTheme="majorBidi" w:cstheme="majorBidi"/>
                <w:lang w:val="en-US"/>
              </w:rPr>
            </w:pPr>
            <w:r w:rsidRPr="00A4272B">
              <w:rPr>
                <w:rFonts w:asciiTheme="majorBidi" w:eastAsia="Calibri" w:hAnsiTheme="majorBidi" w:cstheme="majorBidi"/>
                <w:lang w:val="en-US"/>
              </w:rPr>
              <w:t>Lancaster University (United Kingdom)</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D496B" w14:textId="77777777" w:rsidR="00F3536C" w:rsidRPr="00A4272B" w:rsidRDefault="00F3536C" w:rsidP="00A41632">
            <w:pPr>
              <w:rPr>
                <w:rFonts w:asciiTheme="majorBidi" w:eastAsia="Calibri" w:hAnsiTheme="majorBidi" w:cstheme="majorBidi"/>
                <w:lang w:val="en-US"/>
              </w:rPr>
            </w:pPr>
            <w:hyperlink r:id="rId80" w:history="1">
              <w:r w:rsidRPr="00A4272B">
                <w:rPr>
                  <w:rFonts w:asciiTheme="majorBidi" w:eastAsia="Calibri" w:hAnsiTheme="majorBidi" w:cstheme="majorBidi"/>
                  <w:color w:val="0563C1"/>
                  <w:u w:val="single"/>
                  <w:lang w:val="en-US"/>
                </w:rPr>
                <w:t>a.sweetman@lancaster.ac.uk</w:t>
              </w:r>
            </w:hyperlink>
          </w:p>
        </w:tc>
      </w:tr>
    </w:tbl>
    <w:p w14:paraId="6CCBD3B6" w14:textId="77777777" w:rsidR="00F3536C" w:rsidRPr="00A4272B" w:rsidRDefault="00F3536C" w:rsidP="00F3536C">
      <w:pPr>
        <w:rPr>
          <w:b/>
          <w:lang w:val="en-US"/>
        </w:rPr>
      </w:pPr>
    </w:p>
    <w:p w14:paraId="6285E8F9" w14:textId="77777777" w:rsidR="00F3536C" w:rsidRPr="00A4272B" w:rsidRDefault="00F3536C" w:rsidP="00F3536C">
      <w:pPr>
        <w:rPr>
          <w:lang w:val="en-US"/>
        </w:rPr>
        <w:sectPr w:rsidR="00F3536C" w:rsidRPr="00A4272B" w:rsidSect="0060600C">
          <w:footerReference w:type="default" r:id="rId81"/>
          <w:type w:val="nextColumn"/>
          <w:pgSz w:w="12240" w:h="15840"/>
          <w:pgMar w:top="907" w:right="994" w:bottom="1411" w:left="1411" w:header="533" w:footer="979" w:gutter="0"/>
          <w:cols w:space="720"/>
          <w:docGrid w:linePitch="360"/>
        </w:sectPr>
      </w:pPr>
    </w:p>
    <w:p w14:paraId="46477C09" w14:textId="47178556" w:rsidR="00F3536C" w:rsidRPr="00A4272B" w:rsidRDefault="00F3536C" w:rsidP="008B4AAC">
      <w:pPr>
        <w:rPr>
          <w:b/>
          <w:lang w:val="en-US"/>
        </w:rPr>
      </w:pPr>
      <w:r w:rsidRPr="00A4272B">
        <w:rPr>
          <w:b/>
          <w:lang w:val="en-US"/>
        </w:rPr>
        <w:lastRenderedPageBreak/>
        <w:t>Table 2</w:t>
      </w:r>
      <w:r w:rsidR="006F0869" w:rsidRPr="00A4272B">
        <w:rPr>
          <w:b/>
          <w:lang w:val="en-US"/>
        </w:rPr>
        <w:t xml:space="preserve">: </w:t>
      </w:r>
      <w:r w:rsidR="00E16672" w:rsidRPr="00A4272B">
        <w:rPr>
          <w:b/>
          <w:lang w:val="en-US"/>
        </w:rPr>
        <w:t>A</w:t>
      </w:r>
      <w:r w:rsidRPr="00A4272B">
        <w:rPr>
          <w:b/>
          <w:lang w:val="en-US"/>
        </w:rPr>
        <w:t>ir monitoring sites [2018]</w:t>
      </w:r>
      <w:r w:rsidR="00D55745" w:rsidRPr="00A4272B">
        <w:rPr>
          <w:b/>
          <w:lang w:val="en-US"/>
        </w:rPr>
        <w:t xml:space="preserve"> (</w:t>
      </w:r>
      <w:r w:rsidR="00B356BF" w:rsidRPr="00A4272B">
        <w:rPr>
          <w:b/>
          <w:lang w:val="en-US"/>
        </w:rPr>
        <w:t>To be updated once the air monitoring sites contributing to GMP4 are confirmed.</w:t>
      </w:r>
      <w:r w:rsidR="00D55745" w:rsidRPr="00A4272B">
        <w:rPr>
          <w:b/>
          <w:lang w:val="en-US"/>
        </w:rPr>
        <w:t>)</w:t>
      </w:r>
    </w:p>
    <w:tbl>
      <w:tblPr>
        <w:tblW w:w="14633" w:type="dxa"/>
        <w:jc w:val="center"/>
        <w:tblLook w:val="04A0" w:firstRow="1" w:lastRow="0" w:firstColumn="1" w:lastColumn="0" w:noHBand="0" w:noVBand="1"/>
      </w:tblPr>
      <w:tblGrid>
        <w:gridCol w:w="955"/>
        <w:gridCol w:w="1391"/>
        <w:gridCol w:w="2504"/>
        <w:gridCol w:w="998"/>
        <w:gridCol w:w="1342"/>
        <w:gridCol w:w="900"/>
        <w:gridCol w:w="998"/>
        <w:gridCol w:w="859"/>
        <w:gridCol w:w="792"/>
        <w:gridCol w:w="590"/>
        <w:gridCol w:w="937"/>
        <w:gridCol w:w="831"/>
        <w:gridCol w:w="924"/>
        <w:gridCol w:w="612"/>
      </w:tblGrid>
      <w:tr w:rsidR="00F3536C" w:rsidRPr="00A4272B" w14:paraId="78429171" w14:textId="77777777" w:rsidTr="00F006B1">
        <w:trPr>
          <w:trHeight w:val="288"/>
          <w:tblHeader/>
          <w:jc w:val="center"/>
        </w:trPr>
        <w:tc>
          <w:tcPr>
            <w:tcW w:w="9947" w:type="dxa"/>
            <w:gridSpan w:val="8"/>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3F6E4E78" w14:textId="77777777" w:rsidR="00F3536C" w:rsidRPr="00A4272B" w:rsidRDefault="00F3536C" w:rsidP="00A41632">
            <w:pPr>
              <w:rPr>
                <w:b/>
                <w:bCs/>
                <w:color w:val="000000"/>
                <w:sz w:val="14"/>
                <w:szCs w:val="14"/>
                <w:lang w:val="en-US"/>
              </w:rPr>
            </w:pPr>
            <w:r w:rsidRPr="00A4272B">
              <w:rPr>
                <w:b/>
                <w:bCs/>
                <w:color w:val="000000"/>
                <w:sz w:val="14"/>
                <w:szCs w:val="14"/>
                <w:lang w:val="en-US"/>
              </w:rPr>
              <w:t>Site details</w:t>
            </w:r>
          </w:p>
        </w:tc>
        <w:tc>
          <w:tcPr>
            <w:tcW w:w="4686" w:type="dxa"/>
            <w:gridSpan w:val="6"/>
            <w:tcBorders>
              <w:top w:val="single" w:sz="8" w:space="0" w:color="auto"/>
              <w:left w:val="nil"/>
              <w:bottom w:val="single" w:sz="8" w:space="0" w:color="auto"/>
              <w:right w:val="single" w:sz="8" w:space="0" w:color="000000"/>
            </w:tcBorders>
            <w:shd w:val="clear" w:color="auto" w:fill="D9D9D9"/>
            <w:noWrap/>
            <w:vAlign w:val="center"/>
            <w:hideMark/>
          </w:tcPr>
          <w:p w14:paraId="05C52C56" w14:textId="77777777" w:rsidR="00F3536C" w:rsidRPr="00A4272B" w:rsidRDefault="00F3536C" w:rsidP="00A41632">
            <w:pPr>
              <w:rPr>
                <w:b/>
                <w:bCs/>
                <w:color w:val="000000"/>
                <w:sz w:val="14"/>
                <w:szCs w:val="14"/>
                <w:lang w:val="en-US"/>
              </w:rPr>
            </w:pPr>
            <w:r w:rsidRPr="00A4272B">
              <w:rPr>
                <w:b/>
                <w:bCs/>
                <w:color w:val="000000"/>
                <w:sz w:val="14"/>
                <w:szCs w:val="14"/>
                <w:lang w:val="en-US"/>
              </w:rPr>
              <w:t>Sampling details</w:t>
            </w:r>
          </w:p>
        </w:tc>
      </w:tr>
      <w:tr w:rsidR="00AB0F3B" w:rsidRPr="00A4272B" w14:paraId="6A370F04" w14:textId="77777777" w:rsidTr="00890EB7">
        <w:trPr>
          <w:trHeight w:val="288"/>
          <w:tblHeader/>
          <w:jc w:val="center"/>
        </w:trPr>
        <w:tc>
          <w:tcPr>
            <w:tcW w:w="955" w:type="dxa"/>
            <w:tcBorders>
              <w:top w:val="nil"/>
              <w:left w:val="single" w:sz="8" w:space="0" w:color="auto"/>
              <w:bottom w:val="single" w:sz="8" w:space="0" w:color="auto"/>
              <w:right w:val="nil"/>
            </w:tcBorders>
            <w:shd w:val="clear" w:color="auto" w:fill="D9D9D9"/>
            <w:noWrap/>
            <w:vAlign w:val="center"/>
            <w:hideMark/>
          </w:tcPr>
          <w:p w14:paraId="2CD290B7" w14:textId="77777777" w:rsidR="00F3536C" w:rsidRPr="00A4272B" w:rsidRDefault="00F3536C" w:rsidP="00A41632">
            <w:pPr>
              <w:rPr>
                <w:b/>
                <w:bCs/>
                <w:color w:val="000000"/>
                <w:sz w:val="14"/>
                <w:szCs w:val="14"/>
                <w:lang w:val="en-US"/>
              </w:rPr>
            </w:pPr>
            <w:r w:rsidRPr="00A4272B">
              <w:rPr>
                <w:b/>
                <w:bCs/>
                <w:color w:val="000000"/>
                <w:sz w:val="14"/>
                <w:szCs w:val="14"/>
                <w:lang w:val="en-US"/>
              </w:rPr>
              <w:t>Network</w:t>
            </w:r>
          </w:p>
        </w:tc>
        <w:tc>
          <w:tcPr>
            <w:tcW w:w="1391" w:type="dxa"/>
            <w:tcBorders>
              <w:top w:val="nil"/>
              <w:left w:val="nil"/>
              <w:bottom w:val="single" w:sz="8" w:space="0" w:color="auto"/>
              <w:right w:val="nil"/>
            </w:tcBorders>
            <w:shd w:val="clear" w:color="auto" w:fill="D9D9D9"/>
            <w:noWrap/>
            <w:vAlign w:val="center"/>
            <w:hideMark/>
          </w:tcPr>
          <w:p w14:paraId="25068F47" w14:textId="77777777" w:rsidR="00F3536C" w:rsidRPr="00A4272B" w:rsidRDefault="00F3536C" w:rsidP="00A41632">
            <w:pPr>
              <w:rPr>
                <w:b/>
                <w:bCs/>
                <w:color w:val="000000"/>
                <w:sz w:val="14"/>
                <w:szCs w:val="14"/>
                <w:lang w:val="en-US"/>
              </w:rPr>
            </w:pPr>
            <w:r w:rsidRPr="00A4272B">
              <w:rPr>
                <w:b/>
                <w:bCs/>
                <w:color w:val="000000"/>
                <w:sz w:val="14"/>
                <w:szCs w:val="14"/>
                <w:lang w:val="en-US"/>
              </w:rPr>
              <w:t>Country</w:t>
            </w:r>
          </w:p>
        </w:tc>
        <w:tc>
          <w:tcPr>
            <w:tcW w:w="2504" w:type="dxa"/>
            <w:tcBorders>
              <w:top w:val="nil"/>
              <w:left w:val="nil"/>
              <w:bottom w:val="single" w:sz="8" w:space="0" w:color="auto"/>
              <w:right w:val="nil"/>
            </w:tcBorders>
            <w:shd w:val="clear" w:color="auto" w:fill="D9D9D9"/>
            <w:noWrap/>
            <w:vAlign w:val="center"/>
            <w:hideMark/>
          </w:tcPr>
          <w:p w14:paraId="07B3659F" w14:textId="77777777" w:rsidR="00F3536C" w:rsidRPr="00A4272B" w:rsidRDefault="00F3536C" w:rsidP="00A41632">
            <w:pPr>
              <w:rPr>
                <w:b/>
                <w:bCs/>
                <w:color w:val="000000"/>
                <w:sz w:val="14"/>
                <w:szCs w:val="14"/>
                <w:lang w:val="en-US"/>
              </w:rPr>
            </w:pPr>
            <w:r w:rsidRPr="00A4272B">
              <w:rPr>
                <w:b/>
                <w:bCs/>
                <w:color w:val="000000"/>
                <w:sz w:val="14"/>
                <w:szCs w:val="14"/>
                <w:lang w:val="en-US"/>
              </w:rPr>
              <w:t>Name</w:t>
            </w:r>
          </w:p>
        </w:tc>
        <w:tc>
          <w:tcPr>
            <w:tcW w:w="998" w:type="dxa"/>
            <w:tcBorders>
              <w:top w:val="nil"/>
              <w:left w:val="nil"/>
              <w:bottom w:val="single" w:sz="8" w:space="0" w:color="auto"/>
              <w:right w:val="nil"/>
            </w:tcBorders>
            <w:shd w:val="clear" w:color="auto" w:fill="D9D9D9"/>
            <w:noWrap/>
            <w:vAlign w:val="center"/>
            <w:hideMark/>
          </w:tcPr>
          <w:p w14:paraId="084E3B8A"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Network ID</w:t>
            </w:r>
          </w:p>
        </w:tc>
        <w:tc>
          <w:tcPr>
            <w:tcW w:w="1342" w:type="dxa"/>
            <w:tcBorders>
              <w:top w:val="nil"/>
              <w:left w:val="nil"/>
              <w:bottom w:val="single" w:sz="8" w:space="0" w:color="auto"/>
              <w:right w:val="nil"/>
            </w:tcBorders>
            <w:shd w:val="clear" w:color="auto" w:fill="D9D9D9"/>
            <w:noWrap/>
            <w:vAlign w:val="center"/>
            <w:hideMark/>
          </w:tcPr>
          <w:p w14:paraId="3C4EC824"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Background Type</w:t>
            </w:r>
          </w:p>
        </w:tc>
        <w:tc>
          <w:tcPr>
            <w:tcW w:w="900" w:type="dxa"/>
            <w:tcBorders>
              <w:top w:val="nil"/>
              <w:left w:val="nil"/>
              <w:bottom w:val="single" w:sz="8" w:space="0" w:color="auto"/>
              <w:right w:val="nil"/>
            </w:tcBorders>
            <w:shd w:val="clear" w:color="auto" w:fill="D9D9D9"/>
            <w:noWrap/>
            <w:vAlign w:val="center"/>
            <w:hideMark/>
          </w:tcPr>
          <w:p w14:paraId="3560F0F5"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Latitude</w:t>
            </w:r>
          </w:p>
        </w:tc>
        <w:tc>
          <w:tcPr>
            <w:tcW w:w="998" w:type="dxa"/>
            <w:tcBorders>
              <w:top w:val="nil"/>
              <w:left w:val="nil"/>
              <w:bottom w:val="single" w:sz="8" w:space="0" w:color="auto"/>
              <w:right w:val="nil"/>
            </w:tcBorders>
            <w:shd w:val="clear" w:color="auto" w:fill="D9D9D9"/>
            <w:noWrap/>
            <w:vAlign w:val="center"/>
            <w:hideMark/>
          </w:tcPr>
          <w:p w14:paraId="6308C5B6"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Longitude</w:t>
            </w:r>
          </w:p>
        </w:tc>
        <w:tc>
          <w:tcPr>
            <w:tcW w:w="859" w:type="dxa"/>
            <w:tcBorders>
              <w:top w:val="nil"/>
              <w:left w:val="nil"/>
              <w:bottom w:val="single" w:sz="8" w:space="0" w:color="auto"/>
              <w:right w:val="single" w:sz="8" w:space="0" w:color="auto"/>
            </w:tcBorders>
            <w:shd w:val="clear" w:color="auto" w:fill="D9D9D9"/>
            <w:noWrap/>
            <w:vAlign w:val="center"/>
            <w:hideMark/>
          </w:tcPr>
          <w:p w14:paraId="6295C7BC"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Elevation</w:t>
            </w:r>
          </w:p>
        </w:tc>
        <w:tc>
          <w:tcPr>
            <w:tcW w:w="792" w:type="dxa"/>
            <w:tcBorders>
              <w:top w:val="nil"/>
              <w:left w:val="nil"/>
              <w:bottom w:val="single" w:sz="8" w:space="0" w:color="auto"/>
              <w:right w:val="nil"/>
            </w:tcBorders>
            <w:shd w:val="clear" w:color="auto" w:fill="D9D9D9"/>
            <w:noWrap/>
            <w:vAlign w:val="center"/>
            <w:hideMark/>
          </w:tcPr>
          <w:p w14:paraId="271C515D"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Sampler</w:t>
            </w:r>
          </w:p>
        </w:tc>
        <w:tc>
          <w:tcPr>
            <w:tcW w:w="590" w:type="dxa"/>
            <w:tcBorders>
              <w:top w:val="nil"/>
              <w:left w:val="nil"/>
              <w:bottom w:val="single" w:sz="8" w:space="0" w:color="auto"/>
              <w:right w:val="nil"/>
            </w:tcBorders>
            <w:shd w:val="clear" w:color="auto" w:fill="D9D9D9"/>
            <w:noWrap/>
            <w:vAlign w:val="center"/>
            <w:hideMark/>
          </w:tcPr>
          <w:p w14:paraId="046A1D01"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Type</w:t>
            </w:r>
          </w:p>
        </w:tc>
        <w:tc>
          <w:tcPr>
            <w:tcW w:w="937" w:type="dxa"/>
            <w:tcBorders>
              <w:top w:val="nil"/>
              <w:left w:val="nil"/>
              <w:bottom w:val="single" w:sz="8" w:space="0" w:color="auto"/>
              <w:right w:val="nil"/>
            </w:tcBorders>
            <w:shd w:val="clear" w:color="auto" w:fill="D9D9D9"/>
            <w:noWrap/>
            <w:vAlign w:val="center"/>
            <w:hideMark/>
          </w:tcPr>
          <w:p w14:paraId="75E75606"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Volume</w:t>
            </w:r>
          </w:p>
        </w:tc>
        <w:tc>
          <w:tcPr>
            <w:tcW w:w="831" w:type="dxa"/>
            <w:tcBorders>
              <w:top w:val="nil"/>
              <w:left w:val="nil"/>
              <w:bottom w:val="single" w:sz="8" w:space="0" w:color="auto"/>
              <w:right w:val="nil"/>
            </w:tcBorders>
            <w:shd w:val="clear" w:color="auto" w:fill="D9D9D9"/>
            <w:noWrap/>
            <w:vAlign w:val="center"/>
            <w:hideMark/>
          </w:tcPr>
          <w:p w14:paraId="46DC19E4"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Duration</w:t>
            </w:r>
          </w:p>
        </w:tc>
        <w:tc>
          <w:tcPr>
            <w:tcW w:w="924" w:type="dxa"/>
            <w:tcBorders>
              <w:top w:val="nil"/>
              <w:left w:val="nil"/>
              <w:bottom w:val="single" w:sz="8" w:space="0" w:color="auto"/>
              <w:right w:val="nil"/>
            </w:tcBorders>
            <w:shd w:val="clear" w:color="auto" w:fill="D9D9D9"/>
            <w:noWrap/>
            <w:vAlign w:val="center"/>
            <w:hideMark/>
          </w:tcPr>
          <w:p w14:paraId="04DA2775"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Frequency</w:t>
            </w:r>
          </w:p>
        </w:tc>
        <w:tc>
          <w:tcPr>
            <w:tcW w:w="612" w:type="dxa"/>
            <w:tcBorders>
              <w:top w:val="nil"/>
              <w:left w:val="nil"/>
              <w:bottom w:val="single" w:sz="8" w:space="0" w:color="auto"/>
              <w:right w:val="single" w:sz="8" w:space="0" w:color="auto"/>
            </w:tcBorders>
            <w:shd w:val="clear" w:color="auto" w:fill="D9D9D9"/>
            <w:noWrap/>
            <w:vAlign w:val="center"/>
            <w:hideMark/>
          </w:tcPr>
          <w:p w14:paraId="40286EFF" w14:textId="77777777" w:rsidR="00F3536C" w:rsidRPr="00A4272B" w:rsidRDefault="00F3536C" w:rsidP="00A41632">
            <w:pPr>
              <w:jc w:val="center"/>
              <w:rPr>
                <w:b/>
                <w:bCs/>
                <w:color w:val="000000"/>
                <w:sz w:val="14"/>
                <w:szCs w:val="14"/>
                <w:lang w:val="en-US"/>
              </w:rPr>
            </w:pPr>
            <w:r w:rsidRPr="00A4272B">
              <w:rPr>
                <w:b/>
                <w:bCs/>
                <w:color w:val="000000"/>
                <w:sz w:val="14"/>
                <w:szCs w:val="14"/>
                <w:lang w:val="en-US"/>
              </w:rPr>
              <w:t>Since</w:t>
            </w:r>
          </w:p>
        </w:tc>
      </w:tr>
      <w:tr w:rsidR="00F3536C" w:rsidRPr="00A4272B" w14:paraId="2D31DC33" w14:textId="77777777" w:rsidTr="00A41632">
        <w:trPr>
          <w:trHeight w:val="288"/>
          <w:jc w:val="center"/>
        </w:trPr>
        <w:tc>
          <w:tcPr>
            <w:tcW w:w="14633" w:type="dxa"/>
            <w:gridSpan w:val="14"/>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5D47F93F" w14:textId="77777777" w:rsidR="00F3536C" w:rsidRPr="00A4272B" w:rsidRDefault="00F3536C" w:rsidP="00A41632">
            <w:pPr>
              <w:rPr>
                <w:b/>
                <w:bCs/>
                <w:color w:val="000000"/>
                <w:sz w:val="14"/>
                <w:szCs w:val="14"/>
                <w:lang w:val="en-US"/>
              </w:rPr>
            </w:pPr>
            <w:r w:rsidRPr="00A4272B">
              <w:rPr>
                <w:b/>
                <w:bCs/>
                <w:color w:val="000000"/>
                <w:sz w:val="14"/>
                <w:szCs w:val="14"/>
                <w:lang w:val="en-US"/>
              </w:rPr>
              <w:t>AFRICA</w:t>
            </w:r>
          </w:p>
        </w:tc>
      </w:tr>
      <w:tr w:rsidR="00F3536C" w:rsidRPr="00A4272B" w14:paraId="4844D1BA" w14:textId="77777777" w:rsidTr="00A41632">
        <w:trPr>
          <w:trHeight w:val="288"/>
          <w:jc w:val="center"/>
        </w:trPr>
        <w:tc>
          <w:tcPr>
            <w:tcW w:w="955" w:type="dxa"/>
            <w:tcBorders>
              <w:top w:val="nil"/>
              <w:left w:val="single" w:sz="8" w:space="0" w:color="auto"/>
              <w:bottom w:val="nil"/>
              <w:right w:val="nil"/>
            </w:tcBorders>
            <w:noWrap/>
            <w:vAlign w:val="center"/>
            <w:hideMark/>
          </w:tcPr>
          <w:p w14:paraId="6CD96319" w14:textId="77777777" w:rsidR="00F3536C" w:rsidRPr="00A4272B" w:rsidRDefault="00F3536C" w:rsidP="00A41632">
            <w:pPr>
              <w:rPr>
                <w:sz w:val="14"/>
                <w:szCs w:val="14"/>
                <w:lang w:val="en-US"/>
              </w:rPr>
            </w:pPr>
            <w:r w:rsidRPr="00A4272B">
              <w:rPr>
                <w:sz w:val="14"/>
                <w:szCs w:val="14"/>
                <w:lang w:val="en-US"/>
              </w:rPr>
              <w:t>GAPS</w:t>
            </w:r>
          </w:p>
        </w:tc>
        <w:tc>
          <w:tcPr>
            <w:tcW w:w="1391" w:type="dxa"/>
            <w:noWrap/>
            <w:vAlign w:val="center"/>
            <w:hideMark/>
          </w:tcPr>
          <w:p w14:paraId="6ABB965D" w14:textId="77777777" w:rsidR="00F3536C" w:rsidRPr="00A4272B" w:rsidRDefault="00F3536C" w:rsidP="00A41632">
            <w:pPr>
              <w:rPr>
                <w:sz w:val="14"/>
                <w:szCs w:val="14"/>
                <w:lang w:val="en-US"/>
              </w:rPr>
            </w:pPr>
            <w:r w:rsidRPr="00A4272B">
              <w:rPr>
                <w:sz w:val="14"/>
                <w:szCs w:val="14"/>
                <w:lang w:val="en-US"/>
              </w:rPr>
              <w:t>Egypt</w:t>
            </w:r>
          </w:p>
        </w:tc>
        <w:tc>
          <w:tcPr>
            <w:tcW w:w="2504" w:type="dxa"/>
            <w:noWrap/>
            <w:vAlign w:val="center"/>
            <w:hideMark/>
          </w:tcPr>
          <w:p w14:paraId="3984575C" w14:textId="77777777" w:rsidR="00F3536C" w:rsidRPr="00A4272B" w:rsidRDefault="00F3536C" w:rsidP="00A41632">
            <w:pPr>
              <w:rPr>
                <w:sz w:val="14"/>
                <w:szCs w:val="14"/>
                <w:lang w:val="en-US"/>
              </w:rPr>
            </w:pPr>
            <w:r w:rsidRPr="00A4272B">
              <w:rPr>
                <w:sz w:val="14"/>
                <w:szCs w:val="14"/>
                <w:lang w:val="en-US"/>
              </w:rPr>
              <w:t>Cairo</w:t>
            </w:r>
          </w:p>
        </w:tc>
        <w:tc>
          <w:tcPr>
            <w:tcW w:w="998" w:type="dxa"/>
            <w:noWrap/>
            <w:vAlign w:val="center"/>
            <w:hideMark/>
          </w:tcPr>
          <w:p w14:paraId="25183BA4" w14:textId="77777777" w:rsidR="00F3536C" w:rsidRPr="00A4272B" w:rsidRDefault="00F3536C" w:rsidP="00A41632">
            <w:pPr>
              <w:jc w:val="center"/>
              <w:rPr>
                <w:sz w:val="14"/>
                <w:szCs w:val="14"/>
                <w:lang w:val="en-US"/>
              </w:rPr>
            </w:pPr>
            <w:r w:rsidRPr="00A4272B">
              <w:rPr>
                <w:sz w:val="14"/>
                <w:szCs w:val="14"/>
                <w:lang w:val="en-US"/>
              </w:rPr>
              <w:t>-</w:t>
            </w:r>
          </w:p>
        </w:tc>
        <w:tc>
          <w:tcPr>
            <w:tcW w:w="1342" w:type="dxa"/>
            <w:noWrap/>
            <w:vAlign w:val="center"/>
            <w:hideMark/>
          </w:tcPr>
          <w:p w14:paraId="2DB4C68A" w14:textId="77777777" w:rsidR="00F3536C" w:rsidRPr="00A4272B" w:rsidRDefault="00F3536C" w:rsidP="00A41632">
            <w:pPr>
              <w:jc w:val="center"/>
              <w:rPr>
                <w:sz w:val="14"/>
                <w:szCs w:val="14"/>
                <w:lang w:val="en-US"/>
              </w:rPr>
            </w:pPr>
            <w:r w:rsidRPr="00A4272B">
              <w:rPr>
                <w:sz w:val="14"/>
                <w:szCs w:val="14"/>
                <w:lang w:val="en-US"/>
              </w:rPr>
              <w:t>-</w:t>
            </w:r>
          </w:p>
        </w:tc>
        <w:tc>
          <w:tcPr>
            <w:tcW w:w="900" w:type="dxa"/>
            <w:noWrap/>
            <w:vAlign w:val="center"/>
            <w:hideMark/>
          </w:tcPr>
          <w:p w14:paraId="0B316C4F" w14:textId="77777777" w:rsidR="00F3536C" w:rsidRPr="00A4272B" w:rsidRDefault="00F3536C" w:rsidP="00A41632">
            <w:pPr>
              <w:jc w:val="right"/>
              <w:rPr>
                <w:sz w:val="14"/>
                <w:szCs w:val="14"/>
                <w:lang w:val="en-US"/>
              </w:rPr>
            </w:pPr>
            <w:r w:rsidRPr="00A4272B">
              <w:rPr>
                <w:sz w:val="14"/>
                <w:szCs w:val="14"/>
                <w:lang w:val="en-US"/>
              </w:rPr>
              <w:t>30.014056</w:t>
            </w:r>
          </w:p>
        </w:tc>
        <w:tc>
          <w:tcPr>
            <w:tcW w:w="998" w:type="dxa"/>
            <w:noWrap/>
            <w:vAlign w:val="center"/>
            <w:hideMark/>
          </w:tcPr>
          <w:p w14:paraId="0214D3D1" w14:textId="77777777" w:rsidR="00F3536C" w:rsidRPr="00A4272B" w:rsidRDefault="00F3536C" w:rsidP="00A41632">
            <w:pPr>
              <w:jc w:val="right"/>
              <w:rPr>
                <w:sz w:val="14"/>
                <w:szCs w:val="14"/>
                <w:lang w:val="en-US"/>
              </w:rPr>
            </w:pPr>
            <w:r w:rsidRPr="00A4272B">
              <w:rPr>
                <w:sz w:val="14"/>
                <w:szCs w:val="14"/>
                <w:lang w:val="en-US"/>
              </w:rPr>
              <w:t>31.486028</w:t>
            </w:r>
          </w:p>
        </w:tc>
        <w:tc>
          <w:tcPr>
            <w:tcW w:w="859" w:type="dxa"/>
            <w:tcBorders>
              <w:top w:val="nil"/>
              <w:left w:val="nil"/>
              <w:bottom w:val="nil"/>
              <w:right w:val="single" w:sz="8" w:space="0" w:color="auto"/>
            </w:tcBorders>
            <w:noWrap/>
            <w:vAlign w:val="center"/>
            <w:hideMark/>
          </w:tcPr>
          <w:p w14:paraId="740EA67B" w14:textId="77777777" w:rsidR="00F3536C" w:rsidRPr="00A4272B" w:rsidRDefault="00F3536C" w:rsidP="00A41632">
            <w:pPr>
              <w:jc w:val="center"/>
              <w:rPr>
                <w:sz w:val="14"/>
                <w:szCs w:val="14"/>
                <w:lang w:val="en-US"/>
              </w:rPr>
            </w:pPr>
            <w:r w:rsidRPr="00A4272B">
              <w:rPr>
                <w:sz w:val="14"/>
                <w:szCs w:val="14"/>
                <w:lang w:val="en-US"/>
              </w:rPr>
              <w:t>-</w:t>
            </w:r>
          </w:p>
        </w:tc>
        <w:tc>
          <w:tcPr>
            <w:tcW w:w="792" w:type="dxa"/>
            <w:noWrap/>
            <w:vAlign w:val="center"/>
            <w:hideMark/>
          </w:tcPr>
          <w:p w14:paraId="7115A74E"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66C05E62"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7CF1C9F6"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62DDE5F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5CB26E3"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0D9FD897"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30B7FC58" w14:textId="77777777" w:rsidTr="00A41632">
        <w:trPr>
          <w:trHeight w:val="288"/>
          <w:jc w:val="center"/>
        </w:trPr>
        <w:tc>
          <w:tcPr>
            <w:tcW w:w="955" w:type="dxa"/>
            <w:tcBorders>
              <w:top w:val="nil"/>
              <w:left w:val="single" w:sz="8" w:space="0" w:color="auto"/>
              <w:bottom w:val="nil"/>
              <w:right w:val="nil"/>
            </w:tcBorders>
            <w:noWrap/>
            <w:vAlign w:val="center"/>
            <w:hideMark/>
          </w:tcPr>
          <w:p w14:paraId="132EA13E" w14:textId="77777777" w:rsidR="00F3536C" w:rsidRPr="00A4272B" w:rsidRDefault="00F3536C" w:rsidP="00A41632">
            <w:pPr>
              <w:rPr>
                <w:sz w:val="14"/>
                <w:szCs w:val="14"/>
                <w:lang w:val="en-US"/>
              </w:rPr>
            </w:pPr>
            <w:r w:rsidRPr="00A4272B">
              <w:rPr>
                <w:sz w:val="14"/>
                <w:szCs w:val="14"/>
                <w:lang w:val="en-US"/>
              </w:rPr>
              <w:t>GAPS</w:t>
            </w:r>
          </w:p>
        </w:tc>
        <w:tc>
          <w:tcPr>
            <w:tcW w:w="1391" w:type="dxa"/>
            <w:noWrap/>
            <w:vAlign w:val="center"/>
            <w:hideMark/>
          </w:tcPr>
          <w:p w14:paraId="7EEC84BD" w14:textId="77777777" w:rsidR="00F3536C" w:rsidRPr="00A4272B" w:rsidRDefault="00F3536C" w:rsidP="00A41632">
            <w:pPr>
              <w:rPr>
                <w:sz w:val="14"/>
                <w:szCs w:val="14"/>
                <w:lang w:val="en-US"/>
              </w:rPr>
            </w:pPr>
            <w:r w:rsidRPr="00A4272B">
              <w:rPr>
                <w:sz w:val="14"/>
                <w:szCs w:val="14"/>
                <w:lang w:val="en-US"/>
              </w:rPr>
              <w:t>Kenya</w:t>
            </w:r>
          </w:p>
        </w:tc>
        <w:tc>
          <w:tcPr>
            <w:tcW w:w="2504" w:type="dxa"/>
            <w:noWrap/>
            <w:vAlign w:val="center"/>
            <w:hideMark/>
          </w:tcPr>
          <w:p w14:paraId="52AD2FDC" w14:textId="77777777" w:rsidR="00F3536C" w:rsidRPr="00A4272B" w:rsidRDefault="00F3536C" w:rsidP="00A41632">
            <w:pPr>
              <w:rPr>
                <w:sz w:val="14"/>
                <w:szCs w:val="14"/>
                <w:lang w:val="en-US"/>
              </w:rPr>
            </w:pPr>
            <w:r w:rsidRPr="00A4272B">
              <w:rPr>
                <w:sz w:val="14"/>
                <w:szCs w:val="14"/>
                <w:lang w:val="en-US"/>
              </w:rPr>
              <w:t>Mt. Kenya</w:t>
            </w:r>
          </w:p>
        </w:tc>
        <w:tc>
          <w:tcPr>
            <w:tcW w:w="998" w:type="dxa"/>
            <w:noWrap/>
            <w:vAlign w:val="center"/>
            <w:hideMark/>
          </w:tcPr>
          <w:p w14:paraId="5911E5A9" w14:textId="77777777" w:rsidR="00F3536C" w:rsidRPr="00A4272B" w:rsidRDefault="00F3536C" w:rsidP="00A41632">
            <w:pPr>
              <w:jc w:val="center"/>
              <w:rPr>
                <w:sz w:val="14"/>
                <w:szCs w:val="14"/>
                <w:lang w:val="en-US"/>
              </w:rPr>
            </w:pPr>
            <w:r w:rsidRPr="00A4272B">
              <w:rPr>
                <w:sz w:val="14"/>
                <w:szCs w:val="14"/>
                <w:lang w:val="en-US"/>
              </w:rPr>
              <w:t>AF07</w:t>
            </w:r>
          </w:p>
        </w:tc>
        <w:tc>
          <w:tcPr>
            <w:tcW w:w="1342" w:type="dxa"/>
            <w:noWrap/>
            <w:vAlign w:val="center"/>
            <w:hideMark/>
          </w:tcPr>
          <w:p w14:paraId="1EA45CF6" w14:textId="77777777" w:rsidR="00F3536C" w:rsidRPr="00A4272B" w:rsidRDefault="00F3536C" w:rsidP="00A41632">
            <w:pPr>
              <w:jc w:val="center"/>
              <w:rPr>
                <w:sz w:val="14"/>
                <w:szCs w:val="14"/>
                <w:lang w:val="en-US"/>
              </w:rPr>
            </w:pPr>
            <w:r w:rsidRPr="00A4272B">
              <w:rPr>
                <w:sz w:val="14"/>
                <w:szCs w:val="14"/>
                <w:lang w:val="en-US"/>
              </w:rPr>
              <w:t>Remote</w:t>
            </w:r>
          </w:p>
        </w:tc>
        <w:tc>
          <w:tcPr>
            <w:tcW w:w="900" w:type="dxa"/>
            <w:noWrap/>
            <w:vAlign w:val="center"/>
            <w:hideMark/>
          </w:tcPr>
          <w:p w14:paraId="228F17AB" w14:textId="77777777" w:rsidR="00F3536C" w:rsidRPr="00A4272B" w:rsidRDefault="00F3536C" w:rsidP="00A41632">
            <w:pPr>
              <w:jc w:val="right"/>
              <w:rPr>
                <w:sz w:val="14"/>
                <w:szCs w:val="14"/>
                <w:lang w:val="en-US"/>
              </w:rPr>
            </w:pPr>
            <w:r w:rsidRPr="00A4272B">
              <w:rPr>
                <w:sz w:val="14"/>
                <w:szCs w:val="14"/>
                <w:lang w:val="en-US"/>
              </w:rPr>
              <w:t>-0.062200</w:t>
            </w:r>
          </w:p>
        </w:tc>
        <w:tc>
          <w:tcPr>
            <w:tcW w:w="998" w:type="dxa"/>
            <w:noWrap/>
            <w:vAlign w:val="center"/>
            <w:hideMark/>
          </w:tcPr>
          <w:p w14:paraId="668BCDD7" w14:textId="77777777" w:rsidR="00F3536C" w:rsidRPr="00A4272B" w:rsidRDefault="00F3536C" w:rsidP="00A41632">
            <w:pPr>
              <w:jc w:val="right"/>
              <w:rPr>
                <w:sz w:val="14"/>
                <w:szCs w:val="14"/>
                <w:lang w:val="en-US"/>
              </w:rPr>
            </w:pPr>
            <w:r w:rsidRPr="00A4272B">
              <w:rPr>
                <w:sz w:val="14"/>
                <w:szCs w:val="14"/>
                <w:lang w:val="en-US"/>
              </w:rPr>
              <w:t>37.297199</w:t>
            </w:r>
          </w:p>
        </w:tc>
        <w:tc>
          <w:tcPr>
            <w:tcW w:w="859" w:type="dxa"/>
            <w:tcBorders>
              <w:top w:val="nil"/>
              <w:left w:val="nil"/>
              <w:bottom w:val="nil"/>
              <w:right w:val="single" w:sz="8" w:space="0" w:color="auto"/>
            </w:tcBorders>
            <w:noWrap/>
            <w:vAlign w:val="center"/>
            <w:hideMark/>
          </w:tcPr>
          <w:p w14:paraId="1C649F54" w14:textId="77777777" w:rsidR="00F3536C" w:rsidRPr="00A4272B" w:rsidRDefault="00F3536C" w:rsidP="00A41632">
            <w:pPr>
              <w:jc w:val="center"/>
              <w:rPr>
                <w:sz w:val="14"/>
                <w:szCs w:val="14"/>
                <w:lang w:val="en-US"/>
              </w:rPr>
            </w:pPr>
            <w:r w:rsidRPr="00A4272B">
              <w:rPr>
                <w:sz w:val="14"/>
                <w:szCs w:val="14"/>
                <w:lang w:val="en-US"/>
              </w:rPr>
              <w:t>3678</w:t>
            </w:r>
          </w:p>
        </w:tc>
        <w:tc>
          <w:tcPr>
            <w:tcW w:w="792" w:type="dxa"/>
            <w:noWrap/>
            <w:vAlign w:val="center"/>
            <w:hideMark/>
          </w:tcPr>
          <w:p w14:paraId="5B411468"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6AB8D124"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4F3C397B"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5475F0A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B9D6598"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704F63E3"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7FC6AC29" w14:textId="77777777" w:rsidTr="00A41632">
        <w:trPr>
          <w:trHeight w:val="288"/>
          <w:jc w:val="center"/>
        </w:trPr>
        <w:tc>
          <w:tcPr>
            <w:tcW w:w="955" w:type="dxa"/>
            <w:tcBorders>
              <w:top w:val="nil"/>
              <w:left w:val="single" w:sz="8" w:space="0" w:color="auto"/>
              <w:bottom w:val="nil"/>
              <w:right w:val="nil"/>
            </w:tcBorders>
            <w:noWrap/>
            <w:vAlign w:val="center"/>
            <w:hideMark/>
          </w:tcPr>
          <w:p w14:paraId="1D587FA2" w14:textId="77777777" w:rsidR="00F3536C" w:rsidRPr="00A4272B" w:rsidRDefault="00F3536C" w:rsidP="00A41632">
            <w:pPr>
              <w:rPr>
                <w:sz w:val="14"/>
                <w:szCs w:val="14"/>
                <w:lang w:val="en-US"/>
              </w:rPr>
            </w:pPr>
            <w:r w:rsidRPr="00A4272B">
              <w:rPr>
                <w:sz w:val="14"/>
                <w:szCs w:val="14"/>
                <w:lang w:val="en-US"/>
              </w:rPr>
              <w:t>GAPS</w:t>
            </w:r>
          </w:p>
        </w:tc>
        <w:tc>
          <w:tcPr>
            <w:tcW w:w="1391" w:type="dxa"/>
            <w:noWrap/>
            <w:vAlign w:val="center"/>
            <w:hideMark/>
          </w:tcPr>
          <w:p w14:paraId="67251E26" w14:textId="77777777" w:rsidR="00F3536C" w:rsidRPr="00A4272B" w:rsidRDefault="00F3536C" w:rsidP="00A41632">
            <w:pPr>
              <w:rPr>
                <w:sz w:val="14"/>
                <w:szCs w:val="14"/>
                <w:lang w:val="en-US"/>
              </w:rPr>
            </w:pPr>
            <w:r w:rsidRPr="00A4272B">
              <w:rPr>
                <w:sz w:val="14"/>
                <w:szCs w:val="14"/>
                <w:lang w:val="en-US"/>
              </w:rPr>
              <w:t>Kenya</w:t>
            </w:r>
          </w:p>
        </w:tc>
        <w:tc>
          <w:tcPr>
            <w:tcW w:w="2504" w:type="dxa"/>
            <w:noWrap/>
            <w:vAlign w:val="center"/>
            <w:hideMark/>
          </w:tcPr>
          <w:p w14:paraId="16028FC5" w14:textId="77777777" w:rsidR="00F3536C" w:rsidRPr="00A4272B" w:rsidRDefault="00F3536C" w:rsidP="00A41632">
            <w:pPr>
              <w:rPr>
                <w:sz w:val="14"/>
                <w:szCs w:val="14"/>
                <w:lang w:val="en-US"/>
              </w:rPr>
            </w:pPr>
            <w:r w:rsidRPr="00A4272B">
              <w:rPr>
                <w:sz w:val="14"/>
                <w:szCs w:val="14"/>
                <w:lang w:val="en-US"/>
              </w:rPr>
              <w:t>Nairobi</w:t>
            </w:r>
          </w:p>
        </w:tc>
        <w:tc>
          <w:tcPr>
            <w:tcW w:w="998" w:type="dxa"/>
            <w:noWrap/>
            <w:vAlign w:val="center"/>
            <w:hideMark/>
          </w:tcPr>
          <w:p w14:paraId="7B52249F" w14:textId="77777777" w:rsidR="00F3536C" w:rsidRPr="00A4272B" w:rsidRDefault="00F3536C" w:rsidP="00A41632">
            <w:pPr>
              <w:jc w:val="center"/>
              <w:rPr>
                <w:sz w:val="14"/>
                <w:szCs w:val="14"/>
                <w:lang w:val="en-US"/>
              </w:rPr>
            </w:pPr>
            <w:r w:rsidRPr="00A4272B">
              <w:rPr>
                <w:sz w:val="14"/>
                <w:szCs w:val="14"/>
                <w:lang w:val="en-US"/>
              </w:rPr>
              <w:t>-</w:t>
            </w:r>
          </w:p>
        </w:tc>
        <w:tc>
          <w:tcPr>
            <w:tcW w:w="1342" w:type="dxa"/>
            <w:noWrap/>
            <w:vAlign w:val="center"/>
            <w:hideMark/>
          </w:tcPr>
          <w:p w14:paraId="1953E079" w14:textId="77777777" w:rsidR="00F3536C" w:rsidRPr="00A4272B" w:rsidRDefault="00F3536C" w:rsidP="00A41632">
            <w:pPr>
              <w:jc w:val="center"/>
              <w:rPr>
                <w:sz w:val="14"/>
                <w:szCs w:val="14"/>
                <w:lang w:val="en-US"/>
              </w:rPr>
            </w:pPr>
            <w:r w:rsidRPr="00A4272B">
              <w:rPr>
                <w:sz w:val="14"/>
                <w:szCs w:val="14"/>
                <w:lang w:val="en-US"/>
              </w:rPr>
              <w:t>-</w:t>
            </w:r>
          </w:p>
        </w:tc>
        <w:tc>
          <w:tcPr>
            <w:tcW w:w="900" w:type="dxa"/>
            <w:noWrap/>
            <w:vAlign w:val="center"/>
            <w:hideMark/>
          </w:tcPr>
          <w:p w14:paraId="41D74D69" w14:textId="77777777" w:rsidR="00F3536C" w:rsidRPr="00A4272B" w:rsidRDefault="00F3536C" w:rsidP="00A41632">
            <w:pPr>
              <w:jc w:val="right"/>
              <w:rPr>
                <w:sz w:val="14"/>
                <w:szCs w:val="14"/>
                <w:lang w:val="en-US"/>
              </w:rPr>
            </w:pPr>
            <w:r w:rsidRPr="00A4272B">
              <w:rPr>
                <w:sz w:val="14"/>
                <w:szCs w:val="14"/>
                <w:lang w:val="en-US"/>
              </w:rPr>
              <w:t>-1.292066</w:t>
            </w:r>
          </w:p>
        </w:tc>
        <w:tc>
          <w:tcPr>
            <w:tcW w:w="998" w:type="dxa"/>
            <w:noWrap/>
            <w:vAlign w:val="center"/>
            <w:hideMark/>
          </w:tcPr>
          <w:p w14:paraId="7BC18B9C" w14:textId="77777777" w:rsidR="00F3536C" w:rsidRPr="00A4272B" w:rsidRDefault="00F3536C" w:rsidP="00A41632">
            <w:pPr>
              <w:jc w:val="right"/>
              <w:rPr>
                <w:sz w:val="14"/>
                <w:szCs w:val="14"/>
                <w:lang w:val="en-US"/>
              </w:rPr>
            </w:pPr>
            <w:r w:rsidRPr="00A4272B">
              <w:rPr>
                <w:sz w:val="14"/>
                <w:szCs w:val="14"/>
                <w:lang w:val="en-US"/>
              </w:rPr>
              <w:t>36.821946</w:t>
            </w:r>
          </w:p>
        </w:tc>
        <w:tc>
          <w:tcPr>
            <w:tcW w:w="859" w:type="dxa"/>
            <w:tcBorders>
              <w:top w:val="nil"/>
              <w:left w:val="nil"/>
              <w:bottom w:val="nil"/>
              <w:right w:val="single" w:sz="8" w:space="0" w:color="auto"/>
            </w:tcBorders>
            <w:noWrap/>
            <w:vAlign w:val="center"/>
            <w:hideMark/>
          </w:tcPr>
          <w:p w14:paraId="4B15D10A" w14:textId="77777777" w:rsidR="00F3536C" w:rsidRPr="00A4272B" w:rsidRDefault="00F3536C" w:rsidP="00A41632">
            <w:pPr>
              <w:jc w:val="center"/>
              <w:rPr>
                <w:sz w:val="14"/>
                <w:szCs w:val="14"/>
                <w:lang w:val="en-US"/>
              </w:rPr>
            </w:pPr>
            <w:r w:rsidRPr="00A4272B">
              <w:rPr>
                <w:sz w:val="14"/>
                <w:szCs w:val="14"/>
                <w:lang w:val="en-US"/>
              </w:rPr>
              <w:t>-</w:t>
            </w:r>
          </w:p>
        </w:tc>
        <w:tc>
          <w:tcPr>
            <w:tcW w:w="792" w:type="dxa"/>
            <w:noWrap/>
            <w:vAlign w:val="center"/>
            <w:hideMark/>
          </w:tcPr>
          <w:p w14:paraId="1F013FBB"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0DF6AD46"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4B61FCB8"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0928F1B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2CDCF47"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2C958972"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5A12EF48" w14:textId="77777777" w:rsidTr="00A41632">
        <w:trPr>
          <w:trHeight w:val="288"/>
          <w:jc w:val="center"/>
        </w:trPr>
        <w:tc>
          <w:tcPr>
            <w:tcW w:w="955" w:type="dxa"/>
            <w:tcBorders>
              <w:top w:val="nil"/>
              <w:left w:val="single" w:sz="8" w:space="0" w:color="auto"/>
              <w:bottom w:val="nil"/>
              <w:right w:val="nil"/>
            </w:tcBorders>
            <w:noWrap/>
            <w:vAlign w:val="center"/>
            <w:hideMark/>
          </w:tcPr>
          <w:p w14:paraId="03C79842" w14:textId="77777777" w:rsidR="00F3536C" w:rsidRPr="00A4272B" w:rsidRDefault="00F3536C" w:rsidP="00A41632">
            <w:pPr>
              <w:rPr>
                <w:sz w:val="14"/>
                <w:szCs w:val="14"/>
                <w:lang w:val="en-US"/>
              </w:rPr>
            </w:pPr>
            <w:r w:rsidRPr="00A4272B">
              <w:rPr>
                <w:sz w:val="14"/>
                <w:szCs w:val="14"/>
                <w:lang w:val="en-US"/>
              </w:rPr>
              <w:t>GAPS</w:t>
            </w:r>
          </w:p>
        </w:tc>
        <w:tc>
          <w:tcPr>
            <w:tcW w:w="1391" w:type="dxa"/>
            <w:noWrap/>
            <w:vAlign w:val="center"/>
            <w:hideMark/>
          </w:tcPr>
          <w:p w14:paraId="1B28DD18" w14:textId="77777777" w:rsidR="00F3536C" w:rsidRPr="00A4272B" w:rsidRDefault="00F3536C" w:rsidP="00A41632">
            <w:pPr>
              <w:rPr>
                <w:sz w:val="14"/>
                <w:szCs w:val="14"/>
                <w:lang w:val="en-US"/>
              </w:rPr>
            </w:pPr>
            <w:r w:rsidRPr="00A4272B">
              <w:rPr>
                <w:sz w:val="14"/>
                <w:szCs w:val="14"/>
                <w:lang w:val="en-US"/>
              </w:rPr>
              <w:t>Nigeria</w:t>
            </w:r>
          </w:p>
        </w:tc>
        <w:tc>
          <w:tcPr>
            <w:tcW w:w="2504" w:type="dxa"/>
            <w:noWrap/>
            <w:vAlign w:val="center"/>
            <w:hideMark/>
          </w:tcPr>
          <w:p w14:paraId="09B68F47" w14:textId="77777777" w:rsidR="00F3536C" w:rsidRPr="00A4272B" w:rsidRDefault="00F3536C" w:rsidP="00A41632">
            <w:pPr>
              <w:rPr>
                <w:sz w:val="14"/>
                <w:szCs w:val="14"/>
                <w:lang w:val="en-US"/>
              </w:rPr>
            </w:pPr>
            <w:r w:rsidRPr="00A4272B">
              <w:rPr>
                <w:sz w:val="14"/>
                <w:szCs w:val="14"/>
                <w:lang w:val="en-US"/>
              </w:rPr>
              <w:t>Lagos</w:t>
            </w:r>
          </w:p>
        </w:tc>
        <w:tc>
          <w:tcPr>
            <w:tcW w:w="998" w:type="dxa"/>
            <w:noWrap/>
            <w:vAlign w:val="center"/>
            <w:hideMark/>
          </w:tcPr>
          <w:p w14:paraId="3BA35B0E" w14:textId="77777777" w:rsidR="00F3536C" w:rsidRPr="00A4272B" w:rsidRDefault="00F3536C" w:rsidP="00A41632">
            <w:pPr>
              <w:jc w:val="center"/>
              <w:rPr>
                <w:sz w:val="14"/>
                <w:szCs w:val="14"/>
                <w:lang w:val="en-US"/>
              </w:rPr>
            </w:pPr>
            <w:r w:rsidRPr="00A4272B">
              <w:rPr>
                <w:sz w:val="14"/>
                <w:szCs w:val="14"/>
                <w:lang w:val="en-US"/>
              </w:rPr>
              <w:t>-</w:t>
            </w:r>
          </w:p>
        </w:tc>
        <w:tc>
          <w:tcPr>
            <w:tcW w:w="1342" w:type="dxa"/>
            <w:noWrap/>
            <w:vAlign w:val="center"/>
            <w:hideMark/>
          </w:tcPr>
          <w:p w14:paraId="04E8EDC6" w14:textId="77777777" w:rsidR="00F3536C" w:rsidRPr="00A4272B" w:rsidRDefault="00F3536C" w:rsidP="00A41632">
            <w:pPr>
              <w:jc w:val="center"/>
              <w:rPr>
                <w:sz w:val="14"/>
                <w:szCs w:val="14"/>
                <w:lang w:val="en-US"/>
              </w:rPr>
            </w:pPr>
            <w:r w:rsidRPr="00A4272B">
              <w:rPr>
                <w:sz w:val="14"/>
                <w:szCs w:val="14"/>
                <w:lang w:val="en-US"/>
              </w:rPr>
              <w:t>-</w:t>
            </w:r>
          </w:p>
        </w:tc>
        <w:tc>
          <w:tcPr>
            <w:tcW w:w="900" w:type="dxa"/>
            <w:noWrap/>
            <w:vAlign w:val="center"/>
            <w:hideMark/>
          </w:tcPr>
          <w:p w14:paraId="76F6758E" w14:textId="77777777" w:rsidR="00F3536C" w:rsidRPr="00A4272B" w:rsidRDefault="00F3536C" w:rsidP="00A41632">
            <w:pPr>
              <w:jc w:val="right"/>
              <w:rPr>
                <w:sz w:val="14"/>
                <w:szCs w:val="14"/>
                <w:lang w:val="en-US"/>
              </w:rPr>
            </w:pPr>
            <w:r w:rsidRPr="00A4272B">
              <w:rPr>
                <w:sz w:val="14"/>
                <w:szCs w:val="14"/>
                <w:lang w:val="en-US"/>
              </w:rPr>
              <w:t>6.524379</w:t>
            </w:r>
          </w:p>
        </w:tc>
        <w:tc>
          <w:tcPr>
            <w:tcW w:w="998" w:type="dxa"/>
            <w:noWrap/>
            <w:vAlign w:val="center"/>
            <w:hideMark/>
          </w:tcPr>
          <w:p w14:paraId="6808C45E" w14:textId="77777777" w:rsidR="00F3536C" w:rsidRPr="00A4272B" w:rsidRDefault="00F3536C" w:rsidP="00A41632">
            <w:pPr>
              <w:jc w:val="right"/>
              <w:rPr>
                <w:sz w:val="14"/>
                <w:szCs w:val="14"/>
                <w:lang w:val="en-US"/>
              </w:rPr>
            </w:pPr>
            <w:r w:rsidRPr="00A4272B">
              <w:rPr>
                <w:sz w:val="14"/>
                <w:szCs w:val="14"/>
                <w:lang w:val="en-US"/>
              </w:rPr>
              <w:t>3.379206</w:t>
            </w:r>
          </w:p>
        </w:tc>
        <w:tc>
          <w:tcPr>
            <w:tcW w:w="859" w:type="dxa"/>
            <w:tcBorders>
              <w:top w:val="nil"/>
              <w:left w:val="nil"/>
              <w:bottom w:val="nil"/>
              <w:right w:val="single" w:sz="8" w:space="0" w:color="auto"/>
            </w:tcBorders>
            <w:noWrap/>
            <w:vAlign w:val="center"/>
            <w:hideMark/>
          </w:tcPr>
          <w:p w14:paraId="336226B0" w14:textId="77777777" w:rsidR="00F3536C" w:rsidRPr="00A4272B" w:rsidRDefault="00F3536C" w:rsidP="00A41632">
            <w:pPr>
              <w:jc w:val="center"/>
              <w:rPr>
                <w:sz w:val="14"/>
                <w:szCs w:val="14"/>
                <w:lang w:val="en-US"/>
              </w:rPr>
            </w:pPr>
            <w:r w:rsidRPr="00A4272B">
              <w:rPr>
                <w:sz w:val="14"/>
                <w:szCs w:val="14"/>
                <w:lang w:val="en-US"/>
              </w:rPr>
              <w:t>-</w:t>
            </w:r>
          </w:p>
        </w:tc>
        <w:tc>
          <w:tcPr>
            <w:tcW w:w="792" w:type="dxa"/>
            <w:noWrap/>
            <w:vAlign w:val="center"/>
            <w:hideMark/>
          </w:tcPr>
          <w:p w14:paraId="5772EDED"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6F1E7B94"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7F77DED6"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34ACC48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2FC7AEF"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0B050163"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6F55A9CC" w14:textId="77777777" w:rsidTr="00A41632">
        <w:trPr>
          <w:trHeight w:val="288"/>
          <w:jc w:val="center"/>
        </w:trPr>
        <w:tc>
          <w:tcPr>
            <w:tcW w:w="955" w:type="dxa"/>
            <w:tcBorders>
              <w:top w:val="nil"/>
              <w:left w:val="single" w:sz="8" w:space="0" w:color="auto"/>
              <w:bottom w:val="nil"/>
              <w:right w:val="nil"/>
            </w:tcBorders>
            <w:noWrap/>
            <w:vAlign w:val="center"/>
            <w:hideMark/>
          </w:tcPr>
          <w:p w14:paraId="23727F77" w14:textId="77777777" w:rsidR="00F3536C" w:rsidRPr="00A4272B" w:rsidRDefault="00F3536C" w:rsidP="00A41632">
            <w:pPr>
              <w:rPr>
                <w:sz w:val="14"/>
                <w:szCs w:val="14"/>
                <w:lang w:val="en-US"/>
              </w:rPr>
            </w:pPr>
            <w:r w:rsidRPr="00A4272B">
              <w:rPr>
                <w:sz w:val="14"/>
                <w:szCs w:val="14"/>
                <w:lang w:val="en-US"/>
              </w:rPr>
              <w:t>GAPS</w:t>
            </w:r>
          </w:p>
        </w:tc>
        <w:tc>
          <w:tcPr>
            <w:tcW w:w="1391" w:type="dxa"/>
            <w:noWrap/>
            <w:vAlign w:val="center"/>
            <w:hideMark/>
          </w:tcPr>
          <w:p w14:paraId="7A90B7B1" w14:textId="77777777" w:rsidR="00F3536C" w:rsidRPr="00A4272B" w:rsidRDefault="00F3536C" w:rsidP="00A41632">
            <w:pPr>
              <w:rPr>
                <w:sz w:val="14"/>
                <w:szCs w:val="14"/>
                <w:lang w:val="en-US"/>
              </w:rPr>
            </w:pPr>
            <w:r w:rsidRPr="00A4272B">
              <w:rPr>
                <w:sz w:val="14"/>
                <w:szCs w:val="14"/>
                <w:lang w:val="en-US"/>
              </w:rPr>
              <w:t>Nigeria</w:t>
            </w:r>
          </w:p>
        </w:tc>
        <w:tc>
          <w:tcPr>
            <w:tcW w:w="2504" w:type="dxa"/>
            <w:noWrap/>
            <w:vAlign w:val="center"/>
            <w:hideMark/>
          </w:tcPr>
          <w:p w14:paraId="1CE3FBBC" w14:textId="77777777" w:rsidR="00F3536C" w:rsidRPr="00A4272B" w:rsidRDefault="00F3536C" w:rsidP="00A41632">
            <w:pPr>
              <w:rPr>
                <w:sz w:val="14"/>
                <w:szCs w:val="14"/>
                <w:lang w:val="en-US"/>
              </w:rPr>
            </w:pPr>
            <w:r w:rsidRPr="00A4272B">
              <w:rPr>
                <w:sz w:val="14"/>
                <w:szCs w:val="14"/>
                <w:lang w:val="en-US"/>
              </w:rPr>
              <w:t>Yaba, Lagos</w:t>
            </w:r>
          </w:p>
        </w:tc>
        <w:tc>
          <w:tcPr>
            <w:tcW w:w="998" w:type="dxa"/>
            <w:noWrap/>
            <w:vAlign w:val="center"/>
            <w:hideMark/>
          </w:tcPr>
          <w:p w14:paraId="713D2DA4" w14:textId="77777777" w:rsidR="00F3536C" w:rsidRPr="00A4272B" w:rsidRDefault="00F3536C" w:rsidP="00A41632">
            <w:pPr>
              <w:jc w:val="center"/>
              <w:rPr>
                <w:sz w:val="14"/>
                <w:szCs w:val="14"/>
                <w:lang w:val="en-US"/>
              </w:rPr>
            </w:pPr>
            <w:r w:rsidRPr="00A4272B">
              <w:rPr>
                <w:sz w:val="14"/>
                <w:szCs w:val="14"/>
                <w:lang w:val="en-US"/>
              </w:rPr>
              <w:t>AF10</w:t>
            </w:r>
          </w:p>
        </w:tc>
        <w:tc>
          <w:tcPr>
            <w:tcW w:w="1342" w:type="dxa"/>
            <w:noWrap/>
            <w:vAlign w:val="center"/>
            <w:hideMark/>
          </w:tcPr>
          <w:p w14:paraId="530CDE52" w14:textId="77777777" w:rsidR="00F3536C" w:rsidRPr="00A4272B" w:rsidRDefault="00F3536C" w:rsidP="00A41632">
            <w:pPr>
              <w:jc w:val="center"/>
              <w:rPr>
                <w:sz w:val="14"/>
                <w:szCs w:val="14"/>
                <w:lang w:val="en-US"/>
              </w:rPr>
            </w:pPr>
            <w:r w:rsidRPr="00A4272B">
              <w:rPr>
                <w:sz w:val="14"/>
                <w:szCs w:val="14"/>
                <w:lang w:val="en-US"/>
              </w:rPr>
              <w:t>-</w:t>
            </w:r>
          </w:p>
        </w:tc>
        <w:tc>
          <w:tcPr>
            <w:tcW w:w="900" w:type="dxa"/>
            <w:noWrap/>
            <w:vAlign w:val="center"/>
            <w:hideMark/>
          </w:tcPr>
          <w:p w14:paraId="2FB9BF70" w14:textId="77777777" w:rsidR="00F3536C" w:rsidRPr="00A4272B" w:rsidRDefault="00F3536C" w:rsidP="00A41632">
            <w:pPr>
              <w:jc w:val="right"/>
              <w:rPr>
                <w:sz w:val="14"/>
                <w:szCs w:val="14"/>
                <w:lang w:val="en-US"/>
              </w:rPr>
            </w:pPr>
            <w:r w:rsidRPr="00A4272B">
              <w:rPr>
                <w:sz w:val="14"/>
                <w:szCs w:val="14"/>
                <w:lang w:val="en-US"/>
              </w:rPr>
              <w:t>6.500501</w:t>
            </w:r>
          </w:p>
        </w:tc>
        <w:tc>
          <w:tcPr>
            <w:tcW w:w="998" w:type="dxa"/>
            <w:noWrap/>
            <w:vAlign w:val="center"/>
            <w:hideMark/>
          </w:tcPr>
          <w:p w14:paraId="03F208C1" w14:textId="77777777" w:rsidR="00F3536C" w:rsidRPr="00A4272B" w:rsidRDefault="00F3536C" w:rsidP="00A41632">
            <w:pPr>
              <w:jc w:val="right"/>
              <w:rPr>
                <w:sz w:val="14"/>
                <w:szCs w:val="14"/>
                <w:lang w:val="en-US"/>
              </w:rPr>
            </w:pPr>
            <w:r w:rsidRPr="00A4272B">
              <w:rPr>
                <w:sz w:val="14"/>
                <w:szCs w:val="14"/>
                <w:lang w:val="en-US"/>
              </w:rPr>
              <w:t>3.366604</w:t>
            </w:r>
          </w:p>
        </w:tc>
        <w:tc>
          <w:tcPr>
            <w:tcW w:w="859" w:type="dxa"/>
            <w:tcBorders>
              <w:top w:val="nil"/>
              <w:left w:val="nil"/>
              <w:bottom w:val="nil"/>
              <w:right w:val="single" w:sz="8" w:space="0" w:color="auto"/>
            </w:tcBorders>
            <w:noWrap/>
            <w:vAlign w:val="center"/>
            <w:hideMark/>
          </w:tcPr>
          <w:p w14:paraId="77467827" w14:textId="77777777" w:rsidR="00F3536C" w:rsidRPr="00A4272B" w:rsidRDefault="00F3536C" w:rsidP="00A41632">
            <w:pPr>
              <w:jc w:val="center"/>
              <w:rPr>
                <w:sz w:val="14"/>
                <w:szCs w:val="14"/>
                <w:lang w:val="en-US"/>
              </w:rPr>
            </w:pPr>
            <w:r w:rsidRPr="00A4272B">
              <w:rPr>
                <w:sz w:val="14"/>
                <w:szCs w:val="14"/>
                <w:lang w:val="en-US"/>
              </w:rPr>
              <w:t>8</w:t>
            </w:r>
          </w:p>
        </w:tc>
        <w:tc>
          <w:tcPr>
            <w:tcW w:w="792" w:type="dxa"/>
            <w:noWrap/>
            <w:vAlign w:val="center"/>
            <w:hideMark/>
          </w:tcPr>
          <w:p w14:paraId="657C582B"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6E4F47F4"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72884FC7"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7269741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29848E3"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373109E7" w14:textId="77777777" w:rsidR="00F3536C" w:rsidRPr="00A4272B" w:rsidRDefault="00F3536C" w:rsidP="00A41632">
            <w:pPr>
              <w:jc w:val="center"/>
              <w:rPr>
                <w:sz w:val="14"/>
                <w:szCs w:val="14"/>
                <w:lang w:val="en-US"/>
              </w:rPr>
            </w:pPr>
            <w:r w:rsidRPr="00A4272B">
              <w:rPr>
                <w:sz w:val="14"/>
                <w:szCs w:val="14"/>
                <w:lang w:val="en-US"/>
              </w:rPr>
              <w:t>2016</w:t>
            </w:r>
          </w:p>
        </w:tc>
      </w:tr>
      <w:tr w:rsidR="00F3536C" w:rsidRPr="00A4272B" w14:paraId="7CED2BB4" w14:textId="77777777" w:rsidTr="00A41632">
        <w:trPr>
          <w:trHeight w:val="288"/>
          <w:jc w:val="center"/>
        </w:trPr>
        <w:tc>
          <w:tcPr>
            <w:tcW w:w="955" w:type="dxa"/>
            <w:tcBorders>
              <w:top w:val="nil"/>
              <w:left w:val="single" w:sz="8" w:space="0" w:color="auto"/>
              <w:bottom w:val="nil"/>
              <w:right w:val="nil"/>
            </w:tcBorders>
            <w:noWrap/>
            <w:vAlign w:val="center"/>
            <w:hideMark/>
          </w:tcPr>
          <w:p w14:paraId="445FF0DE" w14:textId="77777777" w:rsidR="00F3536C" w:rsidRPr="00A4272B" w:rsidRDefault="00F3536C" w:rsidP="00A41632">
            <w:pPr>
              <w:rPr>
                <w:sz w:val="14"/>
                <w:szCs w:val="14"/>
                <w:lang w:val="en-US"/>
              </w:rPr>
            </w:pPr>
            <w:r w:rsidRPr="00A4272B">
              <w:rPr>
                <w:sz w:val="14"/>
                <w:szCs w:val="14"/>
                <w:lang w:val="en-US"/>
              </w:rPr>
              <w:t>GAPS</w:t>
            </w:r>
          </w:p>
        </w:tc>
        <w:tc>
          <w:tcPr>
            <w:tcW w:w="1391" w:type="dxa"/>
            <w:noWrap/>
            <w:vAlign w:val="center"/>
            <w:hideMark/>
          </w:tcPr>
          <w:p w14:paraId="2FA854EF" w14:textId="77777777" w:rsidR="00F3536C" w:rsidRPr="00A4272B" w:rsidRDefault="00F3536C" w:rsidP="00A41632">
            <w:pPr>
              <w:rPr>
                <w:sz w:val="14"/>
                <w:szCs w:val="14"/>
                <w:lang w:val="en-US"/>
              </w:rPr>
            </w:pPr>
            <w:r w:rsidRPr="00A4272B">
              <w:rPr>
                <w:sz w:val="14"/>
                <w:szCs w:val="14"/>
                <w:lang w:val="en-US"/>
              </w:rPr>
              <w:t>South Africa</w:t>
            </w:r>
          </w:p>
        </w:tc>
        <w:tc>
          <w:tcPr>
            <w:tcW w:w="2504" w:type="dxa"/>
            <w:noWrap/>
            <w:vAlign w:val="center"/>
            <w:hideMark/>
          </w:tcPr>
          <w:p w14:paraId="67CF17F5" w14:textId="77777777" w:rsidR="00F3536C" w:rsidRPr="00A4272B" w:rsidRDefault="00F3536C" w:rsidP="00A41632">
            <w:pPr>
              <w:rPr>
                <w:sz w:val="14"/>
                <w:szCs w:val="14"/>
                <w:lang w:val="en-US"/>
              </w:rPr>
            </w:pPr>
            <w:r w:rsidRPr="00A4272B">
              <w:rPr>
                <w:sz w:val="14"/>
                <w:szCs w:val="14"/>
                <w:lang w:val="en-US"/>
              </w:rPr>
              <w:t>Cape Point</w:t>
            </w:r>
          </w:p>
        </w:tc>
        <w:tc>
          <w:tcPr>
            <w:tcW w:w="998" w:type="dxa"/>
            <w:noWrap/>
            <w:vAlign w:val="center"/>
            <w:hideMark/>
          </w:tcPr>
          <w:p w14:paraId="0ED7089E" w14:textId="77777777" w:rsidR="00F3536C" w:rsidRPr="00A4272B" w:rsidRDefault="00F3536C" w:rsidP="00A41632">
            <w:pPr>
              <w:jc w:val="center"/>
              <w:rPr>
                <w:sz w:val="14"/>
                <w:szCs w:val="14"/>
                <w:lang w:val="en-US"/>
              </w:rPr>
            </w:pPr>
            <w:r w:rsidRPr="00A4272B">
              <w:rPr>
                <w:sz w:val="14"/>
                <w:szCs w:val="14"/>
                <w:lang w:val="en-US"/>
              </w:rPr>
              <w:t>AF12</w:t>
            </w:r>
          </w:p>
        </w:tc>
        <w:tc>
          <w:tcPr>
            <w:tcW w:w="1342" w:type="dxa"/>
            <w:noWrap/>
            <w:vAlign w:val="center"/>
            <w:hideMark/>
          </w:tcPr>
          <w:p w14:paraId="6A725D7A" w14:textId="77777777" w:rsidR="00F3536C" w:rsidRPr="00A4272B" w:rsidRDefault="00F3536C" w:rsidP="00A41632">
            <w:pPr>
              <w:jc w:val="center"/>
              <w:rPr>
                <w:sz w:val="14"/>
                <w:szCs w:val="14"/>
                <w:lang w:val="en-US"/>
              </w:rPr>
            </w:pPr>
            <w:r w:rsidRPr="00A4272B">
              <w:rPr>
                <w:sz w:val="14"/>
                <w:szCs w:val="14"/>
                <w:lang w:val="en-US"/>
              </w:rPr>
              <w:t>-</w:t>
            </w:r>
          </w:p>
        </w:tc>
        <w:tc>
          <w:tcPr>
            <w:tcW w:w="900" w:type="dxa"/>
            <w:noWrap/>
            <w:vAlign w:val="center"/>
            <w:hideMark/>
          </w:tcPr>
          <w:p w14:paraId="4079077C" w14:textId="77777777" w:rsidR="00F3536C" w:rsidRPr="00A4272B" w:rsidRDefault="00F3536C" w:rsidP="00A41632">
            <w:pPr>
              <w:jc w:val="right"/>
              <w:rPr>
                <w:sz w:val="14"/>
                <w:szCs w:val="14"/>
                <w:lang w:val="en-US"/>
              </w:rPr>
            </w:pPr>
            <w:r w:rsidRPr="00A4272B">
              <w:rPr>
                <w:sz w:val="14"/>
                <w:szCs w:val="14"/>
                <w:lang w:val="en-US"/>
              </w:rPr>
              <w:t>-34.350000</w:t>
            </w:r>
          </w:p>
        </w:tc>
        <w:tc>
          <w:tcPr>
            <w:tcW w:w="998" w:type="dxa"/>
            <w:noWrap/>
            <w:vAlign w:val="center"/>
            <w:hideMark/>
          </w:tcPr>
          <w:p w14:paraId="7E20E4AD" w14:textId="77777777" w:rsidR="00F3536C" w:rsidRPr="00A4272B" w:rsidRDefault="00F3536C" w:rsidP="00A41632">
            <w:pPr>
              <w:jc w:val="right"/>
              <w:rPr>
                <w:sz w:val="14"/>
                <w:szCs w:val="14"/>
                <w:lang w:val="en-US"/>
              </w:rPr>
            </w:pPr>
            <w:r w:rsidRPr="00A4272B">
              <w:rPr>
                <w:sz w:val="14"/>
                <w:szCs w:val="14"/>
                <w:lang w:val="en-US"/>
              </w:rPr>
              <w:t>18.483000</w:t>
            </w:r>
          </w:p>
        </w:tc>
        <w:tc>
          <w:tcPr>
            <w:tcW w:w="859" w:type="dxa"/>
            <w:tcBorders>
              <w:top w:val="nil"/>
              <w:left w:val="nil"/>
              <w:bottom w:val="nil"/>
              <w:right w:val="single" w:sz="8" w:space="0" w:color="auto"/>
            </w:tcBorders>
            <w:noWrap/>
            <w:vAlign w:val="center"/>
            <w:hideMark/>
          </w:tcPr>
          <w:p w14:paraId="4EF1CFBC" w14:textId="77777777" w:rsidR="00F3536C" w:rsidRPr="00A4272B" w:rsidRDefault="00F3536C" w:rsidP="00A41632">
            <w:pPr>
              <w:jc w:val="center"/>
              <w:rPr>
                <w:sz w:val="14"/>
                <w:szCs w:val="14"/>
                <w:lang w:val="en-US"/>
              </w:rPr>
            </w:pPr>
            <w:r w:rsidRPr="00A4272B">
              <w:rPr>
                <w:sz w:val="14"/>
                <w:szCs w:val="14"/>
                <w:lang w:val="en-US"/>
              </w:rPr>
              <w:t>-</w:t>
            </w:r>
          </w:p>
        </w:tc>
        <w:tc>
          <w:tcPr>
            <w:tcW w:w="792" w:type="dxa"/>
            <w:noWrap/>
            <w:vAlign w:val="center"/>
            <w:hideMark/>
          </w:tcPr>
          <w:p w14:paraId="2DBB481F"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04CAAB87"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6E22FA7C"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4EF059D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5B34B11"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7A53D3B1"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1AFAF9D5" w14:textId="77777777" w:rsidTr="00A41632">
        <w:trPr>
          <w:trHeight w:val="288"/>
          <w:jc w:val="center"/>
        </w:trPr>
        <w:tc>
          <w:tcPr>
            <w:tcW w:w="955" w:type="dxa"/>
            <w:tcBorders>
              <w:top w:val="nil"/>
              <w:left w:val="single" w:sz="8" w:space="0" w:color="auto"/>
              <w:bottom w:val="single" w:sz="4" w:space="0" w:color="auto"/>
              <w:right w:val="nil"/>
            </w:tcBorders>
            <w:noWrap/>
            <w:vAlign w:val="center"/>
            <w:hideMark/>
          </w:tcPr>
          <w:p w14:paraId="31B282B7" w14:textId="77777777" w:rsidR="00F3536C" w:rsidRPr="00A4272B" w:rsidRDefault="00F3536C" w:rsidP="00A41632">
            <w:pPr>
              <w:rPr>
                <w:sz w:val="14"/>
                <w:szCs w:val="14"/>
                <w:lang w:val="en-US"/>
              </w:rPr>
            </w:pPr>
            <w:r w:rsidRPr="00A4272B">
              <w:rPr>
                <w:sz w:val="14"/>
                <w:szCs w:val="14"/>
                <w:lang w:val="en-US"/>
              </w:rPr>
              <w:t>GAPS</w:t>
            </w:r>
          </w:p>
        </w:tc>
        <w:tc>
          <w:tcPr>
            <w:tcW w:w="1391" w:type="dxa"/>
            <w:tcBorders>
              <w:top w:val="nil"/>
              <w:left w:val="nil"/>
              <w:bottom w:val="single" w:sz="4" w:space="0" w:color="auto"/>
              <w:right w:val="nil"/>
            </w:tcBorders>
            <w:noWrap/>
            <w:vAlign w:val="center"/>
            <w:hideMark/>
          </w:tcPr>
          <w:p w14:paraId="284D76BB" w14:textId="77777777" w:rsidR="00F3536C" w:rsidRPr="00A4272B" w:rsidRDefault="00F3536C" w:rsidP="00A41632">
            <w:pPr>
              <w:rPr>
                <w:sz w:val="14"/>
                <w:szCs w:val="14"/>
                <w:lang w:val="en-US"/>
              </w:rPr>
            </w:pPr>
            <w:r w:rsidRPr="00A4272B">
              <w:rPr>
                <w:sz w:val="14"/>
                <w:szCs w:val="14"/>
                <w:lang w:val="en-US"/>
              </w:rPr>
              <w:t>South Africa</w:t>
            </w:r>
          </w:p>
        </w:tc>
        <w:tc>
          <w:tcPr>
            <w:tcW w:w="2504" w:type="dxa"/>
            <w:tcBorders>
              <w:top w:val="nil"/>
              <w:left w:val="nil"/>
              <w:bottom w:val="single" w:sz="4" w:space="0" w:color="auto"/>
              <w:right w:val="nil"/>
            </w:tcBorders>
            <w:noWrap/>
            <w:vAlign w:val="center"/>
            <w:hideMark/>
          </w:tcPr>
          <w:p w14:paraId="3ED0AC04" w14:textId="77777777" w:rsidR="00F3536C" w:rsidRPr="00A4272B" w:rsidRDefault="00F3536C" w:rsidP="00A41632">
            <w:pPr>
              <w:rPr>
                <w:sz w:val="14"/>
                <w:szCs w:val="14"/>
                <w:lang w:val="en-US"/>
              </w:rPr>
            </w:pPr>
            <w:r w:rsidRPr="00A4272B">
              <w:rPr>
                <w:sz w:val="14"/>
                <w:szCs w:val="14"/>
                <w:lang w:val="en-US"/>
              </w:rPr>
              <w:t>De Aar</w:t>
            </w:r>
          </w:p>
        </w:tc>
        <w:tc>
          <w:tcPr>
            <w:tcW w:w="998" w:type="dxa"/>
            <w:tcBorders>
              <w:top w:val="nil"/>
              <w:left w:val="nil"/>
              <w:bottom w:val="single" w:sz="4" w:space="0" w:color="auto"/>
              <w:right w:val="nil"/>
            </w:tcBorders>
            <w:noWrap/>
            <w:vAlign w:val="center"/>
            <w:hideMark/>
          </w:tcPr>
          <w:p w14:paraId="6663E540" w14:textId="77777777" w:rsidR="00F3536C" w:rsidRPr="00A4272B" w:rsidRDefault="00F3536C" w:rsidP="00A41632">
            <w:pPr>
              <w:jc w:val="center"/>
              <w:rPr>
                <w:sz w:val="14"/>
                <w:szCs w:val="14"/>
                <w:lang w:val="en-US"/>
              </w:rPr>
            </w:pPr>
            <w:r w:rsidRPr="00A4272B">
              <w:rPr>
                <w:sz w:val="14"/>
                <w:szCs w:val="14"/>
                <w:lang w:val="en-US"/>
              </w:rPr>
              <w:t>AF04</w:t>
            </w:r>
          </w:p>
        </w:tc>
        <w:tc>
          <w:tcPr>
            <w:tcW w:w="1342" w:type="dxa"/>
            <w:tcBorders>
              <w:top w:val="nil"/>
              <w:left w:val="nil"/>
              <w:bottom w:val="single" w:sz="4" w:space="0" w:color="auto"/>
              <w:right w:val="nil"/>
            </w:tcBorders>
            <w:noWrap/>
            <w:vAlign w:val="center"/>
            <w:hideMark/>
          </w:tcPr>
          <w:p w14:paraId="215EB340" w14:textId="77777777" w:rsidR="00F3536C" w:rsidRPr="00A4272B" w:rsidRDefault="00F3536C" w:rsidP="00A41632">
            <w:pPr>
              <w:jc w:val="center"/>
              <w:rPr>
                <w:sz w:val="14"/>
                <w:szCs w:val="14"/>
                <w:lang w:val="en-US"/>
              </w:rPr>
            </w:pPr>
            <w:r w:rsidRPr="00A4272B">
              <w:rPr>
                <w:sz w:val="14"/>
                <w:szCs w:val="14"/>
                <w:lang w:val="en-US"/>
              </w:rPr>
              <w:t>Rural</w:t>
            </w:r>
          </w:p>
        </w:tc>
        <w:tc>
          <w:tcPr>
            <w:tcW w:w="900" w:type="dxa"/>
            <w:tcBorders>
              <w:top w:val="nil"/>
              <w:left w:val="nil"/>
              <w:bottom w:val="single" w:sz="4" w:space="0" w:color="auto"/>
              <w:right w:val="nil"/>
            </w:tcBorders>
            <w:noWrap/>
            <w:vAlign w:val="center"/>
            <w:hideMark/>
          </w:tcPr>
          <w:p w14:paraId="490F6069" w14:textId="77777777" w:rsidR="00F3536C" w:rsidRPr="00A4272B" w:rsidRDefault="00F3536C" w:rsidP="00A41632">
            <w:pPr>
              <w:jc w:val="right"/>
              <w:rPr>
                <w:sz w:val="14"/>
                <w:szCs w:val="14"/>
                <w:lang w:val="en-US"/>
              </w:rPr>
            </w:pPr>
            <w:r w:rsidRPr="00A4272B">
              <w:rPr>
                <w:sz w:val="14"/>
                <w:szCs w:val="14"/>
                <w:lang w:val="en-US"/>
              </w:rPr>
              <w:t>-30.665003</w:t>
            </w:r>
          </w:p>
        </w:tc>
        <w:tc>
          <w:tcPr>
            <w:tcW w:w="998" w:type="dxa"/>
            <w:tcBorders>
              <w:top w:val="nil"/>
              <w:left w:val="nil"/>
              <w:bottom w:val="single" w:sz="4" w:space="0" w:color="auto"/>
              <w:right w:val="nil"/>
            </w:tcBorders>
            <w:noWrap/>
            <w:vAlign w:val="center"/>
            <w:hideMark/>
          </w:tcPr>
          <w:p w14:paraId="6DF284E4" w14:textId="77777777" w:rsidR="00F3536C" w:rsidRPr="00A4272B" w:rsidRDefault="00F3536C" w:rsidP="00A41632">
            <w:pPr>
              <w:jc w:val="right"/>
              <w:rPr>
                <w:sz w:val="14"/>
                <w:szCs w:val="14"/>
                <w:lang w:val="en-US"/>
              </w:rPr>
            </w:pPr>
            <w:r w:rsidRPr="00A4272B">
              <w:rPr>
                <w:sz w:val="14"/>
                <w:szCs w:val="14"/>
                <w:lang w:val="en-US"/>
              </w:rPr>
              <w:t>23.993001</w:t>
            </w:r>
          </w:p>
        </w:tc>
        <w:tc>
          <w:tcPr>
            <w:tcW w:w="859" w:type="dxa"/>
            <w:tcBorders>
              <w:top w:val="nil"/>
              <w:left w:val="nil"/>
              <w:bottom w:val="single" w:sz="4" w:space="0" w:color="auto"/>
              <w:right w:val="single" w:sz="8" w:space="0" w:color="auto"/>
            </w:tcBorders>
            <w:noWrap/>
            <w:vAlign w:val="center"/>
            <w:hideMark/>
          </w:tcPr>
          <w:p w14:paraId="0BE11C7D" w14:textId="77777777" w:rsidR="00F3536C" w:rsidRPr="00A4272B" w:rsidRDefault="00F3536C" w:rsidP="00A41632">
            <w:pPr>
              <w:jc w:val="center"/>
              <w:rPr>
                <w:sz w:val="14"/>
                <w:szCs w:val="14"/>
                <w:lang w:val="en-US"/>
              </w:rPr>
            </w:pPr>
            <w:r w:rsidRPr="00A4272B">
              <w:rPr>
                <w:sz w:val="14"/>
                <w:szCs w:val="14"/>
                <w:lang w:val="en-US"/>
              </w:rPr>
              <w:t>1287</w:t>
            </w:r>
          </w:p>
        </w:tc>
        <w:tc>
          <w:tcPr>
            <w:tcW w:w="792" w:type="dxa"/>
            <w:tcBorders>
              <w:top w:val="nil"/>
              <w:left w:val="nil"/>
              <w:bottom w:val="single" w:sz="4" w:space="0" w:color="auto"/>
              <w:right w:val="nil"/>
            </w:tcBorders>
            <w:noWrap/>
            <w:vAlign w:val="center"/>
            <w:hideMark/>
          </w:tcPr>
          <w:p w14:paraId="560E8C0D"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tcBorders>
              <w:top w:val="nil"/>
              <w:left w:val="nil"/>
              <w:bottom w:val="single" w:sz="4" w:space="0" w:color="auto"/>
              <w:right w:val="nil"/>
            </w:tcBorders>
            <w:noWrap/>
            <w:vAlign w:val="center"/>
            <w:hideMark/>
          </w:tcPr>
          <w:p w14:paraId="071FA1BF"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tcBorders>
              <w:top w:val="nil"/>
              <w:left w:val="nil"/>
              <w:bottom w:val="single" w:sz="4" w:space="0" w:color="auto"/>
              <w:right w:val="nil"/>
            </w:tcBorders>
            <w:noWrap/>
            <w:vAlign w:val="center"/>
            <w:hideMark/>
          </w:tcPr>
          <w:p w14:paraId="638CD9C0" w14:textId="77777777" w:rsidR="00F3536C" w:rsidRPr="00A4272B" w:rsidRDefault="00F3536C" w:rsidP="00A41632">
            <w:pPr>
              <w:jc w:val="center"/>
              <w:rPr>
                <w:sz w:val="14"/>
                <w:szCs w:val="14"/>
                <w:lang w:val="en-US"/>
              </w:rPr>
            </w:pPr>
            <w:r w:rsidRPr="00A4272B">
              <w:rPr>
                <w:sz w:val="14"/>
                <w:szCs w:val="14"/>
                <w:lang w:val="en-US"/>
              </w:rPr>
              <w:t>-</w:t>
            </w:r>
          </w:p>
        </w:tc>
        <w:tc>
          <w:tcPr>
            <w:tcW w:w="831" w:type="dxa"/>
            <w:tcBorders>
              <w:top w:val="nil"/>
              <w:left w:val="nil"/>
              <w:bottom w:val="single" w:sz="4" w:space="0" w:color="auto"/>
              <w:right w:val="nil"/>
            </w:tcBorders>
            <w:noWrap/>
            <w:vAlign w:val="center"/>
            <w:hideMark/>
          </w:tcPr>
          <w:p w14:paraId="2D8A91E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nil"/>
              <w:left w:val="nil"/>
              <w:bottom w:val="single" w:sz="4" w:space="0" w:color="auto"/>
              <w:right w:val="nil"/>
            </w:tcBorders>
            <w:noWrap/>
            <w:vAlign w:val="center"/>
            <w:hideMark/>
          </w:tcPr>
          <w:p w14:paraId="380B83F6"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2CD24DAF"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0B99E498" w14:textId="77777777" w:rsidTr="00A41632">
        <w:trPr>
          <w:trHeight w:val="288"/>
          <w:jc w:val="center"/>
        </w:trPr>
        <w:tc>
          <w:tcPr>
            <w:tcW w:w="955" w:type="dxa"/>
            <w:tcBorders>
              <w:top w:val="single" w:sz="4" w:space="0" w:color="auto"/>
              <w:left w:val="single" w:sz="8" w:space="0" w:color="auto"/>
              <w:bottom w:val="nil"/>
              <w:right w:val="nil"/>
            </w:tcBorders>
            <w:noWrap/>
            <w:vAlign w:val="center"/>
            <w:hideMark/>
          </w:tcPr>
          <w:p w14:paraId="294F3041" w14:textId="77777777" w:rsidR="00F3536C" w:rsidRPr="00A4272B" w:rsidRDefault="00F3536C" w:rsidP="00A41632">
            <w:pPr>
              <w:rPr>
                <w:sz w:val="14"/>
                <w:szCs w:val="14"/>
                <w:lang w:val="en-US"/>
              </w:rPr>
            </w:pPr>
            <w:r w:rsidRPr="00A4272B">
              <w:rPr>
                <w:sz w:val="14"/>
                <w:szCs w:val="14"/>
                <w:lang w:val="en-US"/>
              </w:rPr>
              <w:t>MONET</w:t>
            </w:r>
          </w:p>
        </w:tc>
        <w:tc>
          <w:tcPr>
            <w:tcW w:w="1391" w:type="dxa"/>
            <w:tcBorders>
              <w:top w:val="single" w:sz="4" w:space="0" w:color="auto"/>
              <w:left w:val="nil"/>
              <w:bottom w:val="nil"/>
              <w:right w:val="nil"/>
            </w:tcBorders>
            <w:noWrap/>
            <w:vAlign w:val="center"/>
            <w:hideMark/>
          </w:tcPr>
          <w:p w14:paraId="5DFAF937" w14:textId="77777777" w:rsidR="00F3536C" w:rsidRPr="00A4272B" w:rsidRDefault="00F3536C" w:rsidP="00A41632">
            <w:pPr>
              <w:rPr>
                <w:sz w:val="14"/>
                <w:szCs w:val="14"/>
                <w:lang w:val="en-US"/>
              </w:rPr>
            </w:pPr>
            <w:r w:rsidRPr="00A4272B">
              <w:rPr>
                <w:sz w:val="14"/>
                <w:szCs w:val="14"/>
                <w:lang w:val="en-US"/>
              </w:rPr>
              <w:t>Ghana</w:t>
            </w:r>
          </w:p>
        </w:tc>
        <w:tc>
          <w:tcPr>
            <w:tcW w:w="2504" w:type="dxa"/>
            <w:tcBorders>
              <w:top w:val="single" w:sz="4" w:space="0" w:color="auto"/>
              <w:left w:val="nil"/>
              <w:bottom w:val="nil"/>
              <w:right w:val="nil"/>
            </w:tcBorders>
            <w:noWrap/>
            <w:vAlign w:val="center"/>
            <w:hideMark/>
          </w:tcPr>
          <w:p w14:paraId="00379763" w14:textId="77777777" w:rsidR="00F3536C" w:rsidRPr="00A4272B" w:rsidRDefault="00F3536C" w:rsidP="00A41632">
            <w:pPr>
              <w:rPr>
                <w:sz w:val="14"/>
                <w:szCs w:val="14"/>
                <w:lang w:val="en-US"/>
              </w:rPr>
            </w:pPr>
            <w:r w:rsidRPr="00A4272B">
              <w:rPr>
                <w:sz w:val="14"/>
                <w:szCs w:val="14"/>
                <w:lang w:val="en-US"/>
              </w:rPr>
              <w:t>Ghana A</w:t>
            </w:r>
          </w:p>
        </w:tc>
        <w:tc>
          <w:tcPr>
            <w:tcW w:w="998" w:type="dxa"/>
            <w:tcBorders>
              <w:top w:val="single" w:sz="4" w:space="0" w:color="auto"/>
              <w:left w:val="nil"/>
              <w:bottom w:val="nil"/>
              <w:right w:val="nil"/>
            </w:tcBorders>
            <w:noWrap/>
            <w:vAlign w:val="center"/>
            <w:hideMark/>
          </w:tcPr>
          <w:p w14:paraId="6FB773B9" w14:textId="77777777" w:rsidR="00F3536C" w:rsidRPr="00A4272B" w:rsidRDefault="00F3536C" w:rsidP="00A41632">
            <w:pPr>
              <w:jc w:val="center"/>
              <w:rPr>
                <w:sz w:val="14"/>
                <w:szCs w:val="14"/>
                <w:lang w:val="en-US"/>
              </w:rPr>
            </w:pPr>
            <w:r w:rsidRPr="00A4272B">
              <w:rPr>
                <w:sz w:val="14"/>
                <w:szCs w:val="14"/>
                <w:lang w:val="en-US"/>
              </w:rPr>
              <w:t>3193</w:t>
            </w:r>
          </w:p>
        </w:tc>
        <w:tc>
          <w:tcPr>
            <w:tcW w:w="1342" w:type="dxa"/>
            <w:tcBorders>
              <w:top w:val="single" w:sz="4" w:space="0" w:color="auto"/>
              <w:left w:val="nil"/>
              <w:bottom w:val="nil"/>
              <w:right w:val="nil"/>
            </w:tcBorders>
            <w:noWrap/>
            <w:vAlign w:val="center"/>
            <w:hideMark/>
          </w:tcPr>
          <w:p w14:paraId="6BDF7A57" w14:textId="77777777" w:rsidR="00F3536C" w:rsidRPr="00A4272B" w:rsidRDefault="00F3536C" w:rsidP="00A41632">
            <w:pPr>
              <w:jc w:val="center"/>
              <w:rPr>
                <w:sz w:val="14"/>
                <w:szCs w:val="14"/>
                <w:lang w:val="en-US"/>
              </w:rPr>
            </w:pPr>
            <w:r w:rsidRPr="00A4272B">
              <w:rPr>
                <w:sz w:val="14"/>
                <w:szCs w:val="14"/>
                <w:lang w:val="en-US"/>
              </w:rPr>
              <w:t>-</w:t>
            </w:r>
          </w:p>
        </w:tc>
        <w:tc>
          <w:tcPr>
            <w:tcW w:w="900" w:type="dxa"/>
            <w:tcBorders>
              <w:top w:val="single" w:sz="4" w:space="0" w:color="auto"/>
              <w:left w:val="nil"/>
              <w:bottom w:val="nil"/>
              <w:right w:val="nil"/>
            </w:tcBorders>
            <w:noWrap/>
            <w:vAlign w:val="center"/>
            <w:hideMark/>
          </w:tcPr>
          <w:p w14:paraId="776546AD" w14:textId="77777777" w:rsidR="00F3536C" w:rsidRPr="00A4272B" w:rsidRDefault="00F3536C" w:rsidP="00A41632">
            <w:pPr>
              <w:jc w:val="right"/>
              <w:rPr>
                <w:sz w:val="14"/>
                <w:szCs w:val="14"/>
                <w:lang w:val="en-US"/>
              </w:rPr>
            </w:pPr>
            <w:r w:rsidRPr="00A4272B">
              <w:rPr>
                <w:sz w:val="14"/>
                <w:szCs w:val="14"/>
                <w:lang w:val="en-US"/>
              </w:rPr>
              <w:t>8.146740</w:t>
            </w:r>
          </w:p>
        </w:tc>
        <w:tc>
          <w:tcPr>
            <w:tcW w:w="998" w:type="dxa"/>
            <w:tcBorders>
              <w:top w:val="single" w:sz="4" w:space="0" w:color="auto"/>
              <w:left w:val="nil"/>
              <w:bottom w:val="nil"/>
              <w:right w:val="nil"/>
            </w:tcBorders>
            <w:noWrap/>
            <w:vAlign w:val="center"/>
            <w:hideMark/>
          </w:tcPr>
          <w:p w14:paraId="03554A6B" w14:textId="77777777" w:rsidR="00F3536C" w:rsidRPr="00A4272B" w:rsidRDefault="00F3536C" w:rsidP="00A41632">
            <w:pPr>
              <w:jc w:val="right"/>
              <w:rPr>
                <w:sz w:val="14"/>
                <w:szCs w:val="14"/>
                <w:lang w:val="en-US"/>
              </w:rPr>
            </w:pPr>
            <w:r w:rsidRPr="00A4272B">
              <w:rPr>
                <w:sz w:val="14"/>
                <w:szCs w:val="14"/>
                <w:lang w:val="en-US"/>
              </w:rPr>
              <w:t>-1.154304</w:t>
            </w:r>
          </w:p>
        </w:tc>
        <w:tc>
          <w:tcPr>
            <w:tcW w:w="859" w:type="dxa"/>
            <w:tcBorders>
              <w:top w:val="single" w:sz="4" w:space="0" w:color="auto"/>
              <w:left w:val="nil"/>
              <w:bottom w:val="nil"/>
              <w:right w:val="single" w:sz="8" w:space="0" w:color="auto"/>
            </w:tcBorders>
            <w:noWrap/>
            <w:vAlign w:val="center"/>
            <w:hideMark/>
          </w:tcPr>
          <w:p w14:paraId="7A14B02D" w14:textId="77777777" w:rsidR="00F3536C" w:rsidRPr="00A4272B" w:rsidRDefault="00F3536C" w:rsidP="00A41632">
            <w:pPr>
              <w:jc w:val="center"/>
              <w:rPr>
                <w:sz w:val="14"/>
                <w:szCs w:val="14"/>
                <w:lang w:val="en-US"/>
              </w:rPr>
            </w:pPr>
            <w:r w:rsidRPr="00A4272B">
              <w:rPr>
                <w:sz w:val="14"/>
                <w:szCs w:val="14"/>
                <w:lang w:val="en-US"/>
              </w:rPr>
              <w:t>-</w:t>
            </w:r>
          </w:p>
        </w:tc>
        <w:tc>
          <w:tcPr>
            <w:tcW w:w="792" w:type="dxa"/>
            <w:tcBorders>
              <w:top w:val="single" w:sz="4" w:space="0" w:color="auto"/>
              <w:left w:val="nil"/>
              <w:bottom w:val="nil"/>
              <w:right w:val="nil"/>
            </w:tcBorders>
            <w:noWrap/>
            <w:vAlign w:val="center"/>
            <w:hideMark/>
          </w:tcPr>
          <w:p w14:paraId="06B7AF3B" w14:textId="77777777" w:rsidR="00F3536C" w:rsidRPr="00A4272B" w:rsidRDefault="00F3536C" w:rsidP="00A41632">
            <w:pPr>
              <w:jc w:val="center"/>
              <w:rPr>
                <w:sz w:val="14"/>
                <w:szCs w:val="14"/>
                <w:lang w:val="en-US"/>
              </w:rPr>
            </w:pPr>
            <w:r w:rsidRPr="00A4272B">
              <w:rPr>
                <w:sz w:val="14"/>
                <w:szCs w:val="14"/>
                <w:lang w:val="en-US"/>
              </w:rPr>
              <w:t>Active</w:t>
            </w:r>
          </w:p>
        </w:tc>
        <w:tc>
          <w:tcPr>
            <w:tcW w:w="590" w:type="dxa"/>
            <w:tcBorders>
              <w:top w:val="single" w:sz="4" w:space="0" w:color="auto"/>
              <w:left w:val="nil"/>
              <w:bottom w:val="nil"/>
              <w:right w:val="nil"/>
            </w:tcBorders>
            <w:noWrap/>
            <w:vAlign w:val="center"/>
            <w:hideMark/>
          </w:tcPr>
          <w:p w14:paraId="4FCA1ECF"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tcBorders>
              <w:top w:val="single" w:sz="4" w:space="0" w:color="auto"/>
              <w:left w:val="nil"/>
              <w:bottom w:val="nil"/>
              <w:right w:val="nil"/>
            </w:tcBorders>
            <w:noWrap/>
            <w:vAlign w:val="center"/>
            <w:hideMark/>
          </w:tcPr>
          <w:p w14:paraId="180CC3C4" w14:textId="77777777" w:rsidR="00F3536C" w:rsidRPr="00A4272B" w:rsidRDefault="00F3536C" w:rsidP="00A41632">
            <w:pPr>
              <w:jc w:val="center"/>
              <w:rPr>
                <w:sz w:val="14"/>
                <w:szCs w:val="14"/>
                <w:lang w:val="en-US"/>
              </w:rPr>
            </w:pPr>
            <w:r w:rsidRPr="00A4272B">
              <w:rPr>
                <w:sz w:val="14"/>
                <w:szCs w:val="14"/>
                <w:lang w:val="en-US"/>
              </w:rPr>
              <w:t>-</w:t>
            </w:r>
          </w:p>
        </w:tc>
        <w:tc>
          <w:tcPr>
            <w:tcW w:w="831" w:type="dxa"/>
            <w:tcBorders>
              <w:top w:val="single" w:sz="4" w:space="0" w:color="auto"/>
              <w:left w:val="nil"/>
              <w:bottom w:val="nil"/>
              <w:right w:val="nil"/>
            </w:tcBorders>
            <w:noWrap/>
            <w:vAlign w:val="center"/>
            <w:hideMark/>
          </w:tcPr>
          <w:p w14:paraId="3CBF0481"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924" w:type="dxa"/>
            <w:tcBorders>
              <w:top w:val="single" w:sz="4" w:space="0" w:color="auto"/>
              <w:left w:val="nil"/>
              <w:bottom w:val="nil"/>
              <w:right w:val="nil"/>
            </w:tcBorders>
            <w:noWrap/>
            <w:vAlign w:val="center"/>
            <w:hideMark/>
          </w:tcPr>
          <w:p w14:paraId="071C9B97" w14:textId="77777777" w:rsidR="00F3536C" w:rsidRPr="00A4272B" w:rsidRDefault="00F3536C" w:rsidP="00A41632">
            <w:pPr>
              <w:jc w:val="center"/>
              <w:rPr>
                <w:sz w:val="14"/>
                <w:szCs w:val="14"/>
                <w:lang w:val="en-US"/>
              </w:rPr>
            </w:pPr>
            <w:r w:rsidRPr="00A4272B">
              <w:rPr>
                <w:sz w:val="14"/>
                <w:szCs w:val="14"/>
                <w:lang w:val="en-US"/>
              </w:rPr>
              <w:t>1 week</w:t>
            </w:r>
          </w:p>
        </w:tc>
        <w:tc>
          <w:tcPr>
            <w:tcW w:w="612" w:type="dxa"/>
            <w:tcBorders>
              <w:top w:val="single" w:sz="4" w:space="0" w:color="auto"/>
              <w:left w:val="nil"/>
              <w:bottom w:val="nil"/>
              <w:right w:val="single" w:sz="8" w:space="0" w:color="auto"/>
            </w:tcBorders>
            <w:noWrap/>
            <w:vAlign w:val="center"/>
            <w:hideMark/>
          </w:tcPr>
          <w:p w14:paraId="6F899159" w14:textId="77777777" w:rsidR="00F3536C" w:rsidRPr="00A4272B" w:rsidRDefault="00F3536C" w:rsidP="00A41632">
            <w:pPr>
              <w:jc w:val="center"/>
              <w:rPr>
                <w:sz w:val="14"/>
                <w:szCs w:val="14"/>
                <w:lang w:val="en-US"/>
              </w:rPr>
            </w:pPr>
            <w:r w:rsidRPr="00A4272B">
              <w:rPr>
                <w:sz w:val="14"/>
                <w:szCs w:val="14"/>
                <w:lang w:val="en-US"/>
              </w:rPr>
              <w:t>2014</w:t>
            </w:r>
          </w:p>
        </w:tc>
      </w:tr>
      <w:tr w:rsidR="00F3536C" w:rsidRPr="00A4272B" w14:paraId="357E971F" w14:textId="77777777" w:rsidTr="00A41632">
        <w:trPr>
          <w:trHeight w:val="288"/>
          <w:jc w:val="center"/>
        </w:trPr>
        <w:tc>
          <w:tcPr>
            <w:tcW w:w="955" w:type="dxa"/>
            <w:tcBorders>
              <w:top w:val="nil"/>
              <w:left w:val="single" w:sz="8" w:space="0" w:color="auto"/>
              <w:bottom w:val="nil"/>
              <w:right w:val="nil"/>
            </w:tcBorders>
            <w:noWrap/>
            <w:vAlign w:val="center"/>
            <w:hideMark/>
          </w:tcPr>
          <w:p w14:paraId="29E34601" w14:textId="77777777" w:rsidR="00F3536C" w:rsidRPr="00A4272B" w:rsidRDefault="00F3536C" w:rsidP="00A41632">
            <w:pPr>
              <w:rPr>
                <w:sz w:val="14"/>
                <w:szCs w:val="14"/>
                <w:lang w:val="en-US"/>
              </w:rPr>
            </w:pPr>
            <w:r w:rsidRPr="00A4272B">
              <w:rPr>
                <w:sz w:val="14"/>
                <w:szCs w:val="14"/>
                <w:lang w:val="en-US"/>
              </w:rPr>
              <w:t>MONET</w:t>
            </w:r>
          </w:p>
        </w:tc>
        <w:tc>
          <w:tcPr>
            <w:tcW w:w="1391" w:type="dxa"/>
            <w:noWrap/>
            <w:vAlign w:val="center"/>
            <w:hideMark/>
          </w:tcPr>
          <w:p w14:paraId="0F016357" w14:textId="77777777" w:rsidR="00F3536C" w:rsidRPr="00A4272B" w:rsidRDefault="00F3536C" w:rsidP="00A41632">
            <w:pPr>
              <w:rPr>
                <w:sz w:val="14"/>
                <w:szCs w:val="14"/>
                <w:lang w:val="en-US"/>
              </w:rPr>
            </w:pPr>
            <w:r w:rsidRPr="00A4272B">
              <w:rPr>
                <w:sz w:val="14"/>
                <w:szCs w:val="14"/>
                <w:lang w:val="en-US"/>
              </w:rPr>
              <w:t>Kenya</w:t>
            </w:r>
          </w:p>
        </w:tc>
        <w:tc>
          <w:tcPr>
            <w:tcW w:w="2504" w:type="dxa"/>
            <w:noWrap/>
            <w:vAlign w:val="center"/>
            <w:hideMark/>
          </w:tcPr>
          <w:p w14:paraId="434CC551" w14:textId="77777777" w:rsidR="00F3536C" w:rsidRPr="00A4272B" w:rsidRDefault="00F3536C" w:rsidP="00A41632">
            <w:pPr>
              <w:rPr>
                <w:sz w:val="14"/>
                <w:szCs w:val="14"/>
                <w:lang w:val="en-US"/>
              </w:rPr>
            </w:pPr>
            <w:r w:rsidRPr="00A4272B">
              <w:rPr>
                <w:sz w:val="14"/>
                <w:szCs w:val="14"/>
                <w:lang w:val="en-US"/>
              </w:rPr>
              <w:t>Chiromo Campus (Nairobi)</w:t>
            </w:r>
          </w:p>
        </w:tc>
        <w:tc>
          <w:tcPr>
            <w:tcW w:w="998" w:type="dxa"/>
            <w:noWrap/>
            <w:vAlign w:val="center"/>
            <w:hideMark/>
          </w:tcPr>
          <w:p w14:paraId="733A7D8E" w14:textId="77777777" w:rsidR="00F3536C" w:rsidRPr="00A4272B" w:rsidRDefault="00F3536C" w:rsidP="00A41632">
            <w:pPr>
              <w:jc w:val="center"/>
              <w:rPr>
                <w:sz w:val="14"/>
                <w:szCs w:val="14"/>
                <w:lang w:val="en-US"/>
              </w:rPr>
            </w:pPr>
            <w:r w:rsidRPr="00A4272B">
              <w:rPr>
                <w:sz w:val="14"/>
                <w:szCs w:val="14"/>
                <w:lang w:val="en-US"/>
              </w:rPr>
              <w:t>3179</w:t>
            </w:r>
          </w:p>
        </w:tc>
        <w:tc>
          <w:tcPr>
            <w:tcW w:w="1342" w:type="dxa"/>
            <w:noWrap/>
            <w:vAlign w:val="center"/>
            <w:hideMark/>
          </w:tcPr>
          <w:p w14:paraId="25EF9537" w14:textId="77777777" w:rsidR="00F3536C" w:rsidRPr="00A4272B" w:rsidRDefault="00F3536C" w:rsidP="00A41632">
            <w:pPr>
              <w:jc w:val="center"/>
              <w:rPr>
                <w:sz w:val="14"/>
                <w:szCs w:val="14"/>
                <w:lang w:val="en-US"/>
              </w:rPr>
            </w:pPr>
            <w:r w:rsidRPr="00A4272B">
              <w:rPr>
                <w:sz w:val="14"/>
                <w:szCs w:val="14"/>
                <w:lang w:val="en-US"/>
              </w:rPr>
              <w:t>-</w:t>
            </w:r>
          </w:p>
        </w:tc>
        <w:tc>
          <w:tcPr>
            <w:tcW w:w="900" w:type="dxa"/>
            <w:noWrap/>
            <w:vAlign w:val="center"/>
            <w:hideMark/>
          </w:tcPr>
          <w:p w14:paraId="733C36B8" w14:textId="77777777" w:rsidR="00F3536C" w:rsidRPr="00A4272B" w:rsidRDefault="00F3536C" w:rsidP="00A41632">
            <w:pPr>
              <w:jc w:val="right"/>
              <w:rPr>
                <w:sz w:val="14"/>
                <w:szCs w:val="14"/>
                <w:lang w:val="en-US"/>
              </w:rPr>
            </w:pPr>
            <w:r w:rsidRPr="00A4272B">
              <w:rPr>
                <w:sz w:val="14"/>
                <w:szCs w:val="14"/>
                <w:lang w:val="en-US"/>
              </w:rPr>
              <w:t>-1.271917</w:t>
            </w:r>
          </w:p>
        </w:tc>
        <w:tc>
          <w:tcPr>
            <w:tcW w:w="998" w:type="dxa"/>
            <w:noWrap/>
            <w:vAlign w:val="center"/>
            <w:hideMark/>
          </w:tcPr>
          <w:p w14:paraId="680C2594" w14:textId="77777777" w:rsidR="00F3536C" w:rsidRPr="00A4272B" w:rsidRDefault="00F3536C" w:rsidP="00A41632">
            <w:pPr>
              <w:jc w:val="right"/>
              <w:rPr>
                <w:sz w:val="14"/>
                <w:szCs w:val="14"/>
                <w:lang w:val="en-US"/>
              </w:rPr>
            </w:pPr>
            <w:r w:rsidRPr="00A4272B">
              <w:rPr>
                <w:sz w:val="14"/>
                <w:szCs w:val="14"/>
                <w:lang w:val="en-US"/>
              </w:rPr>
              <w:t>36.804000</w:t>
            </w:r>
          </w:p>
        </w:tc>
        <w:tc>
          <w:tcPr>
            <w:tcW w:w="859" w:type="dxa"/>
            <w:tcBorders>
              <w:top w:val="nil"/>
              <w:left w:val="nil"/>
              <w:bottom w:val="nil"/>
              <w:right w:val="single" w:sz="8" w:space="0" w:color="auto"/>
            </w:tcBorders>
            <w:noWrap/>
            <w:vAlign w:val="center"/>
            <w:hideMark/>
          </w:tcPr>
          <w:p w14:paraId="350A9EF8" w14:textId="77777777" w:rsidR="00F3536C" w:rsidRPr="00A4272B" w:rsidRDefault="00F3536C" w:rsidP="00A41632">
            <w:pPr>
              <w:jc w:val="center"/>
              <w:rPr>
                <w:sz w:val="14"/>
                <w:szCs w:val="14"/>
                <w:lang w:val="en-US"/>
              </w:rPr>
            </w:pPr>
            <w:r w:rsidRPr="00A4272B">
              <w:rPr>
                <w:sz w:val="14"/>
                <w:szCs w:val="14"/>
                <w:lang w:val="en-US"/>
              </w:rPr>
              <w:t>-</w:t>
            </w:r>
          </w:p>
        </w:tc>
        <w:tc>
          <w:tcPr>
            <w:tcW w:w="792" w:type="dxa"/>
            <w:noWrap/>
            <w:vAlign w:val="center"/>
            <w:hideMark/>
          </w:tcPr>
          <w:p w14:paraId="738161C3" w14:textId="77777777" w:rsidR="00F3536C" w:rsidRPr="00A4272B" w:rsidRDefault="00F3536C" w:rsidP="00A41632">
            <w:pPr>
              <w:jc w:val="center"/>
              <w:rPr>
                <w:sz w:val="14"/>
                <w:szCs w:val="14"/>
                <w:lang w:val="en-US"/>
              </w:rPr>
            </w:pPr>
            <w:r w:rsidRPr="00A4272B">
              <w:rPr>
                <w:sz w:val="14"/>
                <w:szCs w:val="14"/>
                <w:lang w:val="en-US"/>
              </w:rPr>
              <w:t>Active</w:t>
            </w:r>
          </w:p>
        </w:tc>
        <w:tc>
          <w:tcPr>
            <w:tcW w:w="590" w:type="dxa"/>
            <w:noWrap/>
            <w:vAlign w:val="center"/>
            <w:hideMark/>
          </w:tcPr>
          <w:p w14:paraId="45907598"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51FC1685"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4EF8BF09"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924" w:type="dxa"/>
            <w:noWrap/>
            <w:vAlign w:val="center"/>
            <w:hideMark/>
          </w:tcPr>
          <w:p w14:paraId="37C5AA7D" w14:textId="77777777" w:rsidR="00F3536C" w:rsidRPr="00A4272B" w:rsidRDefault="00F3536C" w:rsidP="00A41632">
            <w:pPr>
              <w:jc w:val="center"/>
              <w:rPr>
                <w:sz w:val="14"/>
                <w:szCs w:val="14"/>
                <w:lang w:val="en-US"/>
              </w:rPr>
            </w:pPr>
            <w:r w:rsidRPr="00A4272B">
              <w:rPr>
                <w:sz w:val="14"/>
                <w:szCs w:val="14"/>
                <w:lang w:val="en-US"/>
              </w:rPr>
              <w:t>1 week</w:t>
            </w:r>
          </w:p>
        </w:tc>
        <w:tc>
          <w:tcPr>
            <w:tcW w:w="612" w:type="dxa"/>
            <w:tcBorders>
              <w:top w:val="nil"/>
              <w:left w:val="nil"/>
              <w:bottom w:val="nil"/>
              <w:right w:val="single" w:sz="8" w:space="0" w:color="auto"/>
            </w:tcBorders>
            <w:noWrap/>
            <w:vAlign w:val="center"/>
            <w:hideMark/>
          </w:tcPr>
          <w:p w14:paraId="352A5EAB" w14:textId="77777777" w:rsidR="00F3536C" w:rsidRPr="00A4272B" w:rsidRDefault="00F3536C" w:rsidP="00A41632">
            <w:pPr>
              <w:jc w:val="center"/>
              <w:rPr>
                <w:sz w:val="14"/>
                <w:szCs w:val="14"/>
                <w:lang w:val="en-US"/>
              </w:rPr>
            </w:pPr>
            <w:r w:rsidRPr="00A4272B">
              <w:rPr>
                <w:sz w:val="14"/>
                <w:szCs w:val="14"/>
                <w:lang w:val="en-US"/>
              </w:rPr>
              <w:t>2014</w:t>
            </w:r>
          </w:p>
        </w:tc>
      </w:tr>
      <w:tr w:rsidR="00F3536C" w:rsidRPr="00A4272B" w14:paraId="0DAA3ACA" w14:textId="77777777" w:rsidTr="00A41632">
        <w:trPr>
          <w:trHeight w:val="288"/>
          <w:jc w:val="center"/>
        </w:trPr>
        <w:tc>
          <w:tcPr>
            <w:tcW w:w="955" w:type="dxa"/>
            <w:tcBorders>
              <w:top w:val="nil"/>
              <w:left w:val="single" w:sz="8" w:space="0" w:color="auto"/>
              <w:bottom w:val="nil"/>
              <w:right w:val="nil"/>
            </w:tcBorders>
            <w:noWrap/>
            <w:vAlign w:val="center"/>
            <w:hideMark/>
          </w:tcPr>
          <w:p w14:paraId="5478414C" w14:textId="77777777" w:rsidR="00F3536C" w:rsidRPr="00A4272B" w:rsidRDefault="00F3536C" w:rsidP="00A41632">
            <w:pPr>
              <w:rPr>
                <w:sz w:val="14"/>
                <w:szCs w:val="14"/>
                <w:lang w:val="en-US"/>
              </w:rPr>
            </w:pPr>
            <w:r w:rsidRPr="00A4272B">
              <w:rPr>
                <w:sz w:val="14"/>
                <w:szCs w:val="14"/>
                <w:lang w:val="en-US"/>
              </w:rPr>
              <w:t>MONET</w:t>
            </w:r>
          </w:p>
        </w:tc>
        <w:tc>
          <w:tcPr>
            <w:tcW w:w="1391" w:type="dxa"/>
            <w:noWrap/>
            <w:vAlign w:val="center"/>
            <w:hideMark/>
          </w:tcPr>
          <w:p w14:paraId="246DF3ED" w14:textId="77777777" w:rsidR="00F3536C" w:rsidRPr="00A4272B" w:rsidRDefault="00F3536C" w:rsidP="00A41632">
            <w:pPr>
              <w:rPr>
                <w:sz w:val="14"/>
                <w:szCs w:val="14"/>
                <w:lang w:val="en-US"/>
              </w:rPr>
            </w:pPr>
            <w:r w:rsidRPr="00A4272B">
              <w:rPr>
                <w:sz w:val="14"/>
                <w:szCs w:val="14"/>
                <w:lang w:val="en-US"/>
              </w:rPr>
              <w:t>Congo</w:t>
            </w:r>
          </w:p>
        </w:tc>
        <w:tc>
          <w:tcPr>
            <w:tcW w:w="2504" w:type="dxa"/>
            <w:noWrap/>
            <w:vAlign w:val="center"/>
            <w:hideMark/>
          </w:tcPr>
          <w:p w14:paraId="2933937B" w14:textId="77777777" w:rsidR="00F3536C" w:rsidRPr="00A4272B" w:rsidRDefault="00F3536C" w:rsidP="00A41632">
            <w:pPr>
              <w:rPr>
                <w:sz w:val="14"/>
                <w:szCs w:val="14"/>
                <w:lang w:val="en-US"/>
              </w:rPr>
            </w:pPr>
            <w:r w:rsidRPr="00A4272B">
              <w:rPr>
                <w:sz w:val="14"/>
                <w:szCs w:val="14"/>
                <w:lang w:val="en-US"/>
              </w:rPr>
              <w:t>Brazzaville</w:t>
            </w:r>
          </w:p>
        </w:tc>
        <w:tc>
          <w:tcPr>
            <w:tcW w:w="998" w:type="dxa"/>
            <w:noWrap/>
            <w:vAlign w:val="center"/>
            <w:hideMark/>
          </w:tcPr>
          <w:p w14:paraId="3AAD9AFE" w14:textId="77777777" w:rsidR="00F3536C" w:rsidRPr="00A4272B" w:rsidRDefault="00F3536C" w:rsidP="00A41632">
            <w:pPr>
              <w:jc w:val="center"/>
              <w:rPr>
                <w:sz w:val="14"/>
                <w:szCs w:val="14"/>
                <w:lang w:val="en-US"/>
              </w:rPr>
            </w:pPr>
            <w:r w:rsidRPr="00A4272B">
              <w:rPr>
                <w:sz w:val="14"/>
                <w:szCs w:val="14"/>
                <w:lang w:val="en-US"/>
              </w:rPr>
              <w:t>183</w:t>
            </w:r>
          </w:p>
        </w:tc>
        <w:tc>
          <w:tcPr>
            <w:tcW w:w="1342" w:type="dxa"/>
            <w:noWrap/>
            <w:vAlign w:val="center"/>
            <w:hideMark/>
          </w:tcPr>
          <w:p w14:paraId="311FDCCA" w14:textId="77777777" w:rsidR="00F3536C" w:rsidRPr="00A4272B" w:rsidRDefault="00F3536C" w:rsidP="00A41632">
            <w:pPr>
              <w:jc w:val="center"/>
              <w:rPr>
                <w:sz w:val="14"/>
                <w:szCs w:val="14"/>
                <w:lang w:val="en-US"/>
              </w:rPr>
            </w:pPr>
            <w:r w:rsidRPr="00A4272B">
              <w:rPr>
                <w:sz w:val="14"/>
                <w:szCs w:val="14"/>
                <w:lang w:val="en-US"/>
              </w:rPr>
              <w:t>Urban</w:t>
            </w:r>
          </w:p>
        </w:tc>
        <w:tc>
          <w:tcPr>
            <w:tcW w:w="900" w:type="dxa"/>
            <w:noWrap/>
            <w:vAlign w:val="center"/>
            <w:hideMark/>
          </w:tcPr>
          <w:p w14:paraId="2E65F50B" w14:textId="77777777" w:rsidR="00F3536C" w:rsidRPr="00A4272B" w:rsidRDefault="00F3536C" w:rsidP="00A41632">
            <w:pPr>
              <w:jc w:val="right"/>
              <w:rPr>
                <w:sz w:val="14"/>
                <w:szCs w:val="14"/>
                <w:lang w:val="en-US"/>
              </w:rPr>
            </w:pPr>
            <w:r w:rsidRPr="00A4272B">
              <w:rPr>
                <w:sz w:val="14"/>
                <w:szCs w:val="14"/>
                <w:lang w:val="en-US"/>
              </w:rPr>
              <w:t>-4.281278</w:t>
            </w:r>
          </w:p>
        </w:tc>
        <w:tc>
          <w:tcPr>
            <w:tcW w:w="998" w:type="dxa"/>
            <w:noWrap/>
            <w:vAlign w:val="center"/>
            <w:hideMark/>
          </w:tcPr>
          <w:p w14:paraId="187681A9" w14:textId="77777777" w:rsidR="00F3536C" w:rsidRPr="00A4272B" w:rsidRDefault="00F3536C" w:rsidP="00A41632">
            <w:pPr>
              <w:jc w:val="right"/>
              <w:rPr>
                <w:sz w:val="14"/>
                <w:szCs w:val="14"/>
                <w:lang w:val="en-US"/>
              </w:rPr>
            </w:pPr>
            <w:r w:rsidRPr="00A4272B">
              <w:rPr>
                <w:sz w:val="14"/>
                <w:szCs w:val="14"/>
                <w:lang w:val="en-US"/>
              </w:rPr>
              <w:t>15.243640</w:t>
            </w:r>
          </w:p>
        </w:tc>
        <w:tc>
          <w:tcPr>
            <w:tcW w:w="859" w:type="dxa"/>
            <w:tcBorders>
              <w:top w:val="nil"/>
              <w:left w:val="nil"/>
              <w:bottom w:val="nil"/>
              <w:right w:val="single" w:sz="8" w:space="0" w:color="auto"/>
            </w:tcBorders>
            <w:noWrap/>
            <w:vAlign w:val="center"/>
            <w:hideMark/>
          </w:tcPr>
          <w:p w14:paraId="155901FF" w14:textId="77777777" w:rsidR="00F3536C" w:rsidRPr="00A4272B" w:rsidRDefault="00F3536C" w:rsidP="00A41632">
            <w:pPr>
              <w:jc w:val="center"/>
              <w:rPr>
                <w:sz w:val="14"/>
                <w:szCs w:val="14"/>
                <w:lang w:val="en-US"/>
              </w:rPr>
            </w:pPr>
            <w:r w:rsidRPr="00A4272B">
              <w:rPr>
                <w:sz w:val="14"/>
                <w:szCs w:val="14"/>
                <w:lang w:val="en-US"/>
              </w:rPr>
              <w:t>298</w:t>
            </w:r>
          </w:p>
        </w:tc>
        <w:tc>
          <w:tcPr>
            <w:tcW w:w="792" w:type="dxa"/>
            <w:noWrap/>
            <w:vAlign w:val="center"/>
            <w:hideMark/>
          </w:tcPr>
          <w:p w14:paraId="12AE3FB3"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41CE6203"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2592D878"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0D87431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925BED9"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5817371D"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67396F01" w14:textId="77777777" w:rsidTr="00A41632">
        <w:trPr>
          <w:trHeight w:val="288"/>
          <w:jc w:val="center"/>
        </w:trPr>
        <w:tc>
          <w:tcPr>
            <w:tcW w:w="955" w:type="dxa"/>
            <w:tcBorders>
              <w:top w:val="nil"/>
              <w:left w:val="single" w:sz="8" w:space="0" w:color="auto"/>
              <w:bottom w:val="nil"/>
              <w:right w:val="nil"/>
            </w:tcBorders>
            <w:noWrap/>
            <w:vAlign w:val="center"/>
            <w:hideMark/>
          </w:tcPr>
          <w:p w14:paraId="569E1665" w14:textId="77777777" w:rsidR="00F3536C" w:rsidRPr="00A4272B" w:rsidRDefault="00F3536C" w:rsidP="00A41632">
            <w:pPr>
              <w:rPr>
                <w:sz w:val="14"/>
                <w:szCs w:val="14"/>
                <w:lang w:val="en-US"/>
              </w:rPr>
            </w:pPr>
            <w:r w:rsidRPr="00A4272B">
              <w:rPr>
                <w:sz w:val="14"/>
                <w:szCs w:val="14"/>
                <w:lang w:val="en-US"/>
              </w:rPr>
              <w:t>MONET</w:t>
            </w:r>
          </w:p>
        </w:tc>
        <w:tc>
          <w:tcPr>
            <w:tcW w:w="1391" w:type="dxa"/>
            <w:noWrap/>
            <w:vAlign w:val="center"/>
            <w:hideMark/>
          </w:tcPr>
          <w:p w14:paraId="09CE17AE" w14:textId="77777777" w:rsidR="00F3536C" w:rsidRPr="00A4272B" w:rsidRDefault="00F3536C" w:rsidP="00A41632">
            <w:pPr>
              <w:rPr>
                <w:sz w:val="14"/>
                <w:szCs w:val="14"/>
                <w:lang w:val="en-US"/>
              </w:rPr>
            </w:pPr>
            <w:r w:rsidRPr="00A4272B">
              <w:rPr>
                <w:sz w:val="14"/>
                <w:szCs w:val="14"/>
                <w:lang w:val="en-US"/>
              </w:rPr>
              <w:t>Ethiopia</w:t>
            </w:r>
          </w:p>
        </w:tc>
        <w:tc>
          <w:tcPr>
            <w:tcW w:w="2504" w:type="dxa"/>
            <w:noWrap/>
            <w:vAlign w:val="center"/>
            <w:hideMark/>
          </w:tcPr>
          <w:p w14:paraId="426F32C5" w14:textId="77777777" w:rsidR="00F3536C" w:rsidRPr="00A4272B" w:rsidRDefault="00F3536C" w:rsidP="00A41632">
            <w:pPr>
              <w:rPr>
                <w:sz w:val="14"/>
                <w:szCs w:val="14"/>
                <w:lang w:val="en-US"/>
              </w:rPr>
            </w:pPr>
            <w:r w:rsidRPr="00A4272B">
              <w:rPr>
                <w:sz w:val="14"/>
                <w:szCs w:val="14"/>
                <w:lang w:val="en-US"/>
              </w:rPr>
              <w:t>Asela</w:t>
            </w:r>
          </w:p>
        </w:tc>
        <w:tc>
          <w:tcPr>
            <w:tcW w:w="998" w:type="dxa"/>
            <w:noWrap/>
            <w:vAlign w:val="center"/>
            <w:hideMark/>
          </w:tcPr>
          <w:p w14:paraId="3EFB9120" w14:textId="77777777" w:rsidR="00F3536C" w:rsidRPr="00A4272B" w:rsidRDefault="00F3536C" w:rsidP="00A41632">
            <w:pPr>
              <w:jc w:val="center"/>
              <w:rPr>
                <w:sz w:val="14"/>
                <w:szCs w:val="14"/>
                <w:lang w:val="en-US"/>
              </w:rPr>
            </w:pPr>
            <w:r w:rsidRPr="00A4272B">
              <w:rPr>
                <w:sz w:val="14"/>
                <w:szCs w:val="14"/>
                <w:lang w:val="en-US"/>
              </w:rPr>
              <w:t>198</w:t>
            </w:r>
          </w:p>
        </w:tc>
        <w:tc>
          <w:tcPr>
            <w:tcW w:w="1342" w:type="dxa"/>
            <w:noWrap/>
            <w:vAlign w:val="center"/>
            <w:hideMark/>
          </w:tcPr>
          <w:p w14:paraId="53FB3F22" w14:textId="77777777" w:rsidR="00F3536C" w:rsidRPr="00A4272B" w:rsidRDefault="00F3536C" w:rsidP="00A41632">
            <w:pPr>
              <w:jc w:val="center"/>
              <w:rPr>
                <w:sz w:val="14"/>
                <w:szCs w:val="14"/>
                <w:lang w:val="en-US"/>
              </w:rPr>
            </w:pPr>
            <w:r w:rsidRPr="00A4272B">
              <w:rPr>
                <w:sz w:val="14"/>
                <w:szCs w:val="14"/>
                <w:lang w:val="en-US"/>
              </w:rPr>
              <w:t>Urban</w:t>
            </w:r>
          </w:p>
        </w:tc>
        <w:tc>
          <w:tcPr>
            <w:tcW w:w="900" w:type="dxa"/>
            <w:noWrap/>
            <w:vAlign w:val="center"/>
            <w:hideMark/>
          </w:tcPr>
          <w:p w14:paraId="68B1D244" w14:textId="77777777" w:rsidR="00F3536C" w:rsidRPr="00A4272B" w:rsidRDefault="00F3536C" w:rsidP="00A41632">
            <w:pPr>
              <w:jc w:val="right"/>
              <w:rPr>
                <w:sz w:val="14"/>
                <w:szCs w:val="14"/>
                <w:lang w:val="en-US"/>
              </w:rPr>
            </w:pPr>
            <w:r w:rsidRPr="00A4272B">
              <w:rPr>
                <w:sz w:val="14"/>
                <w:szCs w:val="14"/>
                <w:lang w:val="en-US"/>
              </w:rPr>
              <w:t>7.950000</w:t>
            </w:r>
          </w:p>
        </w:tc>
        <w:tc>
          <w:tcPr>
            <w:tcW w:w="998" w:type="dxa"/>
            <w:noWrap/>
            <w:vAlign w:val="center"/>
            <w:hideMark/>
          </w:tcPr>
          <w:p w14:paraId="08DC6F85" w14:textId="77777777" w:rsidR="00F3536C" w:rsidRPr="00A4272B" w:rsidRDefault="00F3536C" w:rsidP="00A41632">
            <w:pPr>
              <w:jc w:val="right"/>
              <w:rPr>
                <w:sz w:val="14"/>
                <w:szCs w:val="14"/>
                <w:lang w:val="en-US"/>
              </w:rPr>
            </w:pPr>
            <w:r w:rsidRPr="00A4272B">
              <w:rPr>
                <w:sz w:val="14"/>
                <w:szCs w:val="14"/>
                <w:lang w:val="en-US"/>
              </w:rPr>
              <w:t>39.116670</w:t>
            </w:r>
          </w:p>
        </w:tc>
        <w:tc>
          <w:tcPr>
            <w:tcW w:w="859" w:type="dxa"/>
            <w:tcBorders>
              <w:top w:val="nil"/>
              <w:left w:val="nil"/>
              <w:bottom w:val="nil"/>
              <w:right w:val="single" w:sz="8" w:space="0" w:color="auto"/>
            </w:tcBorders>
            <w:noWrap/>
            <w:vAlign w:val="center"/>
            <w:hideMark/>
          </w:tcPr>
          <w:p w14:paraId="0BAEFB9D" w14:textId="77777777" w:rsidR="00F3536C" w:rsidRPr="00A4272B" w:rsidRDefault="00F3536C" w:rsidP="00A41632">
            <w:pPr>
              <w:jc w:val="center"/>
              <w:rPr>
                <w:sz w:val="14"/>
                <w:szCs w:val="14"/>
                <w:lang w:val="en-US"/>
              </w:rPr>
            </w:pPr>
            <w:r w:rsidRPr="00A4272B">
              <w:rPr>
                <w:sz w:val="14"/>
                <w:szCs w:val="14"/>
                <w:lang w:val="en-US"/>
              </w:rPr>
              <w:t>2327</w:t>
            </w:r>
          </w:p>
        </w:tc>
        <w:tc>
          <w:tcPr>
            <w:tcW w:w="792" w:type="dxa"/>
            <w:noWrap/>
            <w:vAlign w:val="center"/>
            <w:hideMark/>
          </w:tcPr>
          <w:p w14:paraId="52F775A6"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7A69434F"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33481E05"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70B4641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370514B"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16EB982B"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10EC6AFF" w14:textId="77777777" w:rsidTr="00A41632">
        <w:trPr>
          <w:trHeight w:val="288"/>
          <w:jc w:val="center"/>
        </w:trPr>
        <w:tc>
          <w:tcPr>
            <w:tcW w:w="955" w:type="dxa"/>
            <w:tcBorders>
              <w:top w:val="nil"/>
              <w:left w:val="single" w:sz="8" w:space="0" w:color="auto"/>
              <w:bottom w:val="nil"/>
              <w:right w:val="nil"/>
            </w:tcBorders>
            <w:noWrap/>
            <w:vAlign w:val="center"/>
            <w:hideMark/>
          </w:tcPr>
          <w:p w14:paraId="21645AD9" w14:textId="77777777" w:rsidR="00F3536C" w:rsidRPr="00A4272B" w:rsidRDefault="00F3536C" w:rsidP="00A41632">
            <w:pPr>
              <w:rPr>
                <w:sz w:val="14"/>
                <w:szCs w:val="14"/>
                <w:lang w:val="en-US"/>
              </w:rPr>
            </w:pPr>
            <w:r w:rsidRPr="00A4272B">
              <w:rPr>
                <w:sz w:val="14"/>
                <w:szCs w:val="14"/>
                <w:lang w:val="en-US"/>
              </w:rPr>
              <w:t>MONET</w:t>
            </w:r>
          </w:p>
        </w:tc>
        <w:tc>
          <w:tcPr>
            <w:tcW w:w="1391" w:type="dxa"/>
            <w:noWrap/>
            <w:vAlign w:val="center"/>
            <w:hideMark/>
          </w:tcPr>
          <w:p w14:paraId="21FDF660" w14:textId="77777777" w:rsidR="00F3536C" w:rsidRPr="00A4272B" w:rsidRDefault="00F3536C" w:rsidP="00A41632">
            <w:pPr>
              <w:rPr>
                <w:sz w:val="14"/>
                <w:szCs w:val="14"/>
                <w:lang w:val="en-US"/>
              </w:rPr>
            </w:pPr>
            <w:r w:rsidRPr="00A4272B">
              <w:rPr>
                <w:sz w:val="14"/>
                <w:szCs w:val="14"/>
                <w:lang w:val="en-US"/>
              </w:rPr>
              <w:t>Ghana</w:t>
            </w:r>
          </w:p>
        </w:tc>
        <w:tc>
          <w:tcPr>
            <w:tcW w:w="2504" w:type="dxa"/>
            <w:noWrap/>
            <w:vAlign w:val="center"/>
            <w:hideMark/>
          </w:tcPr>
          <w:p w14:paraId="26E1758D" w14:textId="77777777" w:rsidR="00F3536C" w:rsidRPr="00A4272B" w:rsidRDefault="00F3536C" w:rsidP="00A41632">
            <w:pPr>
              <w:rPr>
                <w:sz w:val="14"/>
                <w:szCs w:val="14"/>
                <w:lang w:val="en-US"/>
              </w:rPr>
            </w:pPr>
            <w:r w:rsidRPr="00A4272B">
              <w:rPr>
                <w:sz w:val="14"/>
                <w:szCs w:val="14"/>
                <w:lang w:val="en-US"/>
              </w:rPr>
              <w:t>Abetefi</w:t>
            </w:r>
          </w:p>
        </w:tc>
        <w:tc>
          <w:tcPr>
            <w:tcW w:w="998" w:type="dxa"/>
            <w:noWrap/>
            <w:vAlign w:val="center"/>
            <w:hideMark/>
          </w:tcPr>
          <w:p w14:paraId="3267704D" w14:textId="77777777" w:rsidR="00F3536C" w:rsidRPr="00A4272B" w:rsidRDefault="00F3536C" w:rsidP="00A41632">
            <w:pPr>
              <w:jc w:val="center"/>
              <w:rPr>
                <w:sz w:val="14"/>
                <w:szCs w:val="14"/>
                <w:lang w:val="en-US"/>
              </w:rPr>
            </w:pPr>
            <w:r w:rsidRPr="00A4272B">
              <w:rPr>
                <w:sz w:val="14"/>
                <w:szCs w:val="14"/>
                <w:lang w:val="en-US"/>
              </w:rPr>
              <w:t>780</w:t>
            </w:r>
          </w:p>
        </w:tc>
        <w:tc>
          <w:tcPr>
            <w:tcW w:w="1342" w:type="dxa"/>
            <w:noWrap/>
            <w:vAlign w:val="center"/>
            <w:hideMark/>
          </w:tcPr>
          <w:p w14:paraId="454BF7CA" w14:textId="77777777" w:rsidR="00F3536C" w:rsidRPr="00A4272B" w:rsidRDefault="00F3536C" w:rsidP="00A41632">
            <w:pPr>
              <w:jc w:val="center"/>
              <w:rPr>
                <w:sz w:val="14"/>
                <w:szCs w:val="14"/>
                <w:lang w:val="en-US"/>
              </w:rPr>
            </w:pPr>
            <w:r w:rsidRPr="00A4272B">
              <w:rPr>
                <w:sz w:val="14"/>
                <w:szCs w:val="14"/>
                <w:lang w:val="en-US"/>
              </w:rPr>
              <w:t>-</w:t>
            </w:r>
          </w:p>
        </w:tc>
        <w:tc>
          <w:tcPr>
            <w:tcW w:w="900" w:type="dxa"/>
            <w:noWrap/>
            <w:vAlign w:val="center"/>
            <w:hideMark/>
          </w:tcPr>
          <w:p w14:paraId="0E6DD49B" w14:textId="77777777" w:rsidR="00F3536C" w:rsidRPr="00A4272B" w:rsidRDefault="00F3536C" w:rsidP="00A41632">
            <w:pPr>
              <w:jc w:val="right"/>
              <w:rPr>
                <w:sz w:val="14"/>
                <w:szCs w:val="14"/>
                <w:lang w:val="en-US"/>
              </w:rPr>
            </w:pPr>
            <w:r w:rsidRPr="00A4272B">
              <w:rPr>
                <w:sz w:val="14"/>
                <w:szCs w:val="14"/>
                <w:lang w:val="en-US"/>
              </w:rPr>
              <w:t>6.683330</w:t>
            </w:r>
          </w:p>
        </w:tc>
        <w:tc>
          <w:tcPr>
            <w:tcW w:w="998" w:type="dxa"/>
            <w:noWrap/>
            <w:vAlign w:val="center"/>
            <w:hideMark/>
          </w:tcPr>
          <w:p w14:paraId="2681F815" w14:textId="77777777" w:rsidR="00F3536C" w:rsidRPr="00A4272B" w:rsidRDefault="00F3536C" w:rsidP="00A41632">
            <w:pPr>
              <w:jc w:val="right"/>
              <w:rPr>
                <w:sz w:val="14"/>
                <w:szCs w:val="14"/>
                <w:lang w:val="en-US"/>
              </w:rPr>
            </w:pPr>
            <w:r w:rsidRPr="00A4272B">
              <w:rPr>
                <w:sz w:val="14"/>
                <w:szCs w:val="14"/>
                <w:lang w:val="en-US"/>
              </w:rPr>
              <w:t>-0.750000</w:t>
            </w:r>
          </w:p>
        </w:tc>
        <w:tc>
          <w:tcPr>
            <w:tcW w:w="859" w:type="dxa"/>
            <w:tcBorders>
              <w:top w:val="nil"/>
              <w:left w:val="nil"/>
              <w:bottom w:val="nil"/>
              <w:right w:val="single" w:sz="8" w:space="0" w:color="auto"/>
            </w:tcBorders>
            <w:noWrap/>
            <w:vAlign w:val="center"/>
            <w:hideMark/>
          </w:tcPr>
          <w:p w14:paraId="6316F2D4" w14:textId="77777777" w:rsidR="00F3536C" w:rsidRPr="00A4272B" w:rsidRDefault="00F3536C" w:rsidP="00A41632">
            <w:pPr>
              <w:jc w:val="center"/>
              <w:rPr>
                <w:sz w:val="14"/>
                <w:szCs w:val="14"/>
                <w:lang w:val="en-US"/>
              </w:rPr>
            </w:pPr>
            <w:r w:rsidRPr="00A4272B">
              <w:rPr>
                <w:sz w:val="14"/>
                <w:szCs w:val="14"/>
                <w:lang w:val="en-US"/>
              </w:rPr>
              <w:t>594</w:t>
            </w:r>
          </w:p>
        </w:tc>
        <w:tc>
          <w:tcPr>
            <w:tcW w:w="792" w:type="dxa"/>
            <w:noWrap/>
            <w:vAlign w:val="center"/>
            <w:hideMark/>
          </w:tcPr>
          <w:p w14:paraId="026E8783"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65514D8E"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7B193DCA"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1264733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2A57A39"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114EA3BE"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28812126" w14:textId="77777777" w:rsidTr="00A41632">
        <w:trPr>
          <w:trHeight w:val="288"/>
          <w:jc w:val="center"/>
        </w:trPr>
        <w:tc>
          <w:tcPr>
            <w:tcW w:w="955" w:type="dxa"/>
            <w:tcBorders>
              <w:top w:val="nil"/>
              <w:left w:val="single" w:sz="8" w:space="0" w:color="auto"/>
              <w:bottom w:val="nil"/>
              <w:right w:val="nil"/>
            </w:tcBorders>
            <w:noWrap/>
            <w:vAlign w:val="center"/>
            <w:hideMark/>
          </w:tcPr>
          <w:p w14:paraId="58D16A3D" w14:textId="77777777" w:rsidR="00F3536C" w:rsidRPr="00A4272B" w:rsidRDefault="00F3536C" w:rsidP="00A41632">
            <w:pPr>
              <w:rPr>
                <w:sz w:val="14"/>
                <w:szCs w:val="14"/>
                <w:lang w:val="en-US"/>
              </w:rPr>
            </w:pPr>
            <w:r w:rsidRPr="00A4272B">
              <w:rPr>
                <w:sz w:val="14"/>
                <w:szCs w:val="14"/>
                <w:lang w:val="en-US"/>
              </w:rPr>
              <w:t>MONET</w:t>
            </w:r>
          </w:p>
        </w:tc>
        <w:tc>
          <w:tcPr>
            <w:tcW w:w="1391" w:type="dxa"/>
            <w:noWrap/>
            <w:vAlign w:val="center"/>
            <w:hideMark/>
          </w:tcPr>
          <w:p w14:paraId="74E58970" w14:textId="77777777" w:rsidR="00F3536C" w:rsidRPr="00A4272B" w:rsidRDefault="00F3536C" w:rsidP="00A41632">
            <w:pPr>
              <w:rPr>
                <w:sz w:val="14"/>
                <w:szCs w:val="14"/>
                <w:lang w:val="en-US"/>
              </w:rPr>
            </w:pPr>
            <w:r w:rsidRPr="00A4272B">
              <w:rPr>
                <w:sz w:val="14"/>
                <w:szCs w:val="14"/>
                <w:lang w:val="en-US"/>
              </w:rPr>
              <w:t>Kenya</w:t>
            </w:r>
          </w:p>
        </w:tc>
        <w:tc>
          <w:tcPr>
            <w:tcW w:w="2504" w:type="dxa"/>
            <w:noWrap/>
            <w:vAlign w:val="center"/>
            <w:hideMark/>
          </w:tcPr>
          <w:p w14:paraId="24D68161" w14:textId="77777777" w:rsidR="00F3536C" w:rsidRPr="00A4272B" w:rsidRDefault="00F3536C" w:rsidP="00A41632">
            <w:pPr>
              <w:rPr>
                <w:sz w:val="14"/>
                <w:szCs w:val="14"/>
                <w:lang w:val="en-US"/>
              </w:rPr>
            </w:pPr>
            <w:r w:rsidRPr="00A4272B">
              <w:rPr>
                <w:sz w:val="14"/>
                <w:szCs w:val="14"/>
                <w:lang w:val="en-US"/>
              </w:rPr>
              <w:t>Mt. Kenya</w:t>
            </w:r>
          </w:p>
        </w:tc>
        <w:tc>
          <w:tcPr>
            <w:tcW w:w="998" w:type="dxa"/>
            <w:noWrap/>
            <w:vAlign w:val="center"/>
            <w:hideMark/>
          </w:tcPr>
          <w:p w14:paraId="542E2B19" w14:textId="77777777" w:rsidR="00F3536C" w:rsidRPr="00A4272B" w:rsidRDefault="00F3536C" w:rsidP="00A41632">
            <w:pPr>
              <w:jc w:val="center"/>
              <w:rPr>
                <w:sz w:val="14"/>
                <w:szCs w:val="14"/>
                <w:lang w:val="en-US"/>
              </w:rPr>
            </w:pPr>
            <w:r w:rsidRPr="00A4272B">
              <w:rPr>
                <w:sz w:val="14"/>
                <w:szCs w:val="14"/>
                <w:lang w:val="en-US"/>
              </w:rPr>
              <w:t>221</w:t>
            </w:r>
          </w:p>
        </w:tc>
        <w:tc>
          <w:tcPr>
            <w:tcW w:w="1342" w:type="dxa"/>
            <w:noWrap/>
            <w:vAlign w:val="center"/>
            <w:hideMark/>
          </w:tcPr>
          <w:p w14:paraId="0A383527" w14:textId="77777777" w:rsidR="00F3536C" w:rsidRPr="00A4272B" w:rsidRDefault="00F3536C" w:rsidP="00A41632">
            <w:pPr>
              <w:jc w:val="center"/>
              <w:rPr>
                <w:sz w:val="14"/>
                <w:szCs w:val="14"/>
                <w:lang w:val="en-US"/>
              </w:rPr>
            </w:pPr>
            <w:r w:rsidRPr="00A4272B">
              <w:rPr>
                <w:sz w:val="14"/>
                <w:szCs w:val="14"/>
                <w:lang w:val="en-US"/>
              </w:rPr>
              <w:t>Remote</w:t>
            </w:r>
          </w:p>
        </w:tc>
        <w:tc>
          <w:tcPr>
            <w:tcW w:w="900" w:type="dxa"/>
            <w:noWrap/>
            <w:vAlign w:val="center"/>
            <w:hideMark/>
          </w:tcPr>
          <w:p w14:paraId="295BCF31" w14:textId="77777777" w:rsidR="00F3536C" w:rsidRPr="00A4272B" w:rsidRDefault="00F3536C" w:rsidP="00A41632">
            <w:pPr>
              <w:jc w:val="right"/>
              <w:rPr>
                <w:sz w:val="14"/>
                <w:szCs w:val="14"/>
                <w:lang w:val="en-US"/>
              </w:rPr>
            </w:pPr>
            <w:r w:rsidRPr="00A4272B">
              <w:rPr>
                <w:sz w:val="14"/>
                <w:szCs w:val="14"/>
                <w:lang w:val="en-US"/>
              </w:rPr>
              <w:t>-0.030000</w:t>
            </w:r>
          </w:p>
        </w:tc>
        <w:tc>
          <w:tcPr>
            <w:tcW w:w="998" w:type="dxa"/>
            <w:noWrap/>
            <w:vAlign w:val="center"/>
            <w:hideMark/>
          </w:tcPr>
          <w:p w14:paraId="42286337" w14:textId="77777777" w:rsidR="00F3536C" w:rsidRPr="00A4272B" w:rsidRDefault="00F3536C" w:rsidP="00A41632">
            <w:pPr>
              <w:jc w:val="right"/>
              <w:rPr>
                <w:sz w:val="14"/>
                <w:szCs w:val="14"/>
                <w:lang w:val="en-US"/>
              </w:rPr>
            </w:pPr>
            <w:r w:rsidRPr="00A4272B">
              <w:rPr>
                <w:sz w:val="14"/>
                <w:szCs w:val="14"/>
                <w:lang w:val="en-US"/>
              </w:rPr>
              <w:t>37.220000</w:t>
            </w:r>
          </w:p>
        </w:tc>
        <w:tc>
          <w:tcPr>
            <w:tcW w:w="859" w:type="dxa"/>
            <w:tcBorders>
              <w:top w:val="nil"/>
              <w:left w:val="nil"/>
              <w:bottom w:val="nil"/>
              <w:right w:val="single" w:sz="8" w:space="0" w:color="auto"/>
            </w:tcBorders>
            <w:noWrap/>
            <w:vAlign w:val="center"/>
            <w:hideMark/>
          </w:tcPr>
          <w:p w14:paraId="22731BB6" w14:textId="77777777" w:rsidR="00F3536C" w:rsidRPr="00A4272B" w:rsidRDefault="00F3536C" w:rsidP="00A41632">
            <w:pPr>
              <w:jc w:val="center"/>
              <w:rPr>
                <w:sz w:val="14"/>
                <w:szCs w:val="14"/>
                <w:lang w:val="en-US"/>
              </w:rPr>
            </w:pPr>
            <w:r w:rsidRPr="00A4272B">
              <w:rPr>
                <w:sz w:val="14"/>
                <w:szCs w:val="14"/>
                <w:lang w:val="en-US"/>
              </w:rPr>
              <w:t>3678</w:t>
            </w:r>
          </w:p>
        </w:tc>
        <w:tc>
          <w:tcPr>
            <w:tcW w:w="792" w:type="dxa"/>
            <w:noWrap/>
            <w:vAlign w:val="center"/>
            <w:hideMark/>
          </w:tcPr>
          <w:p w14:paraId="34FAC9B8"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14195EF4"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2C5C7894"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728A999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A33D954"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42253578"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1AFDC5E2" w14:textId="77777777" w:rsidTr="00A41632">
        <w:trPr>
          <w:trHeight w:val="288"/>
          <w:jc w:val="center"/>
        </w:trPr>
        <w:tc>
          <w:tcPr>
            <w:tcW w:w="955" w:type="dxa"/>
            <w:tcBorders>
              <w:top w:val="nil"/>
              <w:left w:val="single" w:sz="8" w:space="0" w:color="auto"/>
              <w:bottom w:val="nil"/>
              <w:right w:val="nil"/>
            </w:tcBorders>
            <w:noWrap/>
            <w:vAlign w:val="center"/>
            <w:hideMark/>
          </w:tcPr>
          <w:p w14:paraId="7CE17F80" w14:textId="77777777" w:rsidR="00F3536C" w:rsidRPr="00A4272B" w:rsidRDefault="00F3536C" w:rsidP="00A41632">
            <w:pPr>
              <w:rPr>
                <w:sz w:val="14"/>
                <w:szCs w:val="14"/>
                <w:lang w:val="en-US"/>
              </w:rPr>
            </w:pPr>
            <w:r w:rsidRPr="00A4272B">
              <w:rPr>
                <w:sz w:val="14"/>
                <w:szCs w:val="14"/>
                <w:lang w:val="en-US"/>
              </w:rPr>
              <w:t>MONET</w:t>
            </w:r>
          </w:p>
        </w:tc>
        <w:tc>
          <w:tcPr>
            <w:tcW w:w="1391" w:type="dxa"/>
            <w:noWrap/>
            <w:vAlign w:val="center"/>
            <w:hideMark/>
          </w:tcPr>
          <w:p w14:paraId="71E54363" w14:textId="77777777" w:rsidR="00F3536C" w:rsidRPr="00A4272B" w:rsidRDefault="00F3536C" w:rsidP="00A41632">
            <w:pPr>
              <w:rPr>
                <w:sz w:val="14"/>
                <w:szCs w:val="14"/>
                <w:lang w:val="en-US"/>
              </w:rPr>
            </w:pPr>
            <w:r w:rsidRPr="00A4272B">
              <w:rPr>
                <w:sz w:val="14"/>
                <w:szCs w:val="14"/>
                <w:lang w:val="en-US"/>
              </w:rPr>
              <w:t>Mauritius</w:t>
            </w:r>
          </w:p>
        </w:tc>
        <w:tc>
          <w:tcPr>
            <w:tcW w:w="2504" w:type="dxa"/>
            <w:noWrap/>
            <w:vAlign w:val="center"/>
            <w:hideMark/>
          </w:tcPr>
          <w:p w14:paraId="035730C5" w14:textId="77777777" w:rsidR="00F3536C" w:rsidRPr="00A4272B" w:rsidRDefault="00F3536C" w:rsidP="00A41632">
            <w:pPr>
              <w:rPr>
                <w:sz w:val="14"/>
                <w:szCs w:val="14"/>
                <w:lang w:val="en-US"/>
              </w:rPr>
            </w:pPr>
            <w:r w:rsidRPr="00A4272B">
              <w:rPr>
                <w:sz w:val="14"/>
                <w:szCs w:val="14"/>
                <w:lang w:val="en-US"/>
              </w:rPr>
              <w:t>Reduit</w:t>
            </w:r>
          </w:p>
        </w:tc>
        <w:tc>
          <w:tcPr>
            <w:tcW w:w="998" w:type="dxa"/>
            <w:noWrap/>
            <w:vAlign w:val="center"/>
            <w:hideMark/>
          </w:tcPr>
          <w:p w14:paraId="42F69629" w14:textId="77777777" w:rsidR="00F3536C" w:rsidRPr="00A4272B" w:rsidRDefault="00F3536C" w:rsidP="00A41632">
            <w:pPr>
              <w:jc w:val="center"/>
              <w:rPr>
                <w:sz w:val="14"/>
                <w:szCs w:val="14"/>
                <w:lang w:val="en-US"/>
              </w:rPr>
            </w:pPr>
            <w:r w:rsidRPr="00A4272B">
              <w:rPr>
                <w:sz w:val="14"/>
                <w:szCs w:val="14"/>
                <w:lang w:val="en-US"/>
              </w:rPr>
              <w:t>246</w:t>
            </w:r>
          </w:p>
        </w:tc>
        <w:tc>
          <w:tcPr>
            <w:tcW w:w="1342" w:type="dxa"/>
            <w:noWrap/>
            <w:vAlign w:val="center"/>
            <w:hideMark/>
          </w:tcPr>
          <w:p w14:paraId="08EB7D43" w14:textId="77777777" w:rsidR="00F3536C" w:rsidRPr="00A4272B" w:rsidRDefault="00F3536C" w:rsidP="00A41632">
            <w:pPr>
              <w:jc w:val="center"/>
              <w:rPr>
                <w:sz w:val="14"/>
                <w:szCs w:val="14"/>
                <w:lang w:val="en-US"/>
              </w:rPr>
            </w:pPr>
            <w:r w:rsidRPr="00A4272B">
              <w:rPr>
                <w:sz w:val="14"/>
                <w:szCs w:val="14"/>
                <w:lang w:val="en-US"/>
              </w:rPr>
              <w:t>Suburban</w:t>
            </w:r>
          </w:p>
        </w:tc>
        <w:tc>
          <w:tcPr>
            <w:tcW w:w="900" w:type="dxa"/>
            <w:noWrap/>
            <w:vAlign w:val="center"/>
            <w:hideMark/>
          </w:tcPr>
          <w:p w14:paraId="4D312910" w14:textId="77777777" w:rsidR="00F3536C" w:rsidRPr="00A4272B" w:rsidRDefault="00F3536C" w:rsidP="00A41632">
            <w:pPr>
              <w:jc w:val="right"/>
              <w:rPr>
                <w:sz w:val="14"/>
                <w:szCs w:val="14"/>
                <w:lang w:val="en-US"/>
              </w:rPr>
            </w:pPr>
            <w:r w:rsidRPr="00A4272B">
              <w:rPr>
                <w:sz w:val="14"/>
                <w:szCs w:val="14"/>
                <w:lang w:val="en-US"/>
              </w:rPr>
              <w:t>-20.233200</w:t>
            </w:r>
          </w:p>
        </w:tc>
        <w:tc>
          <w:tcPr>
            <w:tcW w:w="998" w:type="dxa"/>
            <w:noWrap/>
            <w:vAlign w:val="center"/>
            <w:hideMark/>
          </w:tcPr>
          <w:p w14:paraId="72012DB7" w14:textId="77777777" w:rsidR="00F3536C" w:rsidRPr="00A4272B" w:rsidRDefault="00F3536C" w:rsidP="00A41632">
            <w:pPr>
              <w:jc w:val="right"/>
              <w:rPr>
                <w:sz w:val="14"/>
                <w:szCs w:val="14"/>
                <w:lang w:val="en-US"/>
              </w:rPr>
            </w:pPr>
            <w:r w:rsidRPr="00A4272B">
              <w:rPr>
                <w:sz w:val="14"/>
                <w:szCs w:val="14"/>
                <w:lang w:val="en-US"/>
              </w:rPr>
              <w:t>57.498490</w:t>
            </w:r>
          </w:p>
        </w:tc>
        <w:tc>
          <w:tcPr>
            <w:tcW w:w="859" w:type="dxa"/>
            <w:tcBorders>
              <w:top w:val="nil"/>
              <w:left w:val="nil"/>
              <w:bottom w:val="nil"/>
              <w:right w:val="single" w:sz="8" w:space="0" w:color="auto"/>
            </w:tcBorders>
            <w:noWrap/>
            <w:vAlign w:val="center"/>
            <w:hideMark/>
          </w:tcPr>
          <w:p w14:paraId="3243BCB1" w14:textId="77777777" w:rsidR="00F3536C" w:rsidRPr="00A4272B" w:rsidRDefault="00F3536C" w:rsidP="00A41632">
            <w:pPr>
              <w:jc w:val="center"/>
              <w:rPr>
                <w:sz w:val="14"/>
                <w:szCs w:val="14"/>
                <w:lang w:val="en-US"/>
              </w:rPr>
            </w:pPr>
            <w:r w:rsidRPr="00A4272B">
              <w:rPr>
                <w:sz w:val="14"/>
                <w:szCs w:val="14"/>
                <w:lang w:val="en-US"/>
              </w:rPr>
              <w:t>310</w:t>
            </w:r>
          </w:p>
        </w:tc>
        <w:tc>
          <w:tcPr>
            <w:tcW w:w="792" w:type="dxa"/>
            <w:noWrap/>
            <w:vAlign w:val="center"/>
            <w:hideMark/>
          </w:tcPr>
          <w:p w14:paraId="6BAAABD6"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0D8F3345"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49AEA1BA"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4B7F373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A76CA64"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6A3F571C"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461EE247" w14:textId="77777777" w:rsidTr="00A41632">
        <w:trPr>
          <w:trHeight w:val="288"/>
          <w:jc w:val="center"/>
        </w:trPr>
        <w:tc>
          <w:tcPr>
            <w:tcW w:w="955" w:type="dxa"/>
            <w:tcBorders>
              <w:top w:val="nil"/>
              <w:left w:val="single" w:sz="8" w:space="0" w:color="auto"/>
              <w:bottom w:val="nil"/>
              <w:right w:val="nil"/>
            </w:tcBorders>
            <w:noWrap/>
            <w:vAlign w:val="center"/>
            <w:hideMark/>
          </w:tcPr>
          <w:p w14:paraId="149D3A7B" w14:textId="77777777" w:rsidR="00F3536C" w:rsidRPr="00A4272B" w:rsidRDefault="00F3536C" w:rsidP="00A41632">
            <w:pPr>
              <w:rPr>
                <w:sz w:val="14"/>
                <w:szCs w:val="14"/>
                <w:lang w:val="en-US"/>
              </w:rPr>
            </w:pPr>
            <w:r w:rsidRPr="00A4272B">
              <w:rPr>
                <w:sz w:val="14"/>
                <w:szCs w:val="14"/>
                <w:lang w:val="en-US"/>
              </w:rPr>
              <w:t>MONET</w:t>
            </w:r>
          </w:p>
        </w:tc>
        <w:tc>
          <w:tcPr>
            <w:tcW w:w="1391" w:type="dxa"/>
            <w:noWrap/>
            <w:vAlign w:val="center"/>
            <w:hideMark/>
          </w:tcPr>
          <w:p w14:paraId="6ED9502E" w14:textId="77777777" w:rsidR="00F3536C" w:rsidRPr="00A4272B" w:rsidRDefault="00F3536C" w:rsidP="00A41632">
            <w:pPr>
              <w:rPr>
                <w:sz w:val="14"/>
                <w:szCs w:val="14"/>
                <w:lang w:val="en-US"/>
              </w:rPr>
            </w:pPr>
            <w:r w:rsidRPr="00A4272B">
              <w:rPr>
                <w:sz w:val="14"/>
                <w:szCs w:val="14"/>
                <w:lang w:val="en-US"/>
              </w:rPr>
              <w:t>Morocco</w:t>
            </w:r>
          </w:p>
        </w:tc>
        <w:tc>
          <w:tcPr>
            <w:tcW w:w="2504" w:type="dxa"/>
            <w:noWrap/>
            <w:vAlign w:val="center"/>
            <w:hideMark/>
          </w:tcPr>
          <w:p w14:paraId="21E5EA33" w14:textId="77777777" w:rsidR="00F3536C" w:rsidRPr="00A4272B" w:rsidRDefault="00F3536C" w:rsidP="00A41632">
            <w:pPr>
              <w:rPr>
                <w:sz w:val="14"/>
                <w:szCs w:val="14"/>
                <w:lang w:val="en-US"/>
              </w:rPr>
            </w:pPr>
            <w:r w:rsidRPr="00A4272B">
              <w:rPr>
                <w:sz w:val="14"/>
                <w:szCs w:val="14"/>
                <w:lang w:val="en-US"/>
              </w:rPr>
              <w:t>Morocco Observatory</w:t>
            </w:r>
          </w:p>
        </w:tc>
        <w:tc>
          <w:tcPr>
            <w:tcW w:w="998" w:type="dxa"/>
            <w:noWrap/>
            <w:vAlign w:val="center"/>
            <w:hideMark/>
          </w:tcPr>
          <w:p w14:paraId="0C56792D" w14:textId="77777777" w:rsidR="00F3536C" w:rsidRPr="00A4272B" w:rsidRDefault="00F3536C" w:rsidP="00A41632">
            <w:pPr>
              <w:jc w:val="center"/>
              <w:rPr>
                <w:sz w:val="14"/>
                <w:szCs w:val="14"/>
                <w:lang w:val="en-US"/>
              </w:rPr>
            </w:pPr>
            <w:r w:rsidRPr="00A4272B">
              <w:rPr>
                <w:sz w:val="14"/>
                <w:szCs w:val="14"/>
                <w:lang w:val="en-US"/>
              </w:rPr>
              <w:t>4026</w:t>
            </w:r>
          </w:p>
        </w:tc>
        <w:tc>
          <w:tcPr>
            <w:tcW w:w="1342" w:type="dxa"/>
            <w:noWrap/>
            <w:vAlign w:val="center"/>
            <w:hideMark/>
          </w:tcPr>
          <w:p w14:paraId="6C73743C" w14:textId="77777777" w:rsidR="00F3536C" w:rsidRPr="00A4272B" w:rsidRDefault="00F3536C" w:rsidP="00A41632">
            <w:pPr>
              <w:jc w:val="center"/>
              <w:rPr>
                <w:sz w:val="14"/>
                <w:szCs w:val="14"/>
                <w:lang w:val="en-US"/>
              </w:rPr>
            </w:pPr>
            <w:r w:rsidRPr="00A4272B">
              <w:rPr>
                <w:sz w:val="14"/>
                <w:szCs w:val="14"/>
                <w:lang w:val="en-US"/>
              </w:rPr>
              <w:t>-</w:t>
            </w:r>
          </w:p>
        </w:tc>
        <w:tc>
          <w:tcPr>
            <w:tcW w:w="900" w:type="dxa"/>
            <w:noWrap/>
            <w:vAlign w:val="center"/>
            <w:hideMark/>
          </w:tcPr>
          <w:p w14:paraId="243F072D" w14:textId="77777777" w:rsidR="00F3536C" w:rsidRPr="00A4272B" w:rsidRDefault="00F3536C" w:rsidP="00A41632">
            <w:pPr>
              <w:jc w:val="right"/>
              <w:rPr>
                <w:sz w:val="14"/>
                <w:szCs w:val="14"/>
                <w:lang w:val="en-US"/>
              </w:rPr>
            </w:pPr>
            <w:r w:rsidRPr="00A4272B">
              <w:rPr>
                <w:sz w:val="14"/>
                <w:szCs w:val="14"/>
                <w:lang w:val="en-US"/>
              </w:rPr>
              <w:t>33.925000</w:t>
            </w:r>
          </w:p>
        </w:tc>
        <w:tc>
          <w:tcPr>
            <w:tcW w:w="998" w:type="dxa"/>
            <w:noWrap/>
            <w:vAlign w:val="center"/>
            <w:hideMark/>
          </w:tcPr>
          <w:p w14:paraId="21031A0C" w14:textId="77777777" w:rsidR="00F3536C" w:rsidRPr="00A4272B" w:rsidRDefault="00F3536C" w:rsidP="00A41632">
            <w:pPr>
              <w:jc w:val="right"/>
              <w:rPr>
                <w:sz w:val="14"/>
                <w:szCs w:val="14"/>
                <w:lang w:val="en-US"/>
              </w:rPr>
            </w:pPr>
            <w:r w:rsidRPr="00A4272B">
              <w:rPr>
                <w:sz w:val="14"/>
                <w:szCs w:val="14"/>
                <w:lang w:val="en-US"/>
              </w:rPr>
              <w:t>-6.758000</w:t>
            </w:r>
          </w:p>
        </w:tc>
        <w:tc>
          <w:tcPr>
            <w:tcW w:w="859" w:type="dxa"/>
            <w:tcBorders>
              <w:top w:val="nil"/>
              <w:left w:val="nil"/>
              <w:bottom w:val="nil"/>
              <w:right w:val="single" w:sz="8" w:space="0" w:color="auto"/>
            </w:tcBorders>
            <w:noWrap/>
            <w:vAlign w:val="center"/>
            <w:hideMark/>
          </w:tcPr>
          <w:p w14:paraId="0F0B09E4" w14:textId="77777777" w:rsidR="00F3536C" w:rsidRPr="00A4272B" w:rsidRDefault="00F3536C" w:rsidP="00A41632">
            <w:pPr>
              <w:jc w:val="center"/>
              <w:rPr>
                <w:sz w:val="14"/>
                <w:szCs w:val="14"/>
                <w:lang w:val="en-US"/>
              </w:rPr>
            </w:pPr>
            <w:r w:rsidRPr="00A4272B">
              <w:rPr>
                <w:sz w:val="14"/>
                <w:szCs w:val="14"/>
                <w:lang w:val="en-US"/>
              </w:rPr>
              <w:t>-</w:t>
            </w:r>
          </w:p>
        </w:tc>
        <w:tc>
          <w:tcPr>
            <w:tcW w:w="792" w:type="dxa"/>
            <w:noWrap/>
            <w:vAlign w:val="center"/>
            <w:hideMark/>
          </w:tcPr>
          <w:p w14:paraId="358726E7"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1CEC32CD"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2C65B5DF"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54FEE5D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1C4E517"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099577BA" w14:textId="77777777" w:rsidR="00F3536C" w:rsidRPr="00A4272B" w:rsidRDefault="00F3536C" w:rsidP="00A41632">
            <w:pPr>
              <w:jc w:val="center"/>
              <w:rPr>
                <w:sz w:val="14"/>
                <w:szCs w:val="14"/>
                <w:lang w:val="en-US"/>
              </w:rPr>
            </w:pPr>
            <w:r w:rsidRPr="00A4272B">
              <w:rPr>
                <w:sz w:val="14"/>
                <w:szCs w:val="14"/>
                <w:lang w:val="en-US"/>
              </w:rPr>
              <w:t>2014</w:t>
            </w:r>
          </w:p>
        </w:tc>
      </w:tr>
      <w:tr w:rsidR="00F3536C" w:rsidRPr="00A4272B" w14:paraId="51B3A397" w14:textId="77777777" w:rsidTr="00A41632">
        <w:trPr>
          <w:trHeight w:val="288"/>
          <w:jc w:val="center"/>
        </w:trPr>
        <w:tc>
          <w:tcPr>
            <w:tcW w:w="955" w:type="dxa"/>
            <w:tcBorders>
              <w:top w:val="nil"/>
              <w:left w:val="single" w:sz="8" w:space="0" w:color="auto"/>
              <w:bottom w:val="nil"/>
              <w:right w:val="nil"/>
            </w:tcBorders>
            <w:noWrap/>
            <w:vAlign w:val="center"/>
            <w:hideMark/>
          </w:tcPr>
          <w:p w14:paraId="29DB911D" w14:textId="77777777" w:rsidR="00F3536C" w:rsidRPr="00A4272B" w:rsidRDefault="00F3536C" w:rsidP="00A41632">
            <w:pPr>
              <w:rPr>
                <w:sz w:val="14"/>
                <w:szCs w:val="14"/>
                <w:lang w:val="en-US"/>
              </w:rPr>
            </w:pPr>
            <w:r w:rsidRPr="00A4272B">
              <w:rPr>
                <w:sz w:val="14"/>
                <w:szCs w:val="14"/>
                <w:lang w:val="en-US"/>
              </w:rPr>
              <w:t>MONET</w:t>
            </w:r>
          </w:p>
        </w:tc>
        <w:tc>
          <w:tcPr>
            <w:tcW w:w="1391" w:type="dxa"/>
            <w:noWrap/>
            <w:vAlign w:val="center"/>
            <w:hideMark/>
          </w:tcPr>
          <w:p w14:paraId="675ADEC6" w14:textId="77777777" w:rsidR="00F3536C" w:rsidRPr="00A4272B" w:rsidRDefault="00F3536C" w:rsidP="00A41632">
            <w:pPr>
              <w:rPr>
                <w:sz w:val="14"/>
                <w:szCs w:val="14"/>
                <w:lang w:val="en-US"/>
              </w:rPr>
            </w:pPr>
            <w:r w:rsidRPr="00A4272B">
              <w:rPr>
                <w:sz w:val="14"/>
                <w:szCs w:val="14"/>
                <w:lang w:val="en-US"/>
              </w:rPr>
              <w:t>Nigeria</w:t>
            </w:r>
          </w:p>
        </w:tc>
        <w:tc>
          <w:tcPr>
            <w:tcW w:w="2504" w:type="dxa"/>
            <w:noWrap/>
            <w:vAlign w:val="center"/>
            <w:hideMark/>
          </w:tcPr>
          <w:p w14:paraId="24213895" w14:textId="77777777" w:rsidR="00F3536C" w:rsidRPr="00A4272B" w:rsidRDefault="00F3536C" w:rsidP="00A41632">
            <w:pPr>
              <w:rPr>
                <w:sz w:val="14"/>
                <w:szCs w:val="14"/>
                <w:lang w:val="en-US"/>
              </w:rPr>
            </w:pPr>
            <w:r w:rsidRPr="00A4272B">
              <w:rPr>
                <w:sz w:val="14"/>
                <w:szCs w:val="14"/>
                <w:lang w:val="en-US"/>
              </w:rPr>
              <w:t>Sheda</w:t>
            </w:r>
          </w:p>
        </w:tc>
        <w:tc>
          <w:tcPr>
            <w:tcW w:w="998" w:type="dxa"/>
            <w:noWrap/>
            <w:vAlign w:val="center"/>
            <w:hideMark/>
          </w:tcPr>
          <w:p w14:paraId="29848020" w14:textId="77777777" w:rsidR="00F3536C" w:rsidRPr="00A4272B" w:rsidRDefault="00F3536C" w:rsidP="00A41632">
            <w:pPr>
              <w:jc w:val="center"/>
              <w:rPr>
                <w:sz w:val="14"/>
                <w:szCs w:val="14"/>
                <w:lang w:val="en-US"/>
              </w:rPr>
            </w:pPr>
            <w:r w:rsidRPr="00A4272B">
              <w:rPr>
                <w:sz w:val="14"/>
                <w:szCs w:val="14"/>
                <w:lang w:val="en-US"/>
              </w:rPr>
              <w:t>267</w:t>
            </w:r>
          </w:p>
        </w:tc>
        <w:tc>
          <w:tcPr>
            <w:tcW w:w="1342" w:type="dxa"/>
            <w:noWrap/>
            <w:vAlign w:val="center"/>
            <w:hideMark/>
          </w:tcPr>
          <w:p w14:paraId="5B3416DA" w14:textId="77777777" w:rsidR="00F3536C" w:rsidRPr="00A4272B" w:rsidRDefault="00F3536C" w:rsidP="00A41632">
            <w:pPr>
              <w:jc w:val="center"/>
              <w:rPr>
                <w:sz w:val="14"/>
                <w:szCs w:val="14"/>
                <w:lang w:val="en-US"/>
              </w:rPr>
            </w:pPr>
            <w:r w:rsidRPr="00A4272B">
              <w:rPr>
                <w:sz w:val="14"/>
                <w:szCs w:val="14"/>
                <w:lang w:val="en-US"/>
              </w:rPr>
              <w:t>Suburban</w:t>
            </w:r>
          </w:p>
        </w:tc>
        <w:tc>
          <w:tcPr>
            <w:tcW w:w="900" w:type="dxa"/>
            <w:noWrap/>
            <w:vAlign w:val="center"/>
            <w:hideMark/>
          </w:tcPr>
          <w:p w14:paraId="785D911E" w14:textId="77777777" w:rsidR="00F3536C" w:rsidRPr="00A4272B" w:rsidRDefault="00F3536C" w:rsidP="00A41632">
            <w:pPr>
              <w:jc w:val="right"/>
              <w:rPr>
                <w:sz w:val="14"/>
                <w:szCs w:val="14"/>
                <w:lang w:val="en-US"/>
              </w:rPr>
            </w:pPr>
            <w:r w:rsidRPr="00A4272B">
              <w:rPr>
                <w:sz w:val="14"/>
                <w:szCs w:val="14"/>
                <w:lang w:val="en-US"/>
              </w:rPr>
              <w:t>8.881000</w:t>
            </w:r>
          </w:p>
        </w:tc>
        <w:tc>
          <w:tcPr>
            <w:tcW w:w="998" w:type="dxa"/>
            <w:noWrap/>
            <w:vAlign w:val="center"/>
            <w:hideMark/>
          </w:tcPr>
          <w:p w14:paraId="389529A1" w14:textId="77777777" w:rsidR="00F3536C" w:rsidRPr="00A4272B" w:rsidRDefault="00F3536C" w:rsidP="00A41632">
            <w:pPr>
              <w:jc w:val="right"/>
              <w:rPr>
                <w:sz w:val="14"/>
                <w:szCs w:val="14"/>
                <w:lang w:val="en-US"/>
              </w:rPr>
            </w:pPr>
            <w:r w:rsidRPr="00A4272B">
              <w:rPr>
                <w:sz w:val="14"/>
                <w:szCs w:val="14"/>
                <w:lang w:val="en-US"/>
              </w:rPr>
              <w:t>7.062167</w:t>
            </w:r>
          </w:p>
        </w:tc>
        <w:tc>
          <w:tcPr>
            <w:tcW w:w="859" w:type="dxa"/>
            <w:tcBorders>
              <w:top w:val="nil"/>
              <w:left w:val="nil"/>
              <w:bottom w:val="nil"/>
              <w:right w:val="single" w:sz="8" w:space="0" w:color="auto"/>
            </w:tcBorders>
            <w:noWrap/>
            <w:vAlign w:val="center"/>
            <w:hideMark/>
          </w:tcPr>
          <w:p w14:paraId="4D6AD789" w14:textId="77777777" w:rsidR="00F3536C" w:rsidRPr="00A4272B" w:rsidRDefault="00F3536C" w:rsidP="00A41632">
            <w:pPr>
              <w:jc w:val="center"/>
              <w:rPr>
                <w:sz w:val="14"/>
                <w:szCs w:val="14"/>
                <w:lang w:val="en-US"/>
              </w:rPr>
            </w:pPr>
            <w:r w:rsidRPr="00A4272B">
              <w:rPr>
                <w:sz w:val="14"/>
                <w:szCs w:val="14"/>
                <w:lang w:val="en-US"/>
              </w:rPr>
              <w:t>229</w:t>
            </w:r>
          </w:p>
        </w:tc>
        <w:tc>
          <w:tcPr>
            <w:tcW w:w="792" w:type="dxa"/>
            <w:noWrap/>
            <w:vAlign w:val="center"/>
            <w:hideMark/>
          </w:tcPr>
          <w:p w14:paraId="16DB78A4" w14:textId="77777777" w:rsidR="00F3536C" w:rsidRPr="00A4272B" w:rsidRDefault="00F3536C" w:rsidP="00A41632">
            <w:pPr>
              <w:jc w:val="center"/>
              <w:rPr>
                <w:sz w:val="14"/>
                <w:szCs w:val="14"/>
                <w:lang w:val="en-US"/>
              </w:rPr>
            </w:pPr>
            <w:r w:rsidRPr="00A4272B">
              <w:rPr>
                <w:sz w:val="14"/>
                <w:szCs w:val="14"/>
                <w:lang w:val="en-US"/>
              </w:rPr>
              <w:t>Passive</w:t>
            </w:r>
          </w:p>
        </w:tc>
        <w:tc>
          <w:tcPr>
            <w:tcW w:w="590" w:type="dxa"/>
            <w:noWrap/>
            <w:vAlign w:val="center"/>
            <w:hideMark/>
          </w:tcPr>
          <w:p w14:paraId="7CAFE532" w14:textId="77777777" w:rsidR="00F3536C" w:rsidRPr="00A4272B" w:rsidRDefault="00F3536C" w:rsidP="00A41632">
            <w:pPr>
              <w:jc w:val="center"/>
              <w:rPr>
                <w:sz w:val="14"/>
                <w:szCs w:val="14"/>
                <w:lang w:val="en-US"/>
              </w:rPr>
            </w:pPr>
            <w:r w:rsidRPr="00A4272B">
              <w:rPr>
                <w:sz w:val="14"/>
                <w:szCs w:val="14"/>
                <w:lang w:val="en-US"/>
              </w:rPr>
              <w:t>PUF</w:t>
            </w:r>
          </w:p>
        </w:tc>
        <w:tc>
          <w:tcPr>
            <w:tcW w:w="937" w:type="dxa"/>
            <w:noWrap/>
            <w:vAlign w:val="center"/>
            <w:hideMark/>
          </w:tcPr>
          <w:p w14:paraId="02F8A328" w14:textId="77777777" w:rsidR="00F3536C" w:rsidRPr="00A4272B" w:rsidRDefault="00F3536C" w:rsidP="00A41632">
            <w:pPr>
              <w:jc w:val="center"/>
              <w:rPr>
                <w:sz w:val="14"/>
                <w:szCs w:val="14"/>
                <w:lang w:val="en-US"/>
              </w:rPr>
            </w:pPr>
            <w:r w:rsidRPr="00A4272B">
              <w:rPr>
                <w:sz w:val="14"/>
                <w:szCs w:val="14"/>
                <w:lang w:val="en-US"/>
              </w:rPr>
              <w:t>-</w:t>
            </w:r>
          </w:p>
        </w:tc>
        <w:tc>
          <w:tcPr>
            <w:tcW w:w="831" w:type="dxa"/>
            <w:noWrap/>
            <w:vAlign w:val="center"/>
            <w:hideMark/>
          </w:tcPr>
          <w:p w14:paraId="1797EFE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ADB3781" w14:textId="77777777" w:rsidR="00F3536C" w:rsidRPr="00A4272B" w:rsidRDefault="00F3536C" w:rsidP="00A41632">
            <w:pPr>
              <w:jc w:val="center"/>
              <w:rPr>
                <w:sz w:val="14"/>
                <w:szCs w:val="14"/>
                <w:lang w:val="en-US"/>
              </w:rPr>
            </w:pPr>
            <w:r w:rsidRPr="00A4272B">
              <w:rPr>
                <w:sz w:val="14"/>
                <w:szCs w:val="14"/>
                <w:lang w:val="en-US"/>
              </w:rPr>
              <w:t>3 months</w:t>
            </w:r>
          </w:p>
        </w:tc>
        <w:tc>
          <w:tcPr>
            <w:tcW w:w="612" w:type="dxa"/>
            <w:tcBorders>
              <w:top w:val="nil"/>
              <w:left w:val="nil"/>
              <w:bottom w:val="nil"/>
              <w:right w:val="single" w:sz="8" w:space="0" w:color="auto"/>
            </w:tcBorders>
            <w:noWrap/>
            <w:vAlign w:val="center"/>
            <w:hideMark/>
          </w:tcPr>
          <w:p w14:paraId="06ED1E64"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1EBC5D80" w14:textId="77777777" w:rsidTr="00A41632">
        <w:trPr>
          <w:trHeight w:val="288"/>
          <w:jc w:val="center"/>
        </w:trPr>
        <w:tc>
          <w:tcPr>
            <w:tcW w:w="14633" w:type="dxa"/>
            <w:gridSpan w:val="14"/>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397B9B6" w14:textId="77777777" w:rsidR="00F3536C" w:rsidRPr="00A4272B" w:rsidRDefault="00F3536C" w:rsidP="00A41632">
            <w:pPr>
              <w:rPr>
                <w:b/>
                <w:bCs/>
                <w:sz w:val="14"/>
                <w:szCs w:val="14"/>
                <w:lang w:val="en-US"/>
              </w:rPr>
            </w:pPr>
            <w:r w:rsidRPr="00A4272B">
              <w:rPr>
                <w:b/>
                <w:bCs/>
                <w:sz w:val="14"/>
                <w:szCs w:val="14"/>
                <w:lang w:val="en-US"/>
              </w:rPr>
              <w:t>EAST ASIA &amp; PACIFIC</w:t>
            </w:r>
          </w:p>
        </w:tc>
      </w:tr>
      <w:tr w:rsidR="00F3536C" w:rsidRPr="00A4272B" w14:paraId="1CC40FA8" w14:textId="77777777" w:rsidTr="00A41632">
        <w:trPr>
          <w:trHeight w:val="276"/>
          <w:jc w:val="center"/>
        </w:trPr>
        <w:tc>
          <w:tcPr>
            <w:tcW w:w="955" w:type="dxa"/>
            <w:tcBorders>
              <w:top w:val="nil"/>
              <w:left w:val="single" w:sz="8" w:space="0" w:color="auto"/>
              <w:bottom w:val="nil"/>
              <w:right w:val="nil"/>
            </w:tcBorders>
            <w:noWrap/>
            <w:vAlign w:val="center"/>
            <w:hideMark/>
          </w:tcPr>
          <w:p w14:paraId="3B5BBE02"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499529A5"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7A6B6D63" w14:textId="77777777" w:rsidR="00F3536C" w:rsidRPr="00A4272B" w:rsidRDefault="00F3536C" w:rsidP="00A41632">
            <w:pPr>
              <w:rPr>
                <w:color w:val="000000"/>
                <w:sz w:val="14"/>
                <w:szCs w:val="14"/>
                <w:lang w:val="en-US"/>
              </w:rPr>
            </w:pPr>
            <w:r w:rsidRPr="00A4272B">
              <w:rPr>
                <w:color w:val="000000"/>
                <w:sz w:val="14"/>
                <w:szCs w:val="14"/>
                <w:lang w:val="en-US"/>
              </w:rPr>
              <w:t>Changdao</w:t>
            </w:r>
          </w:p>
        </w:tc>
        <w:tc>
          <w:tcPr>
            <w:tcW w:w="998" w:type="dxa"/>
            <w:noWrap/>
            <w:vAlign w:val="center"/>
            <w:hideMark/>
          </w:tcPr>
          <w:p w14:paraId="065075FD" w14:textId="77777777" w:rsidR="00F3536C" w:rsidRPr="00A4272B" w:rsidRDefault="00F3536C" w:rsidP="00A41632">
            <w:pPr>
              <w:jc w:val="center"/>
              <w:rPr>
                <w:color w:val="000000"/>
                <w:sz w:val="14"/>
                <w:szCs w:val="14"/>
                <w:lang w:val="en-US"/>
              </w:rPr>
            </w:pPr>
            <w:r w:rsidRPr="00A4272B">
              <w:rPr>
                <w:color w:val="000000"/>
                <w:sz w:val="14"/>
                <w:szCs w:val="14"/>
                <w:lang w:val="en-US"/>
              </w:rPr>
              <w:t>B2</w:t>
            </w:r>
          </w:p>
        </w:tc>
        <w:tc>
          <w:tcPr>
            <w:tcW w:w="1342" w:type="dxa"/>
            <w:noWrap/>
            <w:vAlign w:val="center"/>
            <w:hideMark/>
          </w:tcPr>
          <w:p w14:paraId="57CB2AAC"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2830F86E" w14:textId="77777777" w:rsidR="00F3536C" w:rsidRPr="00A4272B" w:rsidRDefault="00F3536C" w:rsidP="00A41632">
            <w:pPr>
              <w:jc w:val="right"/>
              <w:rPr>
                <w:color w:val="000000"/>
                <w:sz w:val="14"/>
                <w:szCs w:val="14"/>
                <w:lang w:val="en-US"/>
              </w:rPr>
            </w:pPr>
            <w:r w:rsidRPr="00A4272B">
              <w:rPr>
                <w:color w:val="000000"/>
                <w:sz w:val="14"/>
                <w:szCs w:val="14"/>
                <w:lang w:val="en-US"/>
              </w:rPr>
              <w:t>37.989720</w:t>
            </w:r>
          </w:p>
        </w:tc>
        <w:tc>
          <w:tcPr>
            <w:tcW w:w="998" w:type="dxa"/>
            <w:noWrap/>
            <w:vAlign w:val="center"/>
            <w:hideMark/>
          </w:tcPr>
          <w:p w14:paraId="79B755AB" w14:textId="77777777" w:rsidR="00F3536C" w:rsidRPr="00A4272B" w:rsidRDefault="00F3536C" w:rsidP="00A41632">
            <w:pPr>
              <w:jc w:val="right"/>
              <w:rPr>
                <w:color w:val="000000"/>
                <w:sz w:val="14"/>
                <w:szCs w:val="14"/>
                <w:lang w:val="en-US"/>
              </w:rPr>
            </w:pPr>
            <w:r w:rsidRPr="00A4272B">
              <w:rPr>
                <w:color w:val="000000"/>
                <w:sz w:val="14"/>
                <w:szCs w:val="14"/>
                <w:lang w:val="en-US"/>
              </w:rPr>
              <w:t>120.695600</w:t>
            </w:r>
          </w:p>
        </w:tc>
        <w:tc>
          <w:tcPr>
            <w:tcW w:w="859" w:type="dxa"/>
            <w:tcBorders>
              <w:top w:val="nil"/>
              <w:left w:val="nil"/>
              <w:bottom w:val="nil"/>
              <w:right w:val="single" w:sz="8" w:space="0" w:color="auto"/>
            </w:tcBorders>
            <w:noWrap/>
            <w:vAlign w:val="center"/>
            <w:hideMark/>
          </w:tcPr>
          <w:p w14:paraId="095E8CC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B4BEB0A"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7A84A74F"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4E13893E"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5E84FFFD"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2F5D7F67"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0ED5AE0"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50F28D83" w14:textId="77777777" w:rsidTr="00A41632">
        <w:trPr>
          <w:trHeight w:val="276"/>
          <w:jc w:val="center"/>
        </w:trPr>
        <w:tc>
          <w:tcPr>
            <w:tcW w:w="955" w:type="dxa"/>
            <w:tcBorders>
              <w:top w:val="nil"/>
              <w:left w:val="single" w:sz="8" w:space="0" w:color="auto"/>
              <w:bottom w:val="nil"/>
              <w:right w:val="nil"/>
            </w:tcBorders>
            <w:noWrap/>
            <w:vAlign w:val="center"/>
            <w:hideMark/>
          </w:tcPr>
          <w:p w14:paraId="28995010"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1CA139DA"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703510F9" w14:textId="77777777" w:rsidR="00F3536C" w:rsidRPr="00A4272B" w:rsidRDefault="00F3536C" w:rsidP="00A41632">
            <w:pPr>
              <w:rPr>
                <w:color w:val="000000"/>
                <w:sz w:val="14"/>
                <w:szCs w:val="14"/>
                <w:lang w:val="en-US"/>
              </w:rPr>
            </w:pPr>
            <w:r w:rsidRPr="00A4272B">
              <w:rPr>
                <w:color w:val="000000"/>
                <w:sz w:val="14"/>
                <w:szCs w:val="14"/>
                <w:lang w:val="en-US"/>
              </w:rPr>
              <w:t>Chengde</w:t>
            </w:r>
          </w:p>
        </w:tc>
        <w:tc>
          <w:tcPr>
            <w:tcW w:w="998" w:type="dxa"/>
            <w:noWrap/>
            <w:vAlign w:val="center"/>
            <w:hideMark/>
          </w:tcPr>
          <w:p w14:paraId="3ED903D0" w14:textId="77777777" w:rsidR="00F3536C" w:rsidRPr="00A4272B" w:rsidRDefault="00F3536C" w:rsidP="00A41632">
            <w:pPr>
              <w:jc w:val="center"/>
              <w:rPr>
                <w:color w:val="000000"/>
                <w:sz w:val="14"/>
                <w:szCs w:val="14"/>
                <w:lang w:val="en-US"/>
              </w:rPr>
            </w:pPr>
            <w:r w:rsidRPr="00A4272B">
              <w:rPr>
                <w:color w:val="000000"/>
                <w:sz w:val="14"/>
                <w:szCs w:val="14"/>
                <w:lang w:val="en-US"/>
              </w:rPr>
              <w:t>B10</w:t>
            </w:r>
          </w:p>
        </w:tc>
        <w:tc>
          <w:tcPr>
            <w:tcW w:w="1342" w:type="dxa"/>
            <w:noWrap/>
            <w:vAlign w:val="center"/>
            <w:hideMark/>
          </w:tcPr>
          <w:p w14:paraId="26741702"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4EA37667" w14:textId="77777777" w:rsidR="00F3536C" w:rsidRPr="00A4272B" w:rsidRDefault="00F3536C" w:rsidP="00A41632">
            <w:pPr>
              <w:jc w:val="right"/>
              <w:rPr>
                <w:color w:val="000000"/>
                <w:sz w:val="14"/>
                <w:szCs w:val="14"/>
                <w:lang w:val="en-US"/>
              </w:rPr>
            </w:pPr>
            <w:r w:rsidRPr="00A4272B">
              <w:rPr>
                <w:color w:val="000000"/>
                <w:sz w:val="14"/>
                <w:szCs w:val="14"/>
                <w:lang w:val="en-US"/>
              </w:rPr>
              <w:t>41.119720</w:t>
            </w:r>
          </w:p>
        </w:tc>
        <w:tc>
          <w:tcPr>
            <w:tcW w:w="998" w:type="dxa"/>
            <w:noWrap/>
            <w:vAlign w:val="center"/>
            <w:hideMark/>
          </w:tcPr>
          <w:p w14:paraId="70021C9D" w14:textId="77777777" w:rsidR="00F3536C" w:rsidRPr="00A4272B" w:rsidRDefault="00F3536C" w:rsidP="00A41632">
            <w:pPr>
              <w:jc w:val="right"/>
              <w:rPr>
                <w:color w:val="000000"/>
                <w:sz w:val="14"/>
                <w:szCs w:val="14"/>
                <w:lang w:val="en-US"/>
              </w:rPr>
            </w:pPr>
            <w:r w:rsidRPr="00A4272B">
              <w:rPr>
                <w:color w:val="000000"/>
                <w:sz w:val="14"/>
                <w:szCs w:val="14"/>
                <w:lang w:val="en-US"/>
              </w:rPr>
              <w:t>116.494400</w:t>
            </w:r>
          </w:p>
        </w:tc>
        <w:tc>
          <w:tcPr>
            <w:tcW w:w="859" w:type="dxa"/>
            <w:tcBorders>
              <w:top w:val="nil"/>
              <w:left w:val="nil"/>
              <w:bottom w:val="nil"/>
              <w:right w:val="single" w:sz="8" w:space="0" w:color="auto"/>
            </w:tcBorders>
            <w:noWrap/>
            <w:vAlign w:val="center"/>
            <w:hideMark/>
          </w:tcPr>
          <w:p w14:paraId="1C10B30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7B05D38"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53F51318"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7BEA732E"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6C51A864"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13B5E7C3"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488D8D0"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329004E9" w14:textId="77777777" w:rsidTr="00A41632">
        <w:trPr>
          <w:trHeight w:val="276"/>
          <w:jc w:val="center"/>
        </w:trPr>
        <w:tc>
          <w:tcPr>
            <w:tcW w:w="955" w:type="dxa"/>
            <w:tcBorders>
              <w:top w:val="nil"/>
              <w:left w:val="single" w:sz="8" w:space="0" w:color="auto"/>
              <w:bottom w:val="nil"/>
              <w:right w:val="nil"/>
            </w:tcBorders>
            <w:noWrap/>
            <w:vAlign w:val="center"/>
            <w:hideMark/>
          </w:tcPr>
          <w:p w14:paraId="042BAE4A"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1AC9FC3D"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51DE8235" w14:textId="77777777" w:rsidR="00F3536C" w:rsidRPr="00A4272B" w:rsidRDefault="00F3536C" w:rsidP="00A41632">
            <w:pPr>
              <w:rPr>
                <w:color w:val="000000"/>
                <w:sz w:val="14"/>
                <w:szCs w:val="14"/>
                <w:lang w:val="en-US"/>
              </w:rPr>
            </w:pPr>
            <w:r w:rsidRPr="00A4272B">
              <w:rPr>
                <w:color w:val="000000"/>
                <w:sz w:val="14"/>
                <w:szCs w:val="14"/>
                <w:lang w:val="en-US"/>
              </w:rPr>
              <w:t>Chongqing</w:t>
            </w:r>
          </w:p>
        </w:tc>
        <w:tc>
          <w:tcPr>
            <w:tcW w:w="998" w:type="dxa"/>
            <w:noWrap/>
            <w:vAlign w:val="center"/>
            <w:hideMark/>
          </w:tcPr>
          <w:p w14:paraId="6036011F" w14:textId="77777777" w:rsidR="00F3536C" w:rsidRPr="00A4272B" w:rsidRDefault="00F3536C" w:rsidP="00A41632">
            <w:pPr>
              <w:jc w:val="center"/>
              <w:rPr>
                <w:color w:val="000000"/>
                <w:sz w:val="14"/>
                <w:szCs w:val="14"/>
                <w:lang w:val="en-US"/>
              </w:rPr>
            </w:pPr>
            <w:r w:rsidRPr="00A4272B">
              <w:rPr>
                <w:color w:val="000000"/>
                <w:sz w:val="14"/>
                <w:szCs w:val="14"/>
                <w:lang w:val="en-US"/>
              </w:rPr>
              <w:t>U1</w:t>
            </w:r>
          </w:p>
        </w:tc>
        <w:tc>
          <w:tcPr>
            <w:tcW w:w="1342" w:type="dxa"/>
            <w:noWrap/>
            <w:vAlign w:val="center"/>
            <w:hideMark/>
          </w:tcPr>
          <w:p w14:paraId="12D5E23F"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32555883" w14:textId="77777777" w:rsidR="00F3536C" w:rsidRPr="00A4272B" w:rsidRDefault="00F3536C" w:rsidP="00A41632">
            <w:pPr>
              <w:jc w:val="right"/>
              <w:rPr>
                <w:color w:val="000000"/>
                <w:sz w:val="14"/>
                <w:szCs w:val="14"/>
                <w:lang w:val="en-US"/>
              </w:rPr>
            </w:pPr>
            <w:r w:rsidRPr="00A4272B">
              <w:rPr>
                <w:color w:val="000000"/>
                <w:sz w:val="14"/>
                <w:szCs w:val="14"/>
                <w:lang w:val="en-US"/>
              </w:rPr>
              <w:t>29.645560</w:t>
            </w:r>
          </w:p>
        </w:tc>
        <w:tc>
          <w:tcPr>
            <w:tcW w:w="998" w:type="dxa"/>
            <w:noWrap/>
            <w:vAlign w:val="center"/>
            <w:hideMark/>
          </w:tcPr>
          <w:p w14:paraId="0F317A53" w14:textId="77777777" w:rsidR="00F3536C" w:rsidRPr="00A4272B" w:rsidRDefault="00F3536C" w:rsidP="00A41632">
            <w:pPr>
              <w:jc w:val="right"/>
              <w:rPr>
                <w:color w:val="000000"/>
                <w:sz w:val="14"/>
                <w:szCs w:val="14"/>
                <w:lang w:val="en-US"/>
              </w:rPr>
            </w:pPr>
            <w:r w:rsidRPr="00A4272B">
              <w:rPr>
                <w:color w:val="000000"/>
                <w:sz w:val="14"/>
                <w:szCs w:val="14"/>
                <w:lang w:val="en-US"/>
              </w:rPr>
              <w:t>106.561900</w:t>
            </w:r>
          </w:p>
        </w:tc>
        <w:tc>
          <w:tcPr>
            <w:tcW w:w="859" w:type="dxa"/>
            <w:tcBorders>
              <w:top w:val="nil"/>
              <w:left w:val="nil"/>
              <w:bottom w:val="nil"/>
              <w:right w:val="single" w:sz="8" w:space="0" w:color="auto"/>
            </w:tcBorders>
            <w:noWrap/>
            <w:vAlign w:val="center"/>
            <w:hideMark/>
          </w:tcPr>
          <w:p w14:paraId="782E88B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C40722F"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3F693F7A"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43B51352"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14B30F20"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34580C67"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0E093BA" w14:textId="77777777" w:rsidR="00F3536C" w:rsidRPr="00A4272B" w:rsidRDefault="00F3536C" w:rsidP="00A41632">
            <w:pPr>
              <w:rPr>
                <w:sz w:val="14"/>
                <w:szCs w:val="14"/>
                <w:lang w:val="en-US"/>
              </w:rPr>
            </w:pPr>
            <w:r w:rsidRPr="00A4272B">
              <w:rPr>
                <w:sz w:val="14"/>
                <w:szCs w:val="14"/>
                <w:lang w:val="en-US"/>
              </w:rPr>
              <w:t>2012</w:t>
            </w:r>
          </w:p>
        </w:tc>
      </w:tr>
      <w:tr w:rsidR="00F3536C" w:rsidRPr="00A4272B" w14:paraId="630B17BB" w14:textId="77777777" w:rsidTr="00A41632">
        <w:trPr>
          <w:trHeight w:val="276"/>
          <w:jc w:val="center"/>
        </w:trPr>
        <w:tc>
          <w:tcPr>
            <w:tcW w:w="955" w:type="dxa"/>
            <w:tcBorders>
              <w:top w:val="nil"/>
              <w:left w:val="single" w:sz="8" w:space="0" w:color="auto"/>
              <w:bottom w:val="nil"/>
              <w:right w:val="nil"/>
            </w:tcBorders>
            <w:noWrap/>
            <w:vAlign w:val="center"/>
            <w:hideMark/>
          </w:tcPr>
          <w:p w14:paraId="5A193D47"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1550B672"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5473EB3C" w14:textId="77777777" w:rsidR="00F3536C" w:rsidRPr="00A4272B" w:rsidRDefault="00F3536C" w:rsidP="00A41632">
            <w:pPr>
              <w:rPr>
                <w:color w:val="000000"/>
                <w:sz w:val="14"/>
                <w:szCs w:val="14"/>
                <w:lang w:val="en-US"/>
              </w:rPr>
            </w:pPr>
            <w:r w:rsidRPr="00A4272B">
              <w:rPr>
                <w:color w:val="000000"/>
                <w:sz w:val="14"/>
                <w:szCs w:val="14"/>
                <w:lang w:val="en-US"/>
              </w:rPr>
              <w:t>Daxinganling</w:t>
            </w:r>
          </w:p>
        </w:tc>
        <w:tc>
          <w:tcPr>
            <w:tcW w:w="998" w:type="dxa"/>
            <w:noWrap/>
            <w:vAlign w:val="center"/>
            <w:hideMark/>
          </w:tcPr>
          <w:p w14:paraId="7E1442FF" w14:textId="77777777" w:rsidR="00F3536C" w:rsidRPr="00A4272B" w:rsidRDefault="00F3536C" w:rsidP="00A41632">
            <w:pPr>
              <w:jc w:val="center"/>
              <w:rPr>
                <w:color w:val="000000"/>
                <w:sz w:val="14"/>
                <w:szCs w:val="14"/>
                <w:lang w:val="en-US"/>
              </w:rPr>
            </w:pPr>
            <w:r w:rsidRPr="00A4272B">
              <w:rPr>
                <w:color w:val="000000"/>
                <w:sz w:val="14"/>
                <w:szCs w:val="14"/>
                <w:lang w:val="en-US"/>
              </w:rPr>
              <w:t>B8</w:t>
            </w:r>
          </w:p>
        </w:tc>
        <w:tc>
          <w:tcPr>
            <w:tcW w:w="1342" w:type="dxa"/>
            <w:noWrap/>
            <w:vAlign w:val="center"/>
            <w:hideMark/>
          </w:tcPr>
          <w:p w14:paraId="6A5B278C"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460909E3" w14:textId="77777777" w:rsidR="00F3536C" w:rsidRPr="00A4272B" w:rsidRDefault="00F3536C" w:rsidP="00A41632">
            <w:pPr>
              <w:jc w:val="right"/>
              <w:rPr>
                <w:color w:val="000000"/>
                <w:sz w:val="14"/>
                <w:szCs w:val="14"/>
                <w:lang w:val="en-US"/>
              </w:rPr>
            </w:pPr>
            <w:r w:rsidRPr="00A4272B">
              <w:rPr>
                <w:color w:val="000000"/>
                <w:sz w:val="14"/>
                <w:szCs w:val="14"/>
                <w:lang w:val="en-US"/>
              </w:rPr>
              <w:t>50.880830</w:t>
            </w:r>
          </w:p>
        </w:tc>
        <w:tc>
          <w:tcPr>
            <w:tcW w:w="998" w:type="dxa"/>
            <w:noWrap/>
            <w:vAlign w:val="center"/>
            <w:hideMark/>
          </w:tcPr>
          <w:p w14:paraId="63CD361C" w14:textId="77777777" w:rsidR="00F3536C" w:rsidRPr="00A4272B" w:rsidRDefault="00F3536C" w:rsidP="00A41632">
            <w:pPr>
              <w:jc w:val="right"/>
              <w:rPr>
                <w:color w:val="000000"/>
                <w:sz w:val="14"/>
                <w:szCs w:val="14"/>
                <w:lang w:val="en-US"/>
              </w:rPr>
            </w:pPr>
            <w:r w:rsidRPr="00A4272B">
              <w:rPr>
                <w:color w:val="000000"/>
                <w:sz w:val="14"/>
                <w:szCs w:val="14"/>
                <w:lang w:val="en-US"/>
              </w:rPr>
              <w:t>121.249700</w:t>
            </w:r>
          </w:p>
        </w:tc>
        <w:tc>
          <w:tcPr>
            <w:tcW w:w="859" w:type="dxa"/>
            <w:tcBorders>
              <w:top w:val="nil"/>
              <w:left w:val="nil"/>
              <w:bottom w:val="nil"/>
              <w:right w:val="single" w:sz="8" w:space="0" w:color="auto"/>
            </w:tcBorders>
            <w:noWrap/>
            <w:vAlign w:val="center"/>
            <w:hideMark/>
          </w:tcPr>
          <w:p w14:paraId="52A1B88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131ADAD"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09E07F06"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0475AD00"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317A85BC"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446941A2"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507B082"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612E283C" w14:textId="77777777" w:rsidTr="00A41632">
        <w:trPr>
          <w:trHeight w:val="276"/>
          <w:jc w:val="center"/>
        </w:trPr>
        <w:tc>
          <w:tcPr>
            <w:tcW w:w="955" w:type="dxa"/>
            <w:tcBorders>
              <w:top w:val="nil"/>
              <w:left w:val="single" w:sz="8" w:space="0" w:color="auto"/>
              <w:bottom w:val="nil"/>
              <w:right w:val="nil"/>
            </w:tcBorders>
            <w:noWrap/>
            <w:vAlign w:val="center"/>
            <w:hideMark/>
          </w:tcPr>
          <w:p w14:paraId="3B9A5D17"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2BF2145F"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01045243" w14:textId="77777777" w:rsidR="00F3536C" w:rsidRPr="00A4272B" w:rsidRDefault="00F3536C" w:rsidP="00A41632">
            <w:pPr>
              <w:rPr>
                <w:color w:val="000000"/>
                <w:sz w:val="14"/>
                <w:szCs w:val="14"/>
                <w:lang w:val="en-US"/>
              </w:rPr>
            </w:pPr>
            <w:r w:rsidRPr="00A4272B">
              <w:rPr>
                <w:color w:val="000000"/>
                <w:sz w:val="14"/>
                <w:szCs w:val="14"/>
                <w:lang w:val="en-US"/>
              </w:rPr>
              <w:t>Hong Kong</w:t>
            </w:r>
          </w:p>
        </w:tc>
        <w:tc>
          <w:tcPr>
            <w:tcW w:w="998" w:type="dxa"/>
            <w:noWrap/>
            <w:vAlign w:val="center"/>
            <w:hideMark/>
          </w:tcPr>
          <w:p w14:paraId="1DD48E5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7E654358"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0DD584F7" w14:textId="77777777" w:rsidR="00F3536C" w:rsidRPr="00A4272B" w:rsidRDefault="00F3536C" w:rsidP="00A41632">
            <w:pPr>
              <w:jc w:val="right"/>
              <w:rPr>
                <w:color w:val="000000"/>
                <w:sz w:val="14"/>
                <w:szCs w:val="14"/>
                <w:lang w:val="en-US"/>
              </w:rPr>
            </w:pPr>
            <w:r w:rsidRPr="00A4272B">
              <w:rPr>
                <w:color w:val="000000"/>
                <w:sz w:val="14"/>
                <w:szCs w:val="14"/>
                <w:lang w:val="en-US"/>
              </w:rPr>
              <w:t>22.267200</w:t>
            </w:r>
          </w:p>
        </w:tc>
        <w:tc>
          <w:tcPr>
            <w:tcW w:w="998" w:type="dxa"/>
            <w:noWrap/>
            <w:vAlign w:val="center"/>
            <w:hideMark/>
          </w:tcPr>
          <w:p w14:paraId="535AA882" w14:textId="77777777" w:rsidR="00F3536C" w:rsidRPr="00A4272B" w:rsidRDefault="00F3536C" w:rsidP="00A41632">
            <w:pPr>
              <w:jc w:val="right"/>
              <w:rPr>
                <w:color w:val="000000"/>
                <w:sz w:val="14"/>
                <w:szCs w:val="14"/>
                <w:lang w:val="en-US"/>
              </w:rPr>
            </w:pPr>
            <w:r w:rsidRPr="00A4272B">
              <w:rPr>
                <w:color w:val="000000"/>
                <w:sz w:val="14"/>
                <w:szCs w:val="14"/>
                <w:lang w:val="en-US"/>
              </w:rPr>
              <w:t>114.187900</w:t>
            </w:r>
          </w:p>
        </w:tc>
        <w:tc>
          <w:tcPr>
            <w:tcW w:w="859" w:type="dxa"/>
            <w:tcBorders>
              <w:top w:val="nil"/>
              <w:left w:val="nil"/>
              <w:bottom w:val="nil"/>
              <w:right w:val="single" w:sz="8" w:space="0" w:color="auto"/>
            </w:tcBorders>
            <w:noWrap/>
            <w:vAlign w:val="center"/>
            <w:hideMark/>
          </w:tcPr>
          <w:p w14:paraId="57FF669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C0F366B"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6EA7B455" w14:textId="77777777" w:rsidR="00F3536C" w:rsidRPr="00A4272B" w:rsidRDefault="00F3536C" w:rsidP="00A41632">
            <w:pPr>
              <w:rPr>
                <w:color w:val="000000"/>
                <w:sz w:val="14"/>
                <w:szCs w:val="14"/>
                <w:lang w:val="en-US"/>
              </w:rPr>
            </w:pPr>
            <w:r w:rsidRPr="00A4272B">
              <w:rPr>
                <w:color w:val="000000"/>
                <w:sz w:val="14"/>
                <w:szCs w:val="14"/>
                <w:lang w:val="en-US"/>
              </w:rPr>
              <w:t>-</w:t>
            </w:r>
          </w:p>
        </w:tc>
        <w:tc>
          <w:tcPr>
            <w:tcW w:w="937" w:type="dxa"/>
            <w:noWrap/>
            <w:vAlign w:val="center"/>
            <w:hideMark/>
          </w:tcPr>
          <w:p w14:paraId="32BE1EAF" w14:textId="77777777" w:rsidR="00F3536C" w:rsidRPr="00A4272B" w:rsidRDefault="00F3536C" w:rsidP="00A41632">
            <w:pPr>
              <w:rPr>
                <w:color w:val="000000"/>
                <w:sz w:val="14"/>
                <w:szCs w:val="14"/>
                <w:lang w:val="en-US"/>
              </w:rPr>
            </w:pPr>
            <w:r w:rsidRPr="00A4272B">
              <w:rPr>
                <w:color w:val="000000"/>
                <w:sz w:val="14"/>
                <w:szCs w:val="14"/>
                <w:lang w:val="en-US"/>
              </w:rPr>
              <w:t>-</w:t>
            </w:r>
          </w:p>
        </w:tc>
        <w:tc>
          <w:tcPr>
            <w:tcW w:w="831" w:type="dxa"/>
            <w:noWrap/>
            <w:vAlign w:val="center"/>
            <w:hideMark/>
          </w:tcPr>
          <w:p w14:paraId="42ABF884" w14:textId="77777777" w:rsidR="00F3536C" w:rsidRPr="00A4272B" w:rsidRDefault="00F3536C" w:rsidP="00A41632">
            <w:pPr>
              <w:rPr>
                <w:color w:val="000000"/>
                <w:sz w:val="14"/>
                <w:szCs w:val="14"/>
                <w:lang w:val="en-US"/>
              </w:rPr>
            </w:pPr>
            <w:r w:rsidRPr="00A4272B">
              <w:rPr>
                <w:color w:val="000000"/>
                <w:sz w:val="14"/>
                <w:szCs w:val="14"/>
                <w:lang w:val="en-US"/>
              </w:rPr>
              <w:t>-</w:t>
            </w:r>
          </w:p>
        </w:tc>
        <w:tc>
          <w:tcPr>
            <w:tcW w:w="924" w:type="dxa"/>
            <w:noWrap/>
            <w:vAlign w:val="center"/>
            <w:hideMark/>
          </w:tcPr>
          <w:p w14:paraId="5A69AABB" w14:textId="77777777" w:rsidR="00F3536C" w:rsidRPr="00A4272B" w:rsidRDefault="00F3536C" w:rsidP="00A41632">
            <w:pP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22C7AC6A" w14:textId="77777777" w:rsidR="00F3536C" w:rsidRPr="00A4272B" w:rsidRDefault="00F3536C" w:rsidP="00A41632">
            <w:pPr>
              <w:rPr>
                <w:sz w:val="14"/>
                <w:szCs w:val="14"/>
                <w:lang w:val="en-US"/>
              </w:rPr>
            </w:pPr>
            <w:r w:rsidRPr="00A4272B">
              <w:rPr>
                <w:sz w:val="14"/>
                <w:szCs w:val="14"/>
                <w:lang w:val="en-US"/>
              </w:rPr>
              <w:t>1998</w:t>
            </w:r>
          </w:p>
        </w:tc>
      </w:tr>
      <w:tr w:rsidR="00F3536C" w:rsidRPr="00A4272B" w14:paraId="6F53D63D" w14:textId="77777777" w:rsidTr="00A41632">
        <w:trPr>
          <w:trHeight w:val="276"/>
          <w:jc w:val="center"/>
        </w:trPr>
        <w:tc>
          <w:tcPr>
            <w:tcW w:w="955" w:type="dxa"/>
            <w:tcBorders>
              <w:top w:val="nil"/>
              <w:left w:val="single" w:sz="8" w:space="0" w:color="auto"/>
              <w:bottom w:val="nil"/>
              <w:right w:val="nil"/>
            </w:tcBorders>
            <w:noWrap/>
            <w:vAlign w:val="center"/>
            <w:hideMark/>
          </w:tcPr>
          <w:p w14:paraId="42CA7BCF"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6CFC9142"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305D81BF" w14:textId="77777777" w:rsidR="00F3536C" w:rsidRPr="00A4272B" w:rsidRDefault="00F3536C" w:rsidP="00A41632">
            <w:pPr>
              <w:rPr>
                <w:color w:val="000000"/>
                <w:sz w:val="14"/>
                <w:szCs w:val="14"/>
                <w:lang w:val="en-US"/>
              </w:rPr>
            </w:pPr>
            <w:r w:rsidRPr="00A4272B">
              <w:rPr>
                <w:color w:val="000000"/>
                <w:sz w:val="14"/>
                <w:szCs w:val="14"/>
                <w:lang w:val="en-US"/>
              </w:rPr>
              <w:t>Lasa</w:t>
            </w:r>
          </w:p>
        </w:tc>
        <w:tc>
          <w:tcPr>
            <w:tcW w:w="998" w:type="dxa"/>
            <w:noWrap/>
            <w:vAlign w:val="center"/>
            <w:hideMark/>
          </w:tcPr>
          <w:p w14:paraId="0E473E1A" w14:textId="77777777" w:rsidR="00F3536C" w:rsidRPr="00A4272B" w:rsidRDefault="00F3536C" w:rsidP="00A41632">
            <w:pPr>
              <w:jc w:val="center"/>
              <w:rPr>
                <w:color w:val="000000"/>
                <w:sz w:val="14"/>
                <w:szCs w:val="14"/>
                <w:lang w:val="en-US"/>
              </w:rPr>
            </w:pPr>
            <w:r w:rsidRPr="00A4272B">
              <w:rPr>
                <w:color w:val="000000"/>
                <w:sz w:val="14"/>
                <w:szCs w:val="14"/>
                <w:lang w:val="en-US"/>
              </w:rPr>
              <w:t>B5</w:t>
            </w:r>
          </w:p>
        </w:tc>
        <w:tc>
          <w:tcPr>
            <w:tcW w:w="1342" w:type="dxa"/>
            <w:noWrap/>
            <w:vAlign w:val="center"/>
            <w:hideMark/>
          </w:tcPr>
          <w:p w14:paraId="5E262A62"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7934E19E" w14:textId="77777777" w:rsidR="00F3536C" w:rsidRPr="00A4272B" w:rsidRDefault="00F3536C" w:rsidP="00A41632">
            <w:pPr>
              <w:jc w:val="right"/>
              <w:rPr>
                <w:color w:val="000000"/>
                <w:sz w:val="14"/>
                <w:szCs w:val="14"/>
                <w:lang w:val="en-US"/>
              </w:rPr>
            </w:pPr>
            <w:r w:rsidRPr="00A4272B">
              <w:rPr>
                <w:color w:val="000000"/>
                <w:sz w:val="14"/>
                <w:szCs w:val="14"/>
                <w:lang w:val="en-US"/>
              </w:rPr>
              <w:t>29.353610</w:t>
            </w:r>
          </w:p>
        </w:tc>
        <w:tc>
          <w:tcPr>
            <w:tcW w:w="998" w:type="dxa"/>
            <w:noWrap/>
            <w:vAlign w:val="center"/>
            <w:hideMark/>
          </w:tcPr>
          <w:p w14:paraId="7CC05970" w14:textId="77777777" w:rsidR="00F3536C" w:rsidRPr="00A4272B" w:rsidRDefault="00F3536C" w:rsidP="00A41632">
            <w:pPr>
              <w:jc w:val="right"/>
              <w:rPr>
                <w:color w:val="000000"/>
                <w:sz w:val="14"/>
                <w:szCs w:val="14"/>
                <w:lang w:val="en-US"/>
              </w:rPr>
            </w:pPr>
            <w:r w:rsidRPr="00A4272B">
              <w:rPr>
                <w:color w:val="000000"/>
                <w:sz w:val="14"/>
                <w:szCs w:val="14"/>
                <w:lang w:val="en-US"/>
              </w:rPr>
              <w:t>90.742220</w:t>
            </w:r>
          </w:p>
        </w:tc>
        <w:tc>
          <w:tcPr>
            <w:tcW w:w="859" w:type="dxa"/>
            <w:tcBorders>
              <w:top w:val="nil"/>
              <w:left w:val="nil"/>
              <w:bottom w:val="nil"/>
              <w:right w:val="single" w:sz="8" w:space="0" w:color="auto"/>
            </w:tcBorders>
            <w:noWrap/>
            <w:vAlign w:val="center"/>
            <w:hideMark/>
          </w:tcPr>
          <w:p w14:paraId="7A34256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D8AF8A5"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177195E7"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7B908F17"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73CE4CD4"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4C665B60"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DCC3D2E"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05CF032F" w14:textId="77777777" w:rsidTr="00A41632">
        <w:trPr>
          <w:trHeight w:val="276"/>
          <w:jc w:val="center"/>
        </w:trPr>
        <w:tc>
          <w:tcPr>
            <w:tcW w:w="955" w:type="dxa"/>
            <w:tcBorders>
              <w:top w:val="nil"/>
              <w:left w:val="single" w:sz="8" w:space="0" w:color="auto"/>
              <w:bottom w:val="nil"/>
              <w:right w:val="nil"/>
            </w:tcBorders>
            <w:noWrap/>
            <w:vAlign w:val="center"/>
            <w:hideMark/>
          </w:tcPr>
          <w:p w14:paraId="7E4EDBC4"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3251E6EA"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0B146A77" w14:textId="77777777" w:rsidR="00F3536C" w:rsidRPr="00A4272B" w:rsidRDefault="00F3536C" w:rsidP="00A41632">
            <w:pPr>
              <w:rPr>
                <w:color w:val="000000"/>
                <w:sz w:val="14"/>
                <w:szCs w:val="14"/>
                <w:lang w:val="en-US"/>
              </w:rPr>
            </w:pPr>
            <w:r w:rsidRPr="00A4272B">
              <w:rPr>
                <w:color w:val="000000"/>
                <w:sz w:val="14"/>
                <w:szCs w:val="14"/>
                <w:lang w:val="en-US"/>
              </w:rPr>
              <w:t>Lijiang</w:t>
            </w:r>
          </w:p>
        </w:tc>
        <w:tc>
          <w:tcPr>
            <w:tcW w:w="998" w:type="dxa"/>
            <w:noWrap/>
            <w:vAlign w:val="center"/>
            <w:hideMark/>
          </w:tcPr>
          <w:p w14:paraId="29450756" w14:textId="77777777" w:rsidR="00F3536C" w:rsidRPr="00A4272B" w:rsidRDefault="00F3536C" w:rsidP="00A41632">
            <w:pPr>
              <w:jc w:val="center"/>
              <w:rPr>
                <w:color w:val="000000"/>
                <w:sz w:val="14"/>
                <w:szCs w:val="14"/>
                <w:lang w:val="en-US"/>
              </w:rPr>
            </w:pPr>
            <w:r w:rsidRPr="00A4272B">
              <w:rPr>
                <w:color w:val="000000"/>
                <w:sz w:val="14"/>
                <w:szCs w:val="14"/>
                <w:lang w:val="en-US"/>
              </w:rPr>
              <w:t>B6</w:t>
            </w:r>
          </w:p>
        </w:tc>
        <w:tc>
          <w:tcPr>
            <w:tcW w:w="1342" w:type="dxa"/>
            <w:noWrap/>
            <w:vAlign w:val="center"/>
            <w:hideMark/>
          </w:tcPr>
          <w:p w14:paraId="5837393F"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599BF8E8" w14:textId="77777777" w:rsidR="00F3536C" w:rsidRPr="00A4272B" w:rsidRDefault="00F3536C" w:rsidP="00A41632">
            <w:pPr>
              <w:jc w:val="right"/>
              <w:rPr>
                <w:color w:val="000000"/>
                <w:sz w:val="14"/>
                <w:szCs w:val="14"/>
                <w:lang w:val="en-US"/>
              </w:rPr>
            </w:pPr>
            <w:r w:rsidRPr="00A4272B">
              <w:rPr>
                <w:color w:val="000000"/>
                <w:sz w:val="14"/>
                <w:szCs w:val="14"/>
                <w:lang w:val="en-US"/>
              </w:rPr>
              <w:t>26.881670</w:t>
            </w:r>
          </w:p>
        </w:tc>
        <w:tc>
          <w:tcPr>
            <w:tcW w:w="998" w:type="dxa"/>
            <w:noWrap/>
            <w:vAlign w:val="center"/>
            <w:hideMark/>
          </w:tcPr>
          <w:p w14:paraId="4FA8C003" w14:textId="77777777" w:rsidR="00F3536C" w:rsidRPr="00A4272B" w:rsidRDefault="00F3536C" w:rsidP="00A41632">
            <w:pPr>
              <w:jc w:val="right"/>
              <w:rPr>
                <w:color w:val="000000"/>
                <w:sz w:val="14"/>
                <w:szCs w:val="14"/>
                <w:lang w:val="en-US"/>
              </w:rPr>
            </w:pPr>
            <w:r w:rsidRPr="00A4272B">
              <w:rPr>
                <w:color w:val="000000"/>
                <w:sz w:val="14"/>
                <w:szCs w:val="14"/>
                <w:lang w:val="en-US"/>
              </w:rPr>
              <w:t>100.250000</w:t>
            </w:r>
          </w:p>
        </w:tc>
        <w:tc>
          <w:tcPr>
            <w:tcW w:w="859" w:type="dxa"/>
            <w:tcBorders>
              <w:top w:val="nil"/>
              <w:left w:val="nil"/>
              <w:bottom w:val="nil"/>
              <w:right w:val="single" w:sz="8" w:space="0" w:color="auto"/>
            </w:tcBorders>
            <w:noWrap/>
            <w:vAlign w:val="center"/>
            <w:hideMark/>
          </w:tcPr>
          <w:p w14:paraId="17DB03D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83007C8"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75A75CF8"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30A683B7"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7F17D36D"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5016F588"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BD642D7"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5AE6F851" w14:textId="77777777" w:rsidTr="00A41632">
        <w:trPr>
          <w:trHeight w:val="276"/>
          <w:jc w:val="center"/>
        </w:trPr>
        <w:tc>
          <w:tcPr>
            <w:tcW w:w="955" w:type="dxa"/>
            <w:tcBorders>
              <w:top w:val="nil"/>
              <w:left w:val="single" w:sz="8" w:space="0" w:color="auto"/>
              <w:bottom w:val="nil"/>
              <w:right w:val="nil"/>
            </w:tcBorders>
            <w:noWrap/>
            <w:vAlign w:val="center"/>
            <w:hideMark/>
          </w:tcPr>
          <w:p w14:paraId="71B9C3B7"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7E9632AC"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6322DF9A" w14:textId="77777777" w:rsidR="00F3536C" w:rsidRPr="00A4272B" w:rsidRDefault="00F3536C" w:rsidP="00A41632">
            <w:pPr>
              <w:rPr>
                <w:color w:val="000000"/>
                <w:sz w:val="14"/>
                <w:szCs w:val="14"/>
                <w:lang w:val="en-US"/>
              </w:rPr>
            </w:pPr>
            <w:r w:rsidRPr="00A4272B">
              <w:rPr>
                <w:color w:val="000000"/>
                <w:sz w:val="14"/>
                <w:szCs w:val="14"/>
                <w:lang w:val="en-US"/>
              </w:rPr>
              <w:t>Luan</w:t>
            </w:r>
          </w:p>
        </w:tc>
        <w:tc>
          <w:tcPr>
            <w:tcW w:w="998" w:type="dxa"/>
            <w:noWrap/>
            <w:vAlign w:val="center"/>
            <w:hideMark/>
          </w:tcPr>
          <w:p w14:paraId="4BE8FF2C" w14:textId="77777777" w:rsidR="00F3536C" w:rsidRPr="00A4272B" w:rsidRDefault="00F3536C" w:rsidP="00A41632">
            <w:pPr>
              <w:jc w:val="center"/>
              <w:rPr>
                <w:color w:val="000000"/>
                <w:sz w:val="14"/>
                <w:szCs w:val="14"/>
                <w:lang w:val="en-US"/>
              </w:rPr>
            </w:pPr>
            <w:r w:rsidRPr="00A4272B">
              <w:rPr>
                <w:color w:val="000000"/>
                <w:sz w:val="14"/>
                <w:szCs w:val="14"/>
                <w:lang w:val="en-US"/>
              </w:rPr>
              <w:t>B4</w:t>
            </w:r>
          </w:p>
        </w:tc>
        <w:tc>
          <w:tcPr>
            <w:tcW w:w="1342" w:type="dxa"/>
            <w:noWrap/>
            <w:vAlign w:val="center"/>
            <w:hideMark/>
          </w:tcPr>
          <w:p w14:paraId="449207DC"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31446AB3" w14:textId="77777777" w:rsidR="00F3536C" w:rsidRPr="00A4272B" w:rsidRDefault="00F3536C" w:rsidP="00A41632">
            <w:pPr>
              <w:jc w:val="right"/>
              <w:rPr>
                <w:color w:val="000000"/>
                <w:sz w:val="14"/>
                <w:szCs w:val="14"/>
                <w:lang w:val="en-US"/>
              </w:rPr>
            </w:pPr>
            <w:r w:rsidRPr="00A4272B">
              <w:rPr>
                <w:color w:val="000000"/>
                <w:sz w:val="14"/>
                <w:szCs w:val="14"/>
                <w:lang w:val="en-US"/>
              </w:rPr>
              <w:t>31.551390</w:t>
            </w:r>
          </w:p>
        </w:tc>
        <w:tc>
          <w:tcPr>
            <w:tcW w:w="998" w:type="dxa"/>
            <w:noWrap/>
            <w:vAlign w:val="center"/>
            <w:hideMark/>
          </w:tcPr>
          <w:p w14:paraId="28BE1E75" w14:textId="77777777" w:rsidR="00F3536C" w:rsidRPr="00A4272B" w:rsidRDefault="00F3536C" w:rsidP="00A41632">
            <w:pPr>
              <w:jc w:val="right"/>
              <w:rPr>
                <w:color w:val="000000"/>
                <w:sz w:val="14"/>
                <w:szCs w:val="14"/>
                <w:lang w:val="en-US"/>
              </w:rPr>
            </w:pPr>
            <w:r w:rsidRPr="00A4272B">
              <w:rPr>
                <w:color w:val="000000"/>
                <w:sz w:val="14"/>
                <w:szCs w:val="14"/>
                <w:lang w:val="en-US"/>
              </w:rPr>
              <w:t>116.160000</w:t>
            </w:r>
          </w:p>
        </w:tc>
        <w:tc>
          <w:tcPr>
            <w:tcW w:w="859" w:type="dxa"/>
            <w:tcBorders>
              <w:top w:val="nil"/>
              <w:left w:val="nil"/>
              <w:bottom w:val="nil"/>
              <w:right w:val="single" w:sz="8" w:space="0" w:color="auto"/>
            </w:tcBorders>
            <w:noWrap/>
            <w:vAlign w:val="center"/>
            <w:hideMark/>
          </w:tcPr>
          <w:p w14:paraId="20A348A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326A920"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6D32F987"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579BA621"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09412405"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230F9A1A"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8979975"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0678EF11" w14:textId="77777777" w:rsidTr="00A41632">
        <w:trPr>
          <w:trHeight w:val="276"/>
          <w:jc w:val="center"/>
        </w:trPr>
        <w:tc>
          <w:tcPr>
            <w:tcW w:w="955" w:type="dxa"/>
            <w:tcBorders>
              <w:top w:val="nil"/>
              <w:left w:val="single" w:sz="8" w:space="0" w:color="auto"/>
              <w:bottom w:val="nil"/>
              <w:right w:val="nil"/>
            </w:tcBorders>
            <w:noWrap/>
            <w:vAlign w:val="center"/>
            <w:hideMark/>
          </w:tcPr>
          <w:p w14:paraId="69D11AF5"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1604198D"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3654E2F5" w14:textId="77777777" w:rsidR="00F3536C" w:rsidRPr="00A4272B" w:rsidRDefault="00F3536C" w:rsidP="00A41632">
            <w:pPr>
              <w:rPr>
                <w:color w:val="000000"/>
                <w:sz w:val="14"/>
                <w:szCs w:val="14"/>
                <w:lang w:val="en-US"/>
              </w:rPr>
            </w:pPr>
            <w:r w:rsidRPr="00A4272B">
              <w:rPr>
                <w:color w:val="000000"/>
                <w:sz w:val="14"/>
                <w:szCs w:val="14"/>
                <w:lang w:val="en-US"/>
              </w:rPr>
              <w:t>Nanjing</w:t>
            </w:r>
          </w:p>
        </w:tc>
        <w:tc>
          <w:tcPr>
            <w:tcW w:w="998" w:type="dxa"/>
            <w:noWrap/>
            <w:vAlign w:val="center"/>
            <w:hideMark/>
          </w:tcPr>
          <w:p w14:paraId="71939556" w14:textId="77777777" w:rsidR="00F3536C" w:rsidRPr="00A4272B" w:rsidRDefault="00F3536C" w:rsidP="00A41632">
            <w:pPr>
              <w:jc w:val="center"/>
              <w:rPr>
                <w:color w:val="000000"/>
                <w:sz w:val="14"/>
                <w:szCs w:val="14"/>
                <w:lang w:val="en-US"/>
              </w:rPr>
            </w:pPr>
            <w:r w:rsidRPr="00A4272B">
              <w:rPr>
                <w:color w:val="000000"/>
                <w:sz w:val="14"/>
                <w:szCs w:val="14"/>
                <w:lang w:val="en-US"/>
              </w:rPr>
              <w:t>U3</w:t>
            </w:r>
          </w:p>
        </w:tc>
        <w:tc>
          <w:tcPr>
            <w:tcW w:w="1342" w:type="dxa"/>
            <w:noWrap/>
            <w:vAlign w:val="center"/>
            <w:hideMark/>
          </w:tcPr>
          <w:p w14:paraId="45D4F742"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161E71ED" w14:textId="77777777" w:rsidR="00F3536C" w:rsidRPr="00A4272B" w:rsidRDefault="00F3536C" w:rsidP="00A41632">
            <w:pPr>
              <w:jc w:val="right"/>
              <w:rPr>
                <w:color w:val="000000"/>
                <w:sz w:val="14"/>
                <w:szCs w:val="14"/>
                <w:lang w:val="en-US"/>
              </w:rPr>
            </w:pPr>
            <w:r w:rsidRPr="00A4272B">
              <w:rPr>
                <w:color w:val="000000"/>
                <w:sz w:val="14"/>
                <w:szCs w:val="14"/>
                <w:lang w:val="en-US"/>
              </w:rPr>
              <w:t>32.043060</w:t>
            </w:r>
          </w:p>
        </w:tc>
        <w:tc>
          <w:tcPr>
            <w:tcW w:w="998" w:type="dxa"/>
            <w:noWrap/>
            <w:vAlign w:val="center"/>
            <w:hideMark/>
          </w:tcPr>
          <w:p w14:paraId="2905477F" w14:textId="77777777" w:rsidR="00F3536C" w:rsidRPr="00A4272B" w:rsidRDefault="00F3536C" w:rsidP="00A41632">
            <w:pPr>
              <w:jc w:val="right"/>
              <w:rPr>
                <w:color w:val="000000"/>
                <w:sz w:val="14"/>
                <w:szCs w:val="14"/>
                <w:lang w:val="en-US"/>
              </w:rPr>
            </w:pPr>
            <w:r w:rsidRPr="00A4272B">
              <w:rPr>
                <w:color w:val="000000"/>
                <w:sz w:val="14"/>
                <w:szCs w:val="14"/>
                <w:lang w:val="en-US"/>
              </w:rPr>
              <w:t>118.745600</w:t>
            </w:r>
          </w:p>
        </w:tc>
        <w:tc>
          <w:tcPr>
            <w:tcW w:w="859" w:type="dxa"/>
            <w:tcBorders>
              <w:top w:val="nil"/>
              <w:left w:val="nil"/>
              <w:bottom w:val="nil"/>
              <w:right w:val="single" w:sz="8" w:space="0" w:color="auto"/>
            </w:tcBorders>
            <w:noWrap/>
            <w:vAlign w:val="center"/>
            <w:hideMark/>
          </w:tcPr>
          <w:p w14:paraId="4A94A80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3FF0D07"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2AA3A261"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62993F19"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2C169672"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7996709F"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B6B8278" w14:textId="77777777" w:rsidR="00F3536C" w:rsidRPr="00A4272B" w:rsidRDefault="00F3536C" w:rsidP="00A41632">
            <w:pPr>
              <w:rPr>
                <w:sz w:val="14"/>
                <w:szCs w:val="14"/>
                <w:lang w:val="en-US"/>
              </w:rPr>
            </w:pPr>
            <w:r w:rsidRPr="00A4272B">
              <w:rPr>
                <w:sz w:val="14"/>
                <w:szCs w:val="14"/>
                <w:lang w:val="en-US"/>
              </w:rPr>
              <w:t>2012</w:t>
            </w:r>
          </w:p>
        </w:tc>
      </w:tr>
      <w:tr w:rsidR="00F3536C" w:rsidRPr="00A4272B" w14:paraId="728B8E99" w14:textId="77777777" w:rsidTr="00A41632">
        <w:trPr>
          <w:trHeight w:val="276"/>
          <w:jc w:val="center"/>
        </w:trPr>
        <w:tc>
          <w:tcPr>
            <w:tcW w:w="955" w:type="dxa"/>
            <w:tcBorders>
              <w:top w:val="nil"/>
              <w:left w:val="single" w:sz="8" w:space="0" w:color="auto"/>
              <w:bottom w:val="nil"/>
              <w:right w:val="nil"/>
            </w:tcBorders>
            <w:noWrap/>
            <w:vAlign w:val="center"/>
            <w:hideMark/>
          </w:tcPr>
          <w:p w14:paraId="68781EDD"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6344ED42"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664EE92C" w14:textId="77777777" w:rsidR="00F3536C" w:rsidRPr="00A4272B" w:rsidRDefault="00F3536C" w:rsidP="00A41632">
            <w:pPr>
              <w:rPr>
                <w:color w:val="000000"/>
                <w:sz w:val="14"/>
                <w:szCs w:val="14"/>
                <w:lang w:val="en-US"/>
              </w:rPr>
            </w:pPr>
            <w:r w:rsidRPr="00A4272B">
              <w:rPr>
                <w:color w:val="000000"/>
                <w:sz w:val="14"/>
                <w:szCs w:val="14"/>
                <w:lang w:val="en-US"/>
              </w:rPr>
              <w:t>Qinghaihu</w:t>
            </w:r>
          </w:p>
        </w:tc>
        <w:tc>
          <w:tcPr>
            <w:tcW w:w="998" w:type="dxa"/>
            <w:noWrap/>
            <w:vAlign w:val="center"/>
            <w:hideMark/>
          </w:tcPr>
          <w:p w14:paraId="7C5421E9" w14:textId="77777777" w:rsidR="00F3536C" w:rsidRPr="00A4272B" w:rsidRDefault="00F3536C" w:rsidP="00A41632">
            <w:pPr>
              <w:jc w:val="center"/>
              <w:rPr>
                <w:color w:val="000000"/>
                <w:sz w:val="14"/>
                <w:szCs w:val="14"/>
                <w:lang w:val="en-US"/>
              </w:rPr>
            </w:pPr>
            <w:r w:rsidRPr="00A4272B">
              <w:rPr>
                <w:color w:val="000000"/>
                <w:sz w:val="14"/>
                <w:szCs w:val="14"/>
                <w:lang w:val="en-US"/>
              </w:rPr>
              <w:t>B11</w:t>
            </w:r>
          </w:p>
        </w:tc>
        <w:tc>
          <w:tcPr>
            <w:tcW w:w="1342" w:type="dxa"/>
            <w:noWrap/>
            <w:vAlign w:val="center"/>
            <w:hideMark/>
          </w:tcPr>
          <w:p w14:paraId="42A5DB2F"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6FD67782" w14:textId="77777777" w:rsidR="00F3536C" w:rsidRPr="00A4272B" w:rsidRDefault="00F3536C" w:rsidP="00A41632">
            <w:pPr>
              <w:jc w:val="right"/>
              <w:rPr>
                <w:color w:val="000000"/>
                <w:sz w:val="14"/>
                <w:szCs w:val="14"/>
                <w:lang w:val="en-US"/>
              </w:rPr>
            </w:pPr>
            <w:r w:rsidRPr="00A4272B">
              <w:rPr>
                <w:color w:val="000000"/>
                <w:sz w:val="14"/>
                <w:szCs w:val="14"/>
                <w:lang w:val="en-US"/>
              </w:rPr>
              <w:t>36.583890</w:t>
            </w:r>
          </w:p>
        </w:tc>
        <w:tc>
          <w:tcPr>
            <w:tcW w:w="998" w:type="dxa"/>
            <w:noWrap/>
            <w:vAlign w:val="center"/>
            <w:hideMark/>
          </w:tcPr>
          <w:p w14:paraId="11B3A37A" w14:textId="77777777" w:rsidR="00F3536C" w:rsidRPr="00A4272B" w:rsidRDefault="00F3536C" w:rsidP="00A41632">
            <w:pPr>
              <w:jc w:val="right"/>
              <w:rPr>
                <w:color w:val="000000"/>
                <w:sz w:val="14"/>
                <w:szCs w:val="14"/>
                <w:lang w:val="en-US"/>
              </w:rPr>
            </w:pPr>
            <w:r w:rsidRPr="00A4272B">
              <w:rPr>
                <w:color w:val="000000"/>
                <w:sz w:val="14"/>
                <w:szCs w:val="14"/>
                <w:lang w:val="en-US"/>
              </w:rPr>
              <w:t>100.493300</w:t>
            </w:r>
          </w:p>
        </w:tc>
        <w:tc>
          <w:tcPr>
            <w:tcW w:w="859" w:type="dxa"/>
            <w:tcBorders>
              <w:top w:val="nil"/>
              <w:left w:val="nil"/>
              <w:bottom w:val="nil"/>
              <w:right w:val="single" w:sz="8" w:space="0" w:color="auto"/>
            </w:tcBorders>
            <w:noWrap/>
            <w:vAlign w:val="center"/>
            <w:hideMark/>
          </w:tcPr>
          <w:p w14:paraId="33932C8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01F18A5"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34014C3B"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30D6488E"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27AA3040"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4709D7B9"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FA5B131"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1CECF56E" w14:textId="77777777" w:rsidTr="00F006B1">
        <w:trPr>
          <w:trHeight w:val="276"/>
          <w:jc w:val="center"/>
        </w:trPr>
        <w:tc>
          <w:tcPr>
            <w:tcW w:w="955" w:type="dxa"/>
            <w:tcBorders>
              <w:top w:val="nil"/>
              <w:left w:val="single" w:sz="8" w:space="0" w:color="auto"/>
              <w:right w:val="nil"/>
            </w:tcBorders>
            <w:noWrap/>
            <w:vAlign w:val="center"/>
            <w:hideMark/>
          </w:tcPr>
          <w:p w14:paraId="6EEA6FB3"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32CC2A6D"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5D846FF0" w14:textId="77777777" w:rsidR="00F3536C" w:rsidRPr="00A4272B" w:rsidRDefault="00F3536C" w:rsidP="00A41632">
            <w:pPr>
              <w:rPr>
                <w:color w:val="000000"/>
                <w:sz w:val="14"/>
                <w:szCs w:val="14"/>
                <w:lang w:val="en-US"/>
              </w:rPr>
            </w:pPr>
            <w:r w:rsidRPr="00A4272B">
              <w:rPr>
                <w:color w:val="000000"/>
                <w:sz w:val="14"/>
                <w:szCs w:val="14"/>
                <w:lang w:val="en-US"/>
              </w:rPr>
              <w:t>Qingyuan</w:t>
            </w:r>
          </w:p>
        </w:tc>
        <w:tc>
          <w:tcPr>
            <w:tcW w:w="998" w:type="dxa"/>
            <w:noWrap/>
            <w:vAlign w:val="center"/>
            <w:hideMark/>
          </w:tcPr>
          <w:p w14:paraId="3CC729F2" w14:textId="77777777" w:rsidR="00F3536C" w:rsidRPr="00A4272B" w:rsidRDefault="00F3536C" w:rsidP="00A41632">
            <w:pPr>
              <w:jc w:val="center"/>
              <w:rPr>
                <w:color w:val="000000"/>
                <w:sz w:val="14"/>
                <w:szCs w:val="14"/>
                <w:lang w:val="en-US"/>
              </w:rPr>
            </w:pPr>
            <w:r w:rsidRPr="00A4272B">
              <w:rPr>
                <w:color w:val="000000"/>
                <w:sz w:val="14"/>
                <w:szCs w:val="14"/>
                <w:lang w:val="en-US"/>
              </w:rPr>
              <w:t>B1</w:t>
            </w:r>
          </w:p>
        </w:tc>
        <w:tc>
          <w:tcPr>
            <w:tcW w:w="1342" w:type="dxa"/>
            <w:noWrap/>
            <w:vAlign w:val="center"/>
            <w:hideMark/>
          </w:tcPr>
          <w:p w14:paraId="3FA10800"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1FBCAEBC" w14:textId="77777777" w:rsidR="00F3536C" w:rsidRPr="00A4272B" w:rsidRDefault="00F3536C" w:rsidP="00A41632">
            <w:pPr>
              <w:jc w:val="right"/>
              <w:rPr>
                <w:color w:val="000000"/>
                <w:sz w:val="14"/>
                <w:szCs w:val="14"/>
                <w:lang w:val="en-US"/>
              </w:rPr>
            </w:pPr>
            <w:r w:rsidRPr="00A4272B">
              <w:rPr>
                <w:color w:val="000000"/>
                <w:sz w:val="14"/>
                <w:szCs w:val="14"/>
                <w:lang w:val="en-US"/>
              </w:rPr>
              <w:t>41.852220</w:t>
            </w:r>
          </w:p>
        </w:tc>
        <w:tc>
          <w:tcPr>
            <w:tcW w:w="998" w:type="dxa"/>
            <w:noWrap/>
            <w:vAlign w:val="center"/>
            <w:hideMark/>
          </w:tcPr>
          <w:p w14:paraId="248827C2" w14:textId="77777777" w:rsidR="00F3536C" w:rsidRPr="00A4272B" w:rsidRDefault="00F3536C" w:rsidP="00A41632">
            <w:pPr>
              <w:jc w:val="right"/>
              <w:rPr>
                <w:color w:val="000000"/>
                <w:sz w:val="14"/>
                <w:szCs w:val="14"/>
                <w:lang w:val="en-US"/>
              </w:rPr>
            </w:pPr>
            <w:r w:rsidRPr="00A4272B">
              <w:rPr>
                <w:color w:val="000000"/>
                <w:sz w:val="14"/>
                <w:szCs w:val="14"/>
                <w:lang w:val="en-US"/>
              </w:rPr>
              <w:t>124.937800</w:t>
            </w:r>
          </w:p>
        </w:tc>
        <w:tc>
          <w:tcPr>
            <w:tcW w:w="859" w:type="dxa"/>
            <w:tcBorders>
              <w:top w:val="nil"/>
              <w:left w:val="nil"/>
              <w:right w:val="single" w:sz="8" w:space="0" w:color="auto"/>
            </w:tcBorders>
            <w:noWrap/>
            <w:vAlign w:val="center"/>
            <w:hideMark/>
          </w:tcPr>
          <w:p w14:paraId="1669FF9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B7E1917"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2F958922"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16BAA7E8"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11C83EDC"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4A202DA7"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right w:val="single" w:sz="8" w:space="0" w:color="auto"/>
            </w:tcBorders>
            <w:noWrap/>
            <w:vAlign w:val="center"/>
            <w:hideMark/>
          </w:tcPr>
          <w:p w14:paraId="4F842E31"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12233B0C"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49903874" w14:textId="77777777" w:rsidR="00F3536C" w:rsidRPr="00A4272B" w:rsidRDefault="00F3536C" w:rsidP="00A41632">
            <w:pPr>
              <w:rPr>
                <w:color w:val="000000"/>
                <w:sz w:val="14"/>
                <w:szCs w:val="14"/>
                <w:lang w:val="en-US"/>
              </w:rPr>
            </w:pPr>
            <w:r w:rsidRPr="00A4272B">
              <w:rPr>
                <w:color w:val="000000"/>
                <w:sz w:val="14"/>
                <w:szCs w:val="14"/>
                <w:lang w:val="en-US"/>
              </w:rPr>
              <w:lastRenderedPageBreak/>
              <w:t>China</w:t>
            </w:r>
          </w:p>
        </w:tc>
        <w:tc>
          <w:tcPr>
            <w:tcW w:w="1391" w:type="dxa"/>
            <w:tcBorders>
              <w:bottom w:val="single" w:sz="4" w:space="0" w:color="auto"/>
            </w:tcBorders>
            <w:noWrap/>
            <w:vAlign w:val="center"/>
            <w:hideMark/>
          </w:tcPr>
          <w:p w14:paraId="3CD29C86"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tcBorders>
              <w:bottom w:val="single" w:sz="4" w:space="0" w:color="auto"/>
            </w:tcBorders>
            <w:noWrap/>
            <w:vAlign w:val="center"/>
            <w:hideMark/>
          </w:tcPr>
          <w:p w14:paraId="76CB871C" w14:textId="77777777" w:rsidR="00F3536C" w:rsidRPr="00A4272B" w:rsidRDefault="00F3536C" w:rsidP="00A41632">
            <w:pPr>
              <w:rPr>
                <w:color w:val="000000"/>
                <w:sz w:val="14"/>
                <w:szCs w:val="14"/>
                <w:lang w:val="en-US"/>
              </w:rPr>
            </w:pPr>
            <w:r w:rsidRPr="00A4272B">
              <w:rPr>
                <w:color w:val="000000"/>
                <w:sz w:val="14"/>
                <w:szCs w:val="14"/>
                <w:lang w:val="en-US"/>
              </w:rPr>
              <w:t>Rizhao</w:t>
            </w:r>
          </w:p>
        </w:tc>
        <w:tc>
          <w:tcPr>
            <w:tcW w:w="998" w:type="dxa"/>
            <w:tcBorders>
              <w:bottom w:val="single" w:sz="4" w:space="0" w:color="auto"/>
            </w:tcBorders>
            <w:noWrap/>
            <w:vAlign w:val="center"/>
            <w:hideMark/>
          </w:tcPr>
          <w:p w14:paraId="790B337B" w14:textId="77777777" w:rsidR="00F3536C" w:rsidRPr="00A4272B" w:rsidRDefault="00F3536C" w:rsidP="00A41632">
            <w:pPr>
              <w:jc w:val="center"/>
              <w:rPr>
                <w:color w:val="000000"/>
                <w:sz w:val="14"/>
                <w:szCs w:val="14"/>
                <w:lang w:val="en-US"/>
              </w:rPr>
            </w:pPr>
            <w:r w:rsidRPr="00A4272B">
              <w:rPr>
                <w:color w:val="000000"/>
                <w:sz w:val="14"/>
                <w:szCs w:val="14"/>
                <w:lang w:val="en-US"/>
              </w:rPr>
              <w:t>R1</w:t>
            </w:r>
          </w:p>
        </w:tc>
        <w:tc>
          <w:tcPr>
            <w:tcW w:w="1342" w:type="dxa"/>
            <w:tcBorders>
              <w:bottom w:val="single" w:sz="4" w:space="0" w:color="auto"/>
            </w:tcBorders>
            <w:noWrap/>
            <w:vAlign w:val="center"/>
            <w:hideMark/>
          </w:tcPr>
          <w:p w14:paraId="3DC2EEB1"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bottom w:val="single" w:sz="4" w:space="0" w:color="auto"/>
            </w:tcBorders>
            <w:noWrap/>
            <w:vAlign w:val="center"/>
            <w:hideMark/>
          </w:tcPr>
          <w:p w14:paraId="7A4BE3A0" w14:textId="77777777" w:rsidR="00F3536C" w:rsidRPr="00A4272B" w:rsidRDefault="00F3536C" w:rsidP="00A41632">
            <w:pPr>
              <w:jc w:val="right"/>
              <w:rPr>
                <w:color w:val="000000"/>
                <w:sz w:val="14"/>
                <w:szCs w:val="14"/>
                <w:lang w:val="en-US"/>
              </w:rPr>
            </w:pPr>
            <w:r w:rsidRPr="00A4272B">
              <w:rPr>
                <w:color w:val="000000"/>
                <w:sz w:val="14"/>
                <w:szCs w:val="14"/>
                <w:lang w:val="en-US"/>
              </w:rPr>
              <w:t>35.693610</w:t>
            </w:r>
          </w:p>
        </w:tc>
        <w:tc>
          <w:tcPr>
            <w:tcW w:w="998" w:type="dxa"/>
            <w:tcBorders>
              <w:bottom w:val="single" w:sz="4" w:space="0" w:color="auto"/>
            </w:tcBorders>
            <w:noWrap/>
            <w:vAlign w:val="center"/>
            <w:hideMark/>
          </w:tcPr>
          <w:p w14:paraId="4C685D79" w14:textId="77777777" w:rsidR="00F3536C" w:rsidRPr="00A4272B" w:rsidRDefault="00F3536C" w:rsidP="00A41632">
            <w:pPr>
              <w:jc w:val="right"/>
              <w:rPr>
                <w:color w:val="000000"/>
                <w:sz w:val="14"/>
                <w:szCs w:val="14"/>
                <w:lang w:val="en-US"/>
              </w:rPr>
            </w:pPr>
            <w:r w:rsidRPr="00A4272B">
              <w:rPr>
                <w:color w:val="000000"/>
                <w:sz w:val="14"/>
                <w:szCs w:val="14"/>
                <w:lang w:val="en-US"/>
              </w:rPr>
              <w:t>119.314400</w:t>
            </w:r>
          </w:p>
        </w:tc>
        <w:tc>
          <w:tcPr>
            <w:tcW w:w="859" w:type="dxa"/>
            <w:tcBorders>
              <w:top w:val="nil"/>
              <w:left w:val="nil"/>
              <w:bottom w:val="single" w:sz="4" w:space="0" w:color="auto"/>
              <w:right w:val="single" w:sz="8" w:space="0" w:color="auto"/>
            </w:tcBorders>
            <w:noWrap/>
            <w:vAlign w:val="center"/>
            <w:hideMark/>
          </w:tcPr>
          <w:p w14:paraId="5AD6B79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bottom w:val="single" w:sz="4" w:space="0" w:color="auto"/>
            </w:tcBorders>
            <w:noWrap/>
            <w:vAlign w:val="center"/>
            <w:hideMark/>
          </w:tcPr>
          <w:p w14:paraId="7A4EAE8A"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tcBorders>
              <w:bottom w:val="single" w:sz="4" w:space="0" w:color="auto"/>
            </w:tcBorders>
            <w:noWrap/>
            <w:vAlign w:val="center"/>
            <w:hideMark/>
          </w:tcPr>
          <w:p w14:paraId="378AE04A"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tcBorders>
              <w:bottom w:val="single" w:sz="4" w:space="0" w:color="auto"/>
            </w:tcBorders>
            <w:noWrap/>
            <w:vAlign w:val="center"/>
            <w:hideMark/>
          </w:tcPr>
          <w:p w14:paraId="65CB4FF8"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tcBorders>
              <w:bottom w:val="single" w:sz="4" w:space="0" w:color="auto"/>
            </w:tcBorders>
            <w:noWrap/>
            <w:vAlign w:val="center"/>
            <w:hideMark/>
          </w:tcPr>
          <w:p w14:paraId="43C7DC2C"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tcBorders>
              <w:bottom w:val="single" w:sz="4" w:space="0" w:color="auto"/>
            </w:tcBorders>
            <w:noWrap/>
            <w:vAlign w:val="center"/>
            <w:hideMark/>
          </w:tcPr>
          <w:p w14:paraId="65566038"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single" w:sz="4" w:space="0" w:color="auto"/>
              <w:right w:val="single" w:sz="8" w:space="0" w:color="auto"/>
            </w:tcBorders>
            <w:noWrap/>
            <w:vAlign w:val="center"/>
            <w:hideMark/>
          </w:tcPr>
          <w:p w14:paraId="3DB63530" w14:textId="77777777" w:rsidR="00F3536C" w:rsidRPr="00A4272B" w:rsidRDefault="00F3536C" w:rsidP="00A41632">
            <w:pPr>
              <w:rPr>
                <w:sz w:val="14"/>
                <w:szCs w:val="14"/>
                <w:lang w:val="en-US"/>
              </w:rPr>
            </w:pPr>
            <w:r w:rsidRPr="00A4272B">
              <w:rPr>
                <w:sz w:val="14"/>
                <w:szCs w:val="14"/>
                <w:lang w:val="en-US"/>
              </w:rPr>
              <w:t>2012</w:t>
            </w:r>
          </w:p>
        </w:tc>
      </w:tr>
      <w:tr w:rsidR="00F3536C" w:rsidRPr="00A4272B" w14:paraId="51D34380"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6C9CEF35"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tcBorders>
              <w:top w:val="single" w:sz="4" w:space="0" w:color="auto"/>
            </w:tcBorders>
            <w:noWrap/>
            <w:vAlign w:val="center"/>
            <w:hideMark/>
          </w:tcPr>
          <w:p w14:paraId="5B91B8C4"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tcBorders>
              <w:top w:val="single" w:sz="4" w:space="0" w:color="auto"/>
            </w:tcBorders>
            <w:noWrap/>
            <w:vAlign w:val="center"/>
            <w:hideMark/>
          </w:tcPr>
          <w:p w14:paraId="006A226E" w14:textId="77777777" w:rsidR="00F3536C" w:rsidRPr="00A4272B" w:rsidRDefault="00F3536C" w:rsidP="00A41632">
            <w:pPr>
              <w:rPr>
                <w:color w:val="000000"/>
                <w:sz w:val="14"/>
                <w:szCs w:val="14"/>
                <w:lang w:val="en-US"/>
              </w:rPr>
            </w:pPr>
            <w:r w:rsidRPr="00A4272B">
              <w:rPr>
                <w:color w:val="000000"/>
                <w:sz w:val="14"/>
                <w:szCs w:val="14"/>
                <w:lang w:val="en-US"/>
              </w:rPr>
              <w:t>Shennongjia</w:t>
            </w:r>
          </w:p>
        </w:tc>
        <w:tc>
          <w:tcPr>
            <w:tcW w:w="998" w:type="dxa"/>
            <w:tcBorders>
              <w:top w:val="single" w:sz="4" w:space="0" w:color="auto"/>
            </w:tcBorders>
            <w:noWrap/>
            <w:vAlign w:val="center"/>
            <w:hideMark/>
          </w:tcPr>
          <w:p w14:paraId="02B786AB" w14:textId="77777777" w:rsidR="00F3536C" w:rsidRPr="00A4272B" w:rsidRDefault="00F3536C" w:rsidP="00A41632">
            <w:pPr>
              <w:jc w:val="center"/>
              <w:rPr>
                <w:color w:val="000000"/>
                <w:sz w:val="14"/>
                <w:szCs w:val="14"/>
                <w:lang w:val="en-US"/>
              </w:rPr>
            </w:pPr>
            <w:r w:rsidRPr="00A4272B">
              <w:rPr>
                <w:color w:val="000000"/>
                <w:sz w:val="14"/>
                <w:szCs w:val="14"/>
                <w:lang w:val="en-US"/>
              </w:rPr>
              <w:t>B7</w:t>
            </w:r>
          </w:p>
        </w:tc>
        <w:tc>
          <w:tcPr>
            <w:tcW w:w="1342" w:type="dxa"/>
            <w:tcBorders>
              <w:top w:val="single" w:sz="4" w:space="0" w:color="auto"/>
            </w:tcBorders>
            <w:noWrap/>
            <w:vAlign w:val="center"/>
            <w:hideMark/>
          </w:tcPr>
          <w:p w14:paraId="55B60425"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tcBorders>
              <w:top w:val="single" w:sz="4" w:space="0" w:color="auto"/>
            </w:tcBorders>
            <w:noWrap/>
            <w:vAlign w:val="center"/>
            <w:hideMark/>
          </w:tcPr>
          <w:p w14:paraId="42C9E35B" w14:textId="77777777" w:rsidR="00F3536C" w:rsidRPr="00A4272B" w:rsidRDefault="00F3536C" w:rsidP="00A41632">
            <w:pPr>
              <w:jc w:val="right"/>
              <w:rPr>
                <w:color w:val="000000"/>
                <w:sz w:val="14"/>
                <w:szCs w:val="14"/>
                <w:lang w:val="en-US"/>
              </w:rPr>
            </w:pPr>
            <w:r w:rsidRPr="00A4272B">
              <w:rPr>
                <w:color w:val="000000"/>
                <w:sz w:val="14"/>
                <w:szCs w:val="14"/>
                <w:lang w:val="en-US"/>
              </w:rPr>
              <w:t>31.457220</w:t>
            </w:r>
          </w:p>
        </w:tc>
        <w:tc>
          <w:tcPr>
            <w:tcW w:w="998" w:type="dxa"/>
            <w:tcBorders>
              <w:top w:val="single" w:sz="4" w:space="0" w:color="auto"/>
            </w:tcBorders>
            <w:noWrap/>
            <w:vAlign w:val="center"/>
            <w:hideMark/>
          </w:tcPr>
          <w:p w14:paraId="5623F878" w14:textId="77777777" w:rsidR="00F3536C" w:rsidRPr="00A4272B" w:rsidRDefault="00F3536C" w:rsidP="00A41632">
            <w:pPr>
              <w:jc w:val="right"/>
              <w:rPr>
                <w:color w:val="000000"/>
                <w:sz w:val="14"/>
                <w:szCs w:val="14"/>
                <w:lang w:val="en-US"/>
              </w:rPr>
            </w:pPr>
            <w:r w:rsidRPr="00A4272B">
              <w:rPr>
                <w:color w:val="000000"/>
                <w:sz w:val="14"/>
                <w:szCs w:val="14"/>
                <w:lang w:val="en-US"/>
              </w:rPr>
              <w:t>110.271100</w:t>
            </w:r>
          </w:p>
        </w:tc>
        <w:tc>
          <w:tcPr>
            <w:tcW w:w="859" w:type="dxa"/>
            <w:tcBorders>
              <w:top w:val="single" w:sz="4" w:space="0" w:color="auto"/>
              <w:left w:val="nil"/>
              <w:bottom w:val="nil"/>
              <w:right w:val="single" w:sz="8" w:space="0" w:color="auto"/>
            </w:tcBorders>
            <w:noWrap/>
            <w:vAlign w:val="center"/>
            <w:hideMark/>
          </w:tcPr>
          <w:p w14:paraId="3CFFE85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tcBorders>
            <w:noWrap/>
            <w:vAlign w:val="center"/>
            <w:hideMark/>
          </w:tcPr>
          <w:p w14:paraId="408115CA"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tcBorders>
              <w:top w:val="single" w:sz="4" w:space="0" w:color="auto"/>
            </w:tcBorders>
            <w:noWrap/>
            <w:vAlign w:val="center"/>
            <w:hideMark/>
          </w:tcPr>
          <w:p w14:paraId="332DCB76"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tcBorders>
              <w:top w:val="single" w:sz="4" w:space="0" w:color="auto"/>
            </w:tcBorders>
            <w:noWrap/>
            <w:vAlign w:val="center"/>
            <w:hideMark/>
          </w:tcPr>
          <w:p w14:paraId="7EE348FA"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tcBorders>
              <w:top w:val="single" w:sz="4" w:space="0" w:color="auto"/>
            </w:tcBorders>
            <w:noWrap/>
            <w:vAlign w:val="center"/>
            <w:hideMark/>
          </w:tcPr>
          <w:p w14:paraId="70739A39"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tcBorders>
              <w:top w:val="single" w:sz="4" w:space="0" w:color="auto"/>
            </w:tcBorders>
            <w:noWrap/>
            <w:vAlign w:val="center"/>
            <w:hideMark/>
          </w:tcPr>
          <w:p w14:paraId="1DF08335"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single" w:sz="4" w:space="0" w:color="auto"/>
              <w:left w:val="nil"/>
              <w:bottom w:val="nil"/>
              <w:right w:val="single" w:sz="8" w:space="0" w:color="auto"/>
            </w:tcBorders>
            <w:noWrap/>
            <w:vAlign w:val="center"/>
            <w:hideMark/>
          </w:tcPr>
          <w:p w14:paraId="2EE63D87" w14:textId="77777777" w:rsidR="00F3536C" w:rsidRPr="00A4272B" w:rsidRDefault="00F3536C" w:rsidP="00A41632">
            <w:pPr>
              <w:rPr>
                <w:sz w:val="14"/>
                <w:szCs w:val="14"/>
                <w:lang w:val="en-US"/>
              </w:rPr>
            </w:pPr>
            <w:r w:rsidRPr="00A4272B">
              <w:rPr>
                <w:sz w:val="14"/>
                <w:szCs w:val="14"/>
                <w:lang w:val="en-US"/>
              </w:rPr>
              <w:t>2011</w:t>
            </w:r>
          </w:p>
        </w:tc>
      </w:tr>
      <w:tr w:rsidR="00F3536C" w:rsidRPr="00A4272B" w14:paraId="52DED6F9" w14:textId="77777777" w:rsidTr="00A41632">
        <w:trPr>
          <w:trHeight w:val="276"/>
          <w:jc w:val="center"/>
        </w:trPr>
        <w:tc>
          <w:tcPr>
            <w:tcW w:w="955" w:type="dxa"/>
            <w:tcBorders>
              <w:top w:val="nil"/>
              <w:left w:val="single" w:sz="8" w:space="0" w:color="auto"/>
              <w:bottom w:val="nil"/>
              <w:right w:val="nil"/>
            </w:tcBorders>
            <w:noWrap/>
            <w:vAlign w:val="center"/>
            <w:hideMark/>
          </w:tcPr>
          <w:p w14:paraId="30D16F13"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6D9F031E"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0847803A" w14:textId="77777777" w:rsidR="00F3536C" w:rsidRPr="00A4272B" w:rsidRDefault="00F3536C" w:rsidP="00A41632">
            <w:pPr>
              <w:rPr>
                <w:color w:val="000000"/>
                <w:sz w:val="14"/>
                <w:szCs w:val="14"/>
                <w:lang w:val="en-US"/>
              </w:rPr>
            </w:pPr>
            <w:r w:rsidRPr="00A4272B">
              <w:rPr>
                <w:color w:val="000000"/>
                <w:sz w:val="14"/>
                <w:szCs w:val="14"/>
                <w:lang w:val="en-US"/>
              </w:rPr>
              <w:t>Wuhan</w:t>
            </w:r>
          </w:p>
        </w:tc>
        <w:tc>
          <w:tcPr>
            <w:tcW w:w="998" w:type="dxa"/>
            <w:noWrap/>
            <w:vAlign w:val="center"/>
            <w:hideMark/>
          </w:tcPr>
          <w:p w14:paraId="3A0EDAF5" w14:textId="77777777" w:rsidR="00F3536C" w:rsidRPr="00A4272B" w:rsidRDefault="00F3536C" w:rsidP="00A41632">
            <w:pPr>
              <w:jc w:val="center"/>
              <w:rPr>
                <w:color w:val="000000"/>
                <w:sz w:val="14"/>
                <w:szCs w:val="14"/>
                <w:lang w:val="en-US"/>
              </w:rPr>
            </w:pPr>
            <w:r w:rsidRPr="00A4272B">
              <w:rPr>
                <w:color w:val="000000"/>
                <w:sz w:val="14"/>
                <w:szCs w:val="14"/>
                <w:lang w:val="en-US"/>
              </w:rPr>
              <w:t>U2</w:t>
            </w:r>
          </w:p>
        </w:tc>
        <w:tc>
          <w:tcPr>
            <w:tcW w:w="1342" w:type="dxa"/>
            <w:noWrap/>
            <w:vAlign w:val="center"/>
            <w:hideMark/>
          </w:tcPr>
          <w:p w14:paraId="66F2B115"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078068CB" w14:textId="77777777" w:rsidR="00F3536C" w:rsidRPr="00A4272B" w:rsidRDefault="00F3536C" w:rsidP="00A41632">
            <w:pPr>
              <w:jc w:val="right"/>
              <w:rPr>
                <w:color w:val="000000"/>
                <w:sz w:val="14"/>
                <w:szCs w:val="14"/>
                <w:lang w:val="en-US"/>
              </w:rPr>
            </w:pPr>
            <w:r w:rsidRPr="00A4272B">
              <w:rPr>
                <w:color w:val="000000"/>
                <w:sz w:val="14"/>
                <w:szCs w:val="14"/>
                <w:lang w:val="en-US"/>
              </w:rPr>
              <w:t>29.972220</w:t>
            </w:r>
          </w:p>
        </w:tc>
        <w:tc>
          <w:tcPr>
            <w:tcW w:w="998" w:type="dxa"/>
            <w:noWrap/>
            <w:vAlign w:val="center"/>
            <w:hideMark/>
          </w:tcPr>
          <w:p w14:paraId="6440F861" w14:textId="77777777" w:rsidR="00F3536C" w:rsidRPr="00A4272B" w:rsidRDefault="00F3536C" w:rsidP="00A41632">
            <w:pPr>
              <w:jc w:val="right"/>
              <w:rPr>
                <w:color w:val="000000"/>
                <w:sz w:val="14"/>
                <w:szCs w:val="14"/>
                <w:lang w:val="en-US"/>
              </w:rPr>
            </w:pPr>
            <w:r w:rsidRPr="00A4272B">
              <w:rPr>
                <w:color w:val="000000"/>
                <w:sz w:val="14"/>
                <w:szCs w:val="14"/>
                <w:lang w:val="en-US"/>
              </w:rPr>
              <w:t>114.160000</w:t>
            </w:r>
          </w:p>
        </w:tc>
        <w:tc>
          <w:tcPr>
            <w:tcW w:w="859" w:type="dxa"/>
            <w:tcBorders>
              <w:top w:val="nil"/>
              <w:left w:val="nil"/>
              <w:bottom w:val="nil"/>
              <w:right w:val="single" w:sz="8" w:space="0" w:color="auto"/>
            </w:tcBorders>
            <w:noWrap/>
            <w:vAlign w:val="center"/>
            <w:hideMark/>
          </w:tcPr>
          <w:p w14:paraId="2B8589C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D02E697"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33550626"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5FD9AABB"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3C77BA5A"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5834D02E"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D236B78" w14:textId="77777777" w:rsidR="00F3536C" w:rsidRPr="00A4272B" w:rsidRDefault="00F3536C" w:rsidP="00A41632">
            <w:pPr>
              <w:rPr>
                <w:sz w:val="14"/>
                <w:szCs w:val="14"/>
                <w:lang w:val="en-US"/>
              </w:rPr>
            </w:pPr>
            <w:r w:rsidRPr="00A4272B">
              <w:rPr>
                <w:sz w:val="14"/>
                <w:szCs w:val="14"/>
                <w:lang w:val="en-US"/>
              </w:rPr>
              <w:t>2012</w:t>
            </w:r>
          </w:p>
        </w:tc>
      </w:tr>
      <w:tr w:rsidR="00F3536C" w:rsidRPr="00A4272B" w14:paraId="0493535A" w14:textId="77777777" w:rsidTr="00A41632">
        <w:trPr>
          <w:trHeight w:val="276"/>
          <w:jc w:val="center"/>
        </w:trPr>
        <w:tc>
          <w:tcPr>
            <w:tcW w:w="955" w:type="dxa"/>
            <w:tcBorders>
              <w:top w:val="nil"/>
              <w:left w:val="single" w:sz="8" w:space="0" w:color="auto"/>
              <w:bottom w:val="nil"/>
              <w:right w:val="nil"/>
            </w:tcBorders>
            <w:noWrap/>
            <w:vAlign w:val="center"/>
            <w:hideMark/>
          </w:tcPr>
          <w:p w14:paraId="49E9FC60"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3083DAA0"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4D66E73E" w14:textId="77777777" w:rsidR="00F3536C" w:rsidRPr="00A4272B" w:rsidRDefault="00F3536C" w:rsidP="00A41632">
            <w:pPr>
              <w:rPr>
                <w:color w:val="000000"/>
                <w:sz w:val="14"/>
                <w:szCs w:val="14"/>
                <w:lang w:val="en-US"/>
              </w:rPr>
            </w:pPr>
            <w:r w:rsidRPr="00A4272B">
              <w:rPr>
                <w:color w:val="000000"/>
                <w:sz w:val="14"/>
                <w:szCs w:val="14"/>
                <w:lang w:val="en-US"/>
              </w:rPr>
              <w:t>Wulong</w:t>
            </w:r>
          </w:p>
        </w:tc>
        <w:tc>
          <w:tcPr>
            <w:tcW w:w="998" w:type="dxa"/>
            <w:noWrap/>
            <w:vAlign w:val="center"/>
            <w:hideMark/>
          </w:tcPr>
          <w:p w14:paraId="7FC21B6C" w14:textId="77777777" w:rsidR="00F3536C" w:rsidRPr="00A4272B" w:rsidRDefault="00F3536C" w:rsidP="00A41632">
            <w:pPr>
              <w:jc w:val="center"/>
              <w:rPr>
                <w:color w:val="000000"/>
                <w:sz w:val="14"/>
                <w:szCs w:val="14"/>
                <w:lang w:val="en-US"/>
              </w:rPr>
            </w:pPr>
            <w:r w:rsidRPr="00A4272B">
              <w:rPr>
                <w:color w:val="000000"/>
                <w:sz w:val="14"/>
                <w:szCs w:val="14"/>
                <w:lang w:val="en-US"/>
              </w:rPr>
              <w:t>B9</w:t>
            </w:r>
          </w:p>
        </w:tc>
        <w:tc>
          <w:tcPr>
            <w:tcW w:w="1342" w:type="dxa"/>
            <w:noWrap/>
            <w:vAlign w:val="center"/>
            <w:hideMark/>
          </w:tcPr>
          <w:p w14:paraId="54A2FFA2"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0C35DE5E" w14:textId="77777777" w:rsidR="00F3536C" w:rsidRPr="00A4272B" w:rsidRDefault="00F3536C" w:rsidP="00A41632">
            <w:pPr>
              <w:jc w:val="right"/>
              <w:rPr>
                <w:color w:val="000000"/>
                <w:sz w:val="14"/>
                <w:szCs w:val="14"/>
                <w:lang w:val="en-US"/>
              </w:rPr>
            </w:pPr>
            <w:r w:rsidRPr="00A4272B">
              <w:rPr>
                <w:color w:val="000000"/>
                <w:sz w:val="14"/>
                <w:szCs w:val="14"/>
                <w:lang w:val="en-US"/>
              </w:rPr>
              <w:t>29.510830</w:t>
            </w:r>
          </w:p>
        </w:tc>
        <w:tc>
          <w:tcPr>
            <w:tcW w:w="998" w:type="dxa"/>
            <w:noWrap/>
            <w:vAlign w:val="center"/>
            <w:hideMark/>
          </w:tcPr>
          <w:p w14:paraId="09A080F0" w14:textId="77777777" w:rsidR="00F3536C" w:rsidRPr="00A4272B" w:rsidRDefault="00F3536C" w:rsidP="00A41632">
            <w:pPr>
              <w:jc w:val="right"/>
              <w:rPr>
                <w:color w:val="000000"/>
                <w:sz w:val="14"/>
                <w:szCs w:val="14"/>
                <w:lang w:val="en-US"/>
              </w:rPr>
            </w:pPr>
            <w:r w:rsidRPr="00A4272B">
              <w:rPr>
                <w:color w:val="000000"/>
                <w:sz w:val="14"/>
                <w:szCs w:val="14"/>
                <w:lang w:val="en-US"/>
              </w:rPr>
              <w:t>107.746400</w:t>
            </w:r>
          </w:p>
        </w:tc>
        <w:tc>
          <w:tcPr>
            <w:tcW w:w="859" w:type="dxa"/>
            <w:tcBorders>
              <w:top w:val="nil"/>
              <w:left w:val="nil"/>
              <w:bottom w:val="nil"/>
              <w:right w:val="single" w:sz="8" w:space="0" w:color="auto"/>
            </w:tcBorders>
            <w:noWrap/>
            <w:vAlign w:val="center"/>
            <w:hideMark/>
          </w:tcPr>
          <w:p w14:paraId="6D7F20E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11EDE3E" w14:textId="77777777" w:rsidR="00F3536C" w:rsidRPr="00A4272B" w:rsidRDefault="00F3536C" w:rsidP="00A41632">
            <w:pPr>
              <w:rPr>
                <w:color w:val="000000"/>
                <w:sz w:val="14"/>
                <w:szCs w:val="14"/>
                <w:lang w:val="en-US"/>
              </w:rPr>
            </w:pPr>
            <w:r w:rsidRPr="00A4272B">
              <w:rPr>
                <w:color w:val="000000"/>
                <w:sz w:val="14"/>
                <w:szCs w:val="14"/>
                <w:lang w:val="en-US"/>
              </w:rPr>
              <w:t>Active</w:t>
            </w:r>
          </w:p>
        </w:tc>
        <w:tc>
          <w:tcPr>
            <w:tcW w:w="590" w:type="dxa"/>
            <w:noWrap/>
            <w:vAlign w:val="center"/>
            <w:hideMark/>
          </w:tcPr>
          <w:p w14:paraId="5840C890" w14:textId="77777777" w:rsidR="00F3536C" w:rsidRPr="00A4272B" w:rsidRDefault="00F3536C" w:rsidP="00A41632">
            <w:pPr>
              <w:rPr>
                <w:color w:val="000000"/>
                <w:sz w:val="14"/>
                <w:szCs w:val="14"/>
                <w:lang w:val="en-US"/>
              </w:rPr>
            </w:pPr>
            <w:r w:rsidRPr="00A4272B">
              <w:rPr>
                <w:color w:val="000000"/>
                <w:sz w:val="14"/>
                <w:szCs w:val="14"/>
                <w:lang w:val="en-US"/>
              </w:rPr>
              <w:t>PUF</w:t>
            </w:r>
          </w:p>
        </w:tc>
        <w:tc>
          <w:tcPr>
            <w:tcW w:w="937" w:type="dxa"/>
            <w:noWrap/>
            <w:vAlign w:val="center"/>
            <w:hideMark/>
          </w:tcPr>
          <w:p w14:paraId="485B2690" w14:textId="77777777" w:rsidR="00F3536C" w:rsidRPr="00A4272B" w:rsidRDefault="00F3536C" w:rsidP="00A41632">
            <w:pPr>
              <w:rPr>
                <w:color w:val="000000"/>
                <w:sz w:val="14"/>
                <w:szCs w:val="14"/>
                <w:lang w:val="en-US"/>
              </w:rPr>
            </w:pPr>
            <w:r w:rsidRPr="00A4272B">
              <w:rPr>
                <w:color w:val="000000"/>
                <w:sz w:val="14"/>
                <w:szCs w:val="14"/>
                <w:lang w:val="en-US"/>
              </w:rPr>
              <w:t>~300 m³/d</w:t>
            </w:r>
          </w:p>
        </w:tc>
        <w:tc>
          <w:tcPr>
            <w:tcW w:w="831" w:type="dxa"/>
            <w:noWrap/>
            <w:vAlign w:val="center"/>
            <w:hideMark/>
          </w:tcPr>
          <w:p w14:paraId="6BE32B84" w14:textId="77777777" w:rsidR="00F3536C" w:rsidRPr="00A4272B" w:rsidRDefault="00F3536C" w:rsidP="00A41632">
            <w:pPr>
              <w:rPr>
                <w:color w:val="000000"/>
                <w:sz w:val="14"/>
                <w:szCs w:val="14"/>
                <w:lang w:val="en-US"/>
              </w:rPr>
            </w:pPr>
            <w:r w:rsidRPr="00A4272B">
              <w:rPr>
                <w:color w:val="000000"/>
                <w:sz w:val="14"/>
                <w:szCs w:val="14"/>
                <w:lang w:val="en-US"/>
              </w:rPr>
              <w:t>3+ days</w:t>
            </w:r>
          </w:p>
        </w:tc>
        <w:tc>
          <w:tcPr>
            <w:tcW w:w="924" w:type="dxa"/>
            <w:noWrap/>
            <w:vAlign w:val="center"/>
            <w:hideMark/>
          </w:tcPr>
          <w:p w14:paraId="0509528E" w14:textId="77777777" w:rsidR="00F3536C" w:rsidRPr="00A4272B" w:rsidRDefault="00F3536C" w:rsidP="00A41632">
            <w:pP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1B0BEC4" w14:textId="77777777" w:rsidR="00F3536C" w:rsidRPr="00A4272B" w:rsidRDefault="00F3536C" w:rsidP="00A41632">
            <w:pPr>
              <w:rPr>
                <w:sz w:val="14"/>
                <w:szCs w:val="14"/>
                <w:lang w:val="en-US"/>
              </w:rPr>
            </w:pPr>
            <w:r w:rsidRPr="00A4272B">
              <w:rPr>
                <w:sz w:val="14"/>
                <w:szCs w:val="14"/>
                <w:lang w:val="en-US"/>
              </w:rPr>
              <w:t>2008</w:t>
            </w:r>
          </w:p>
        </w:tc>
      </w:tr>
      <w:tr w:rsidR="00F3536C" w:rsidRPr="00A4272B" w14:paraId="5FCA1571" w14:textId="77777777" w:rsidTr="00A41632">
        <w:trPr>
          <w:trHeight w:val="276"/>
          <w:jc w:val="center"/>
        </w:trPr>
        <w:tc>
          <w:tcPr>
            <w:tcW w:w="955" w:type="dxa"/>
            <w:tcBorders>
              <w:top w:val="nil"/>
              <w:left w:val="single" w:sz="8" w:space="0" w:color="auto"/>
              <w:bottom w:val="nil"/>
              <w:right w:val="nil"/>
            </w:tcBorders>
            <w:noWrap/>
            <w:vAlign w:val="center"/>
            <w:hideMark/>
          </w:tcPr>
          <w:p w14:paraId="22F1579F"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noWrap/>
            <w:vAlign w:val="center"/>
            <w:hideMark/>
          </w:tcPr>
          <w:p w14:paraId="1FBB43E2"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noWrap/>
            <w:vAlign w:val="center"/>
            <w:hideMark/>
          </w:tcPr>
          <w:p w14:paraId="6E27F5C3" w14:textId="77777777" w:rsidR="00F3536C" w:rsidRPr="00A4272B" w:rsidRDefault="00F3536C" w:rsidP="00A41632">
            <w:pPr>
              <w:rPr>
                <w:color w:val="000000"/>
                <w:sz w:val="14"/>
                <w:szCs w:val="14"/>
                <w:lang w:val="en-US"/>
              </w:rPr>
            </w:pPr>
            <w:r w:rsidRPr="00A4272B">
              <w:rPr>
                <w:color w:val="000000"/>
                <w:sz w:val="14"/>
                <w:szCs w:val="14"/>
                <w:lang w:val="en-US"/>
              </w:rPr>
              <w:t>Wuyishan</w:t>
            </w:r>
          </w:p>
        </w:tc>
        <w:tc>
          <w:tcPr>
            <w:tcW w:w="998" w:type="dxa"/>
            <w:noWrap/>
            <w:vAlign w:val="center"/>
            <w:hideMark/>
          </w:tcPr>
          <w:p w14:paraId="0E0C30AE" w14:textId="77777777" w:rsidR="00F3536C" w:rsidRPr="00A4272B" w:rsidRDefault="00F3536C" w:rsidP="00A41632">
            <w:pPr>
              <w:jc w:val="center"/>
              <w:rPr>
                <w:color w:val="000000"/>
                <w:sz w:val="14"/>
                <w:szCs w:val="14"/>
                <w:lang w:val="en-US"/>
              </w:rPr>
            </w:pPr>
            <w:r w:rsidRPr="00A4272B">
              <w:rPr>
                <w:color w:val="000000"/>
                <w:sz w:val="14"/>
                <w:szCs w:val="14"/>
                <w:lang w:val="en-US"/>
              </w:rPr>
              <w:t>B3</w:t>
            </w:r>
          </w:p>
        </w:tc>
        <w:tc>
          <w:tcPr>
            <w:tcW w:w="1342" w:type="dxa"/>
            <w:noWrap/>
            <w:vAlign w:val="center"/>
            <w:hideMark/>
          </w:tcPr>
          <w:p w14:paraId="04B439FD"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112149EC" w14:textId="77777777" w:rsidR="00F3536C" w:rsidRPr="00A4272B" w:rsidRDefault="00F3536C" w:rsidP="00A41632">
            <w:pPr>
              <w:jc w:val="right"/>
              <w:rPr>
                <w:color w:val="000000"/>
                <w:sz w:val="14"/>
                <w:szCs w:val="14"/>
                <w:lang w:val="en-US"/>
              </w:rPr>
            </w:pPr>
            <w:r w:rsidRPr="00A4272B">
              <w:rPr>
                <w:color w:val="000000"/>
                <w:sz w:val="14"/>
                <w:szCs w:val="14"/>
                <w:lang w:val="en-US"/>
              </w:rPr>
              <w:t>27.586670</w:t>
            </w:r>
          </w:p>
        </w:tc>
        <w:tc>
          <w:tcPr>
            <w:tcW w:w="998" w:type="dxa"/>
            <w:noWrap/>
            <w:vAlign w:val="center"/>
            <w:hideMark/>
          </w:tcPr>
          <w:p w14:paraId="451DA040" w14:textId="77777777" w:rsidR="00F3536C" w:rsidRPr="00A4272B" w:rsidRDefault="00F3536C" w:rsidP="00A41632">
            <w:pPr>
              <w:jc w:val="right"/>
              <w:rPr>
                <w:color w:val="000000"/>
                <w:sz w:val="14"/>
                <w:szCs w:val="14"/>
                <w:lang w:val="en-US"/>
              </w:rPr>
            </w:pPr>
            <w:r w:rsidRPr="00A4272B">
              <w:rPr>
                <w:color w:val="000000"/>
                <w:sz w:val="14"/>
                <w:szCs w:val="14"/>
                <w:lang w:val="en-US"/>
              </w:rPr>
              <w:t>117.730000</w:t>
            </w:r>
          </w:p>
        </w:tc>
        <w:tc>
          <w:tcPr>
            <w:tcW w:w="859" w:type="dxa"/>
            <w:tcBorders>
              <w:top w:val="nil"/>
              <w:left w:val="nil"/>
              <w:bottom w:val="nil"/>
              <w:right w:val="single" w:sz="8" w:space="0" w:color="auto"/>
            </w:tcBorders>
            <w:noWrap/>
            <w:vAlign w:val="center"/>
            <w:hideMark/>
          </w:tcPr>
          <w:p w14:paraId="1C9995F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B1AC89F"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5D8F55D3"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EDC663A" w14:textId="77777777" w:rsidR="00F3536C" w:rsidRPr="00A4272B" w:rsidRDefault="00F3536C" w:rsidP="00A41632">
            <w:pPr>
              <w:jc w:val="center"/>
              <w:rPr>
                <w:color w:val="000000"/>
                <w:sz w:val="14"/>
                <w:szCs w:val="14"/>
                <w:lang w:val="en-US"/>
              </w:rPr>
            </w:pPr>
            <w:r w:rsidRPr="00A4272B">
              <w:rPr>
                <w:color w:val="000000"/>
                <w:sz w:val="14"/>
                <w:szCs w:val="14"/>
                <w:lang w:val="en-US"/>
              </w:rPr>
              <w:t>~300 m³/d</w:t>
            </w:r>
          </w:p>
        </w:tc>
        <w:tc>
          <w:tcPr>
            <w:tcW w:w="831" w:type="dxa"/>
            <w:noWrap/>
            <w:vAlign w:val="center"/>
            <w:hideMark/>
          </w:tcPr>
          <w:p w14:paraId="484AB276" w14:textId="77777777" w:rsidR="00F3536C" w:rsidRPr="00A4272B" w:rsidRDefault="00F3536C" w:rsidP="00A41632">
            <w:pPr>
              <w:jc w:val="center"/>
              <w:rPr>
                <w:color w:val="000000"/>
                <w:sz w:val="14"/>
                <w:szCs w:val="14"/>
                <w:lang w:val="en-US"/>
              </w:rPr>
            </w:pPr>
            <w:r w:rsidRPr="00A4272B">
              <w:rPr>
                <w:color w:val="000000"/>
                <w:sz w:val="14"/>
                <w:szCs w:val="14"/>
                <w:lang w:val="en-US"/>
              </w:rPr>
              <w:t>3+ days</w:t>
            </w:r>
          </w:p>
        </w:tc>
        <w:tc>
          <w:tcPr>
            <w:tcW w:w="924" w:type="dxa"/>
            <w:noWrap/>
            <w:vAlign w:val="center"/>
            <w:hideMark/>
          </w:tcPr>
          <w:p w14:paraId="74AD283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1ECAD88"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5FF60677"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66A5847D"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1391" w:type="dxa"/>
            <w:tcBorders>
              <w:top w:val="nil"/>
              <w:left w:val="nil"/>
              <w:bottom w:val="single" w:sz="4" w:space="0" w:color="auto"/>
              <w:right w:val="nil"/>
            </w:tcBorders>
            <w:noWrap/>
            <w:vAlign w:val="center"/>
            <w:hideMark/>
          </w:tcPr>
          <w:p w14:paraId="76D89396"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tcBorders>
              <w:top w:val="nil"/>
              <w:left w:val="nil"/>
              <w:bottom w:val="single" w:sz="4" w:space="0" w:color="auto"/>
              <w:right w:val="nil"/>
            </w:tcBorders>
            <w:noWrap/>
            <w:vAlign w:val="center"/>
            <w:hideMark/>
          </w:tcPr>
          <w:p w14:paraId="6DA2DC13" w14:textId="77777777" w:rsidR="00F3536C" w:rsidRPr="00A4272B" w:rsidRDefault="00F3536C" w:rsidP="00A41632">
            <w:pPr>
              <w:rPr>
                <w:color w:val="000000"/>
                <w:sz w:val="14"/>
                <w:szCs w:val="14"/>
                <w:lang w:val="en-US"/>
              </w:rPr>
            </w:pPr>
            <w:r w:rsidRPr="00A4272B">
              <w:rPr>
                <w:color w:val="000000"/>
                <w:sz w:val="14"/>
                <w:szCs w:val="14"/>
                <w:lang w:val="en-US"/>
              </w:rPr>
              <w:t>Yangshuo</w:t>
            </w:r>
          </w:p>
        </w:tc>
        <w:tc>
          <w:tcPr>
            <w:tcW w:w="998" w:type="dxa"/>
            <w:tcBorders>
              <w:top w:val="nil"/>
              <w:left w:val="nil"/>
              <w:bottom w:val="single" w:sz="4" w:space="0" w:color="auto"/>
              <w:right w:val="nil"/>
            </w:tcBorders>
            <w:noWrap/>
            <w:vAlign w:val="center"/>
            <w:hideMark/>
          </w:tcPr>
          <w:p w14:paraId="1BE1A50A" w14:textId="77777777" w:rsidR="00F3536C" w:rsidRPr="00A4272B" w:rsidRDefault="00F3536C" w:rsidP="00A41632">
            <w:pPr>
              <w:jc w:val="center"/>
              <w:rPr>
                <w:color w:val="000000"/>
                <w:sz w:val="14"/>
                <w:szCs w:val="14"/>
                <w:lang w:val="en-US"/>
              </w:rPr>
            </w:pPr>
            <w:r w:rsidRPr="00A4272B">
              <w:rPr>
                <w:color w:val="000000"/>
                <w:sz w:val="14"/>
                <w:szCs w:val="14"/>
                <w:lang w:val="en-US"/>
              </w:rPr>
              <w:t>R2</w:t>
            </w:r>
          </w:p>
        </w:tc>
        <w:tc>
          <w:tcPr>
            <w:tcW w:w="1342" w:type="dxa"/>
            <w:tcBorders>
              <w:top w:val="nil"/>
              <w:left w:val="nil"/>
              <w:bottom w:val="single" w:sz="4" w:space="0" w:color="auto"/>
              <w:right w:val="nil"/>
            </w:tcBorders>
            <w:noWrap/>
            <w:vAlign w:val="center"/>
            <w:hideMark/>
          </w:tcPr>
          <w:p w14:paraId="3A8525E8"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top w:val="nil"/>
              <w:left w:val="nil"/>
              <w:bottom w:val="single" w:sz="4" w:space="0" w:color="auto"/>
              <w:right w:val="nil"/>
            </w:tcBorders>
            <w:noWrap/>
            <w:vAlign w:val="center"/>
            <w:hideMark/>
          </w:tcPr>
          <w:p w14:paraId="210C14BE" w14:textId="77777777" w:rsidR="00F3536C" w:rsidRPr="00A4272B" w:rsidRDefault="00F3536C" w:rsidP="00A41632">
            <w:pPr>
              <w:jc w:val="right"/>
              <w:rPr>
                <w:color w:val="000000"/>
                <w:sz w:val="14"/>
                <w:szCs w:val="14"/>
                <w:lang w:val="en-US"/>
              </w:rPr>
            </w:pPr>
            <w:r w:rsidRPr="00A4272B">
              <w:rPr>
                <w:color w:val="000000"/>
                <w:sz w:val="14"/>
                <w:szCs w:val="14"/>
                <w:lang w:val="en-US"/>
              </w:rPr>
              <w:t>24.792500</w:t>
            </w:r>
          </w:p>
        </w:tc>
        <w:tc>
          <w:tcPr>
            <w:tcW w:w="998" w:type="dxa"/>
            <w:tcBorders>
              <w:top w:val="nil"/>
              <w:left w:val="nil"/>
              <w:bottom w:val="single" w:sz="4" w:space="0" w:color="auto"/>
              <w:right w:val="nil"/>
            </w:tcBorders>
            <w:noWrap/>
            <w:vAlign w:val="center"/>
            <w:hideMark/>
          </w:tcPr>
          <w:p w14:paraId="6784803B" w14:textId="77777777" w:rsidR="00F3536C" w:rsidRPr="00A4272B" w:rsidRDefault="00F3536C" w:rsidP="00A41632">
            <w:pPr>
              <w:jc w:val="right"/>
              <w:rPr>
                <w:color w:val="000000"/>
                <w:sz w:val="14"/>
                <w:szCs w:val="14"/>
                <w:lang w:val="en-US"/>
              </w:rPr>
            </w:pPr>
            <w:r w:rsidRPr="00A4272B">
              <w:rPr>
                <w:color w:val="000000"/>
                <w:sz w:val="14"/>
                <w:szCs w:val="14"/>
                <w:lang w:val="en-US"/>
              </w:rPr>
              <w:t>110.510000</w:t>
            </w:r>
          </w:p>
        </w:tc>
        <w:tc>
          <w:tcPr>
            <w:tcW w:w="859" w:type="dxa"/>
            <w:tcBorders>
              <w:top w:val="nil"/>
              <w:left w:val="nil"/>
              <w:bottom w:val="single" w:sz="4" w:space="0" w:color="auto"/>
              <w:right w:val="single" w:sz="8" w:space="0" w:color="auto"/>
            </w:tcBorders>
            <w:noWrap/>
            <w:vAlign w:val="center"/>
            <w:hideMark/>
          </w:tcPr>
          <w:p w14:paraId="6138550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nil"/>
              <w:left w:val="nil"/>
              <w:bottom w:val="single" w:sz="4" w:space="0" w:color="auto"/>
              <w:right w:val="nil"/>
            </w:tcBorders>
            <w:noWrap/>
            <w:vAlign w:val="center"/>
            <w:hideMark/>
          </w:tcPr>
          <w:p w14:paraId="49223E6A"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nil"/>
              <w:left w:val="nil"/>
              <w:bottom w:val="single" w:sz="4" w:space="0" w:color="auto"/>
              <w:right w:val="nil"/>
            </w:tcBorders>
            <w:noWrap/>
            <w:vAlign w:val="center"/>
            <w:hideMark/>
          </w:tcPr>
          <w:p w14:paraId="41C138A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nil"/>
              <w:left w:val="nil"/>
              <w:bottom w:val="single" w:sz="4" w:space="0" w:color="auto"/>
              <w:right w:val="nil"/>
            </w:tcBorders>
            <w:noWrap/>
            <w:vAlign w:val="center"/>
            <w:hideMark/>
          </w:tcPr>
          <w:p w14:paraId="2CA852B0" w14:textId="77777777" w:rsidR="00F3536C" w:rsidRPr="00A4272B" w:rsidRDefault="00F3536C" w:rsidP="00A41632">
            <w:pPr>
              <w:jc w:val="center"/>
              <w:rPr>
                <w:color w:val="000000"/>
                <w:sz w:val="14"/>
                <w:szCs w:val="14"/>
                <w:lang w:val="en-US"/>
              </w:rPr>
            </w:pPr>
            <w:r w:rsidRPr="00A4272B">
              <w:rPr>
                <w:color w:val="000000"/>
                <w:sz w:val="14"/>
                <w:szCs w:val="14"/>
                <w:lang w:val="en-US"/>
              </w:rPr>
              <w:t>~300 m³/d</w:t>
            </w:r>
          </w:p>
        </w:tc>
        <w:tc>
          <w:tcPr>
            <w:tcW w:w="831" w:type="dxa"/>
            <w:tcBorders>
              <w:top w:val="nil"/>
              <w:left w:val="nil"/>
              <w:bottom w:val="single" w:sz="4" w:space="0" w:color="auto"/>
              <w:right w:val="nil"/>
            </w:tcBorders>
            <w:noWrap/>
            <w:vAlign w:val="center"/>
            <w:hideMark/>
          </w:tcPr>
          <w:p w14:paraId="5078FDDB" w14:textId="77777777" w:rsidR="00F3536C" w:rsidRPr="00A4272B" w:rsidRDefault="00F3536C" w:rsidP="00A41632">
            <w:pPr>
              <w:jc w:val="center"/>
              <w:rPr>
                <w:color w:val="000000"/>
                <w:sz w:val="14"/>
                <w:szCs w:val="14"/>
                <w:lang w:val="en-US"/>
              </w:rPr>
            </w:pPr>
            <w:r w:rsidRPr="00A4272B">
              <w:rPr>
                <w:color w:val="000000"/>
                <w:sz w:val="14"/>
                <w:szCs w:val="14"/>
                <w:lang w:val="en-US"/>
              </w:rPr>
              <w:t>3+ days</w:t>
            </w:r>
          </w:p>
        </w:tc>
        <w:tc>
          <w:tcPr>
            <w:tcW w:w="924" w:type="dxa"/>
            <w:tcBorders>
              <w:top w:val="nil"/>
              <w:left w:val="nil"/>
              <w:bottom w:val="single" w:sz="4" w:space="0" w:color="auto"/>
              <w:right w:val="nil"/>
            </w:tcBorders>
            <w:noWrap/>
            <w:vAlign w:val="center"/>
            <w:hideMark/>
          </w:tcPr>
          <w:p w14:paraId="4CAFA52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single" w:sz="4" w:space="0" w:color="auto"/>
              <w:right w:val="single" w:sz="8" w:space="0" w:color="auto"/>
            </w:tcBorders>
            <w:noWrap/>
            <w:vAlign w:val="center"/>
            <w:hideMark/>
          </w:tcPr>
          <w:p w14:paraId="0960C1C3" w14:textId="77777777" w:rsidR="00F3536C" w:rsidRPr="00A4272B" w:rsidRDefault="00F3536C" w:rsidP="00A41632">
            <w:pPr>
              <w:jc w:val="center"/>
              <w:rPr>
                <w:sz w:val="14"/>
                <w:szCs w:val="14"/>
                <w:lang w:val="en-US"/>
              </w:rPr>
            </w:pPr>
            <w:r w:rsidRPr="00A4272B">
              <w:rPr>
                <w:sz w:val="14"/>
                <w:szCs w:val="14"/>
                <w:lang w:val="en-US"/>
              </w:rPr>
              <w:t>2012</w:t>
            </w:r>
          </w:p>
        </w:tc>
      </w:tr>
      <w:tr w:rsidR="00F3536C" w:rsidRPr="00A4272B" w14:paraId="09075960"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7C62FF02"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tcBorders>
              <w:top w:val="single" w:sz="4" w:space="0" w:color="auto"/>
              <w:left w:val="nil"/>
              <w:bottom w:val="nil"/>
              <w:right w:val="nil"/>
            </w:tcBorders>
            <w:noWrap/>
            <w:vAlign w:val="center"/>
            <w:hideMark/>
          </w:tcPr>
          <w:p w14:paraId="7CDDF29F" w14:textId="77777777" w:rsidR="00F3536C" w:rsidRPr="00A4272B" w:rsidRDefault="00F3536C" w:rsidP="00A41632">
            <w:pPr>
              <w:rPr>
                <w:color w:val="000000"/>
                <w:sz w:val="14"/>
                <w:szCs w:val="14"/>
                <w:lang w:val="en-US"/>
              </w:rPr>
            </w:pPr>
            <w:r w:rsidRPr="00A4272B">
              <w:rPr>
                <w:color w:val="000000"/>
                <w:sz w:val="14"/>
                <w:szCs w:val="14"/>
                <w:lang w:val="en-US"/>
              </w:rPr>
              <w:t>Cambodia</w:t>
            </w:r>
          </w:p>
        </w:tc>
        <w:tc>
          <w:tcPr>
            <w:tcW w:w="2504" w:type="dxa"/>
            <w:tcBorders>
              <w:top w:val="single" w:sz="4" w:space="0" w:color="auto"/>
              <w:left w:val="nil"/>
              <w:bottom w:val="nil"/>
              <w:right w:val="nil"/>
            </w:tcBorders>
            <w:noWrap/>
            <w:vAlign w:val="center"/>
            <w:hideMark/>
          </w:tcPr>
          <w:p w14:paraId="69B1CA8D" w14:textId="77777777" w:rsidR="00F3536C" w:rsidRPr="00A4272B" w:rsidRDefault="00F3536C" w:rsidP="00A41632">
            <w:pPr>
              <w:rPr>
                <w:color w:val="000000"/>
                <w:sz w:val="14"/>
                <w:szCs w:val="14"/>
                <w:lang w:val="en-US"/>
              </w:rPr>
            </w:pPr>
            <w:r w:rsidRPr="00A4272B">
              <w:rPr>
                <w:color w:val="000000"/>
                <w:sz w:val="14"/>
                <w:szCs w:val="14"/>
                <w:lang w:val="en-US"/>
              </w:rPr>
              <w:t>Sihanoukville</w:t>
            </w:r>
          </w:p>
        </w:tc>
        <w:tc>
          <w:tcPr>
            <w:tcW w:w="998" w:type="dxa"/>
            <w:tcBorders>
              <w:top w:val="single" w:sz="4" w:space="0" w:color="auto"/>
              <w:left w:val="nil"/>
              <w:bottom w:val="nil"/>
              <w:right w:val="nil"/>
            </w:tcBorders>
            <w:noWrap/>
            <w:vAlign w:val="center"/>
            <w:hideMark/>
          </w:tcPr>
          <w:p w14:paraId="64B468C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single" w:sz="4" w:space="0" w:color="auto"/>
              <w:left w:val="nil"/>
              <w:bottom w:val="nil"/>
              <w:right w:val="nil"/>
            </w:tcBorders>
            <w:noWrap/>
            <w:vAlign w:val="center"/>
            <w:hideMark/>
          </w:tcPr>
          <w:p w14:paraId="78236C4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single" w:sz="4" w:space="0" w:color="auto"/>
              <w:left w:val="nil"/>
              <w:bottom w:val="nil"/>
              <w:right w:val="nil"/>
            </w:tcBorders>
            <w:noWrap/>
            <w:vAlign w:val="center"/>
            <w:hideMark/>
          </w:tcPr>
          <w:p w14:paraId="01FEF562" w14:textId="77777777" w:rsidR="00F3536C" w:rsidRPr="00A4272B" w:rsidRDefault="00F3536C" w:rsidP="00A41632">
            <w:pPr>
              <w:jc w:val="right"/>
              <w:rPr>
                <w:color w:val="000000"/>
                <w:sz w:val="14"/>
                <w:szCs w:val="14"/>
                <w:lang w:val="en-US"/>
              </w:rPr>
            </w:pPr>
            <w:r w:rsidRPr="00A4272B">
              <w:rPr>
                <w:color w:val="000000"/>
                <w:sz w:val="14"/>
                <w:szCs w:val="14"/>
                <w:lang w:val="en-US"/>
              </w:rPr>
              <w:t>10.633333</w:t>
            </w:r>
          </w:p>
        </w:tc>
        <w:tc>
          <w:tcPr>
            <w:tcW w:w="998" w:type="dxa"/>
            <w:tcBorders>
              <w:top w:val="single" w:sz="4" w:space="0" w:color="auto"/>
              <w:left w:val="nil"/>
              <w:bottom w:val="nil"/>
              <w:right w:val="nil"/>
            </w:tcBorders>
            <w:noWrap/>
            <w:vAlign w:val="center"/>
            <w:hideMark/>
          </w:tcPr>
          <w:p w14:paraId="2D186C9F" w14:textId="77777777" w:rsidR="00F3536C" w:rsidRPr="00A4272B" w:rsidRDefault="00F3536C" w:rsidP="00A41632">
            <w:pPr>
              <w:jc w:val="right"/>
              <w:rPr>
                <w:color w:val="000000"/>
                <w:sz w:val="14"/>
                <w:szCs w:val="14"/>
                <w:lang w:val="en-US"/>
              </w:rPr>
            </w:pPr>
            <w:r w:rsidRPr="00A4272B">
              <w:rPr>
                <w:color w:val="000000"/>
                <w:sz w:val="14"/>
                <w:szCs w:val="14"/>
                <w:lang w:val="en-US"/>
              </w:rPr>
              <w:t>103.516667</w:t>
            </w:r>
          </w:p>
        </w:tc>
        <w:tc>
          <w:tcPr>
            <w:tcW w:w="859" w:type="dxa"/>
            <w:tcBorders>
              <w:top w:val="single" w:sz="4" w:space="0" w:color="auto"/>
              <w:left w:val="nil"/>
              <w:bottom w:val="nil"/>
              <w:right w:val="single" w:sz="8" w:space="0" w:color="auto"/>
            </w:tcBorders>
            <w:noWrap/>
            <w:vAlign w:val="center"/>
            <w:hideMark/>
          </w:tcPr>
          <w:p w14:paraId="1D0BD633" w14:textId="77777777" w:rsidR="00F3536C" w:rsidRPr="00A4272B" w:rsidRDefault="00F3536C" w:rsidP="00A41632">
            <w:pPr>
              <w:jc w:val="center"/>
              <w:rPr>
                <w:color w:val="000000"/>
                <w:sz w:val="14"/>
                <w:szCs w:val="14"/>
                <w:lang w:val="en-US"/>
              </w:rPr>
            </w:pPr>
            <w:r w:rsidRPr="00A4272B">
              <w:rPr>
                <w:color w:val="000000"/>
                <w:sz w:val="14"/>
                <w:szCs w:val="14"/>
                <w:lang w:val="en-US"/>
              </w:rPr>
              <w:t>130</w:t>
            </w:r>
          </w:p>
        </w:tc>
        <w:tc>
          <w:tcPr>
            <w:tcW w:w="792" w:type="dxa"/>
            <w:tcBorders>
              <w:top w:val="single" w:sz="4" w:space="0" w:color="auto"/>
              <w:left w:val="nil"/>
              <w:bottom w:val="nil"/>
              <w:right w:val="nil"/>
            </w:tcBorders>
            <w:noWrap/>
            <w:vAlign w:val="center"/>
            <w:hideMark/>
          </w:tcPr>
          <w:p w14:paraId="6A25231D"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single" w:sz="4" w:space="0" w:color="auto"/>
              <w:left w:val="nil"/>
              <w:bottom w:val="nil"/>
              <w:right w:val="nil"/>
            </w:tcBorders>
            <w:noWrap/>
            <w:vAlign w:val="center"/>
            <w:hideMark/>
          </w:tcPr>
          <w:p w14:paraId="2DC0FF6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nil"/>
              <w:right w:val="nil"/>
            </w:tcBorders>
            <w:noWrap/>
            <w:vAlign w:val="center"/>
            <w:hideMark/>
          </w:tcPr>
          <w:p w14:paraId="6012F38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left w:val="nil"/>
              <w:bottom w:val="nil"/>
              <w:right w:val="nil"/>
            </w:tcBorders>
            <w:noWrap/>
            <w:vAlign w:val="center"/>
            <w:hideMark/>
          </w:tcPr>
          <w:p w14:paraId="5215451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tcBorders>
              <w:top w:val="single" w:sz="4" w:space="0" w:color="auto"/>
              <w:left w:val="nil"/>
              <w:bottom w:val="nil"/>
              <w:right w:val="nil"/>
            </w:tcBorders>
            <w:noWrap/>
            <w:vAlign w:val="center"/>
            <w:hideMark/>
          </w:tcPr>
          <w:p w14:paraId="1508E61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single" w:sz="4" w:space="0" w:color="auto"/>
              <w:left w:val="nil"/>
              <w:bottom w:val="nil"/>
              <w:right w:val="single" w:sz="8" w:space="0" w:color="auto"/>
            </w:tcBorders>
            <w:noWrap/>
            <w:vAlign w:val="center"/>
            <w:hideMark/>
          </w:tcPr>
          <w:p w14:paraId="116FCC90"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6F3A3175" w14:textId="77777777" w:rsidTr="00A41632">
        <w:trPr>
          <w:trHeight w:val="276"/>
          <w:jc w:val="center"/>
        </w:trPr>
        <w:tc>
          <w:tcPr>
            <w:tcW w:w="955" w:type="dxa"/>
            <w:tcBorders>
              <w:top w:val="nil"/>
              <w:left w:val="single" w:sz="8" w:space="0" w:color="auto"/>
              <w:bottom w:val="nil"/>
              <w:right w:val="nil"/>
            </w:tcBorders>
            <w:noWrap/>
            <w:vAlign w:val="center"/>
            <w:hideMark/>
          </w:tcPr>
          <w:p w14:paraId="79FC8007"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noWrap/>
            <w:vAlign w:val="center"/>
            <w:hideMark/>
          </w:tcPr>
          <w:p w14:paraId="66C889AC" w14:textId="77777777" w:rsidR="00F3536C" w:rsidRPr="00A4272B" w:rsidRDefault="00F3536C" w:rsidP="00A41632">
            <w:pPr>
              <w:rPr>
                <w:color w:val="000000"/>
                <w:sz w:val="14"/>
                <w:szCs w:val="14"/>
                <w:lang w:val="en-US"/>
              </w:rPr>
            </w:pPr>
            <w:r w:rsidRPr="00A4272B">
              <w:rPr>
                <w:color w:val="000000"/>
                <w:sz w:val="14"/>
                <w:szCs w:val="14"/>
                <w:lang w:val="en-US"/>
              </w:rPr>
              <w:t>Indonesia</w:t>
            </w:r>
          </w:p>
        </w:tc>
        <w:tc>
          <w:tcPr>
            <w:tcW w:w="2504" w:type="dxa"/>
            <w:noWrap/>
            <w:vAlign w:val="center"/>
            <w:hideMark/>
          </w:tcPr>
          <w:p w14:paraId="36567283" w14:textId="77777777" w:rsidR="00F3536C" w:rsidRPr="00A4272B" w:rsidRDefault="00F3536C" w:rsidP="00A41632">
            <w:pPr>
              <w:rPr>
                <w:color w:val="000000"/>
                <w:sz w:val="14"/>
                <w:szCs w:val="14"/>
                <w:lang w:val="en-US"/>
              </w:rPr>
            </w:pPr>
            <w:r w:rsidRPr="00A4272B">
              <w:rPr>
                <w:color w:val="000000"/>
                <w:sz w:val="14"/>
                <w:szCs w:val="14"/>
                <w:lang w:val="en-US"/>
              </w:rPr>
              <w:t>Kototabang</w:t>
            </w:r>
          </w:p>
        </w:tc>
        <w:tc>
          <w:tcPr>
            <w:tcW w:w="998" w:type="dxa"/>
            <w:noWrap/>
            <w:vAlign w:val="center"/>
            <w:hideMark/>
          </w:tcPr>
          <w:p w14:paraId="2D73DC1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50CE2ECC"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10E631E9" w14:textId="77777777" w:rsidR="00F3536C" w:rsidRPr="00A4272B" w:rsidRDefault="00F3536C" w:rsidP="00A41632">
            <w:pPr>
              <w:jc w:val="right"/>
              <w:rPr>
                <w:color w:val="000000"/>
                <w:sz w:val="14"/>
                <w:szCs w:val="14"/>
                <w:lang w:val="en-US"/>
              </w:rPr>
            </w:pPr>
            <w:r w:rsidRPr="00A4272B">
              <w:rPr>
                <w:color w:val="000000"/>
                <w:sz w:val="14"/>
                <w:szCs w:val="14"/>
                <w:lang w:val="en-US"/>
              </w:rPr>
              <w:t>-0.202300</w:t>
            </w:r>
          </w:p>
        </w:tc>
        <w:tc>
          <w:tcPr>
            <w:tcW w:w="998" w:type="dxa"/>
            <w:noWrap/>
            <w:vAlign w:val="center"/>
            <w:hideMark/>
          </w:tcPr>
          <w:p w14:paraId="6A157D67" w14:textId="77777777" w:rsidR="00F3536C" w:rsidRPr="00A4272B" w:rsidRDefault="00F3536C" w:rsidP="00A41632">
            <w:pPr>
              <w:jc w:val="right"/>
              <w:rPr>
                <w:color w:val="000000"/>
                <w:sz w:val="14"/>
                <w:szCs w:val="14"/>
                <w:lang w:val="en-US"/>
              </w:rPr>
            </w:pPr>
            <w:r w:rsidRPr="00A4272B">
              <w:rPr>
                <w:color w:val="000000"/>
                <w:sz w:val="14"/>
                <w:szCs w:val="14"/>
                <w:lang w:val="en-US"/>
              </w:rPr>
              <w:t>100.317900</w:t>
            </w:r>
          </w:p>
        </w:tc>
        <w:tc>
          <w:tcPr>
            <w:tcW w:w="859" w:type="dxa"/>
            <w:tcBorders>
              <w:top w:val="nil"/>
              <w:left w:val="nil"/>
              <w:bottom w:val="nil"/>
              <w:right w:val="single" w:sz="8" w:space="0" w:color="auto"/>
            </w:tcBorders>
            <w:noWrap/>
            <w:vAlign w:val="center"/>
            <w:hideMark/>
          </w:tcPr>
          <w:p w14:paraId="5578B661" w14:textId="77777777" w:rsidR="00F3536C" w:rsidRPr="00A4272B" w:rsidRDefault="00F3536C" w:rsidP="00A41632">
            <w:pPr>
              <w:jc w:val="center"/>
              <w:rPr>
                <w:color w:val="000000"/>
                <w:sz w:val="14"/>
                <w:szCs w:val="14"/>
                <w:lang w:val="en-US"/>
              </w:rPr>
            </w:pPr>
            <w:r w:rsidRPr="00A4272B">
              <w:rPr>
                <w:color w:val="000000"/>
                <w:sz w:val="14"/>
                <w:szCs w:val="14"/>
                <w:lang w:val="en-US"/>
              </w:rPr>
              <w:t>864</w:t>
            </w:r>
          </w:p>
        </w:tc>
        <w:tc>
          <w:tcPr>
            <w:tcW w:w="792" w:type="dxa"/>
            <w:noWrap/>
            <w:vAlign w:val="center"/>
            <w:hideMark/>
          </w:tcPr>
          <w:p w14:paraId="12F9788A"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0791FCA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697820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D64A9D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19D5D3F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3B315943" w14:textId="77777777" w:rsidR="00F3536C" w:rsidRPr="00A4272B" w:rsidRDefault="00F3536C" w:rsidP="00A41632">
            <w:pPr>
              <w:jc w:val="center"/>
              <w:rPr>
                <w:sz w:val="14"/>
                <w:szCs w:val="14"/>
                <w:lang w:val="en-US"/>
              </w:rPr>
            </w:pPr>
            <w:r w:rsidRPr="00A4272B">
              <w:rPr>
                <w:sz w:val="14"/>
                <w:szCs w:val="14"/>
                <w:lang w:val="en-US"/>
              </w:rPr>
              <w:t>2012</w:t>
            </w:r>
          </w:p>
        </w:tc>
      </w:tr>
      <w:tr w:rsidR="00F3536C" w:rsidRPr="00A4272B" w14:paraId="6754D2FE" w14:textId="77777777" w:rsidTr="00A41632">
        <w:trPr>
          <w:trHeight w:val="276"/>
          <w:jc w:val="center"/>
        </w:trPr>
        <w:tc>
          <w:tcPr>
            <w:tcW w:w="955" w:type="dxa"/>
            <w:tcBorders>
              <w:top w:val="nil"/>
              <w:left w:val="single" w:sz="8" w:space="0" w:color="auto"/>
              <w:bottom w:val="nil"/>
              <w:right w:val="nil"/>
            </w:tcBorders>
            <w:noWrap/>
            <w:vAlign w:val="center"/>
            <w:hideMark/>
          </w:tcPr>
          <w:p w14:paraId="268858B5"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noWrap/>
            <w:vAlign w:val="center"/>
            <w:hideMark/>
          </w:tcPr>
          <w:p w14:paraId="57BFCD54" w14:textId="77777777" w:rsidR="00F3536C" w:rsidRPr="00A4272B" w:rsidRDefault="00F3536C" w:rsidP="00A41632">
            <w:pPr>
              <w:rPr>
                <w:color w:val="000000"/>
                <w:sz w:val="14"/>
                <w:szCs w:val="14"/>
                <w:lang w:val="en-US"/>
              </w:rPr>
            </w:pPr>
            <w:r w:rsidRPr="00A4272B">
              <w:rPr>
                <w:color w:val="000000"/>
                <w:sz w:val="14"/>
                <w:szCs w:val="14"/>
                <w:lang w:val="en-US"/>
              </w:rPr>
              <w:t>Japan</w:t>
            </w:r>
          </w:p>
        </w:tc>
        <w:tc>
          <w:tcPr>
            <w:tcW w:w="2504" w:type="dxa"/>
            <w:noWrap/>
            <w:vAlign w:val="center"/>
            <w:hideMark/>
          </w:tcPr>
          <w:p w14:paraId="7434E47B" w14:textId="77777777" w:rsidR="00F3536C" w:rsidRPr="00A4272B" w:rsidRDefault="00F3536C" w:rsidP="00A41632">
            <w:pPr>
              <w:rPr>
                <w:color w:val="000000"/>
                <w:sz w:val="14"/>
                <w:szCs w:val="14"/>
                <w:lang w:val="en-US"/>
              </w:rPr>
            </w:pPr>
            <w:r w:rsidRPr="00A4272B">
              <w:rPr>
                <w:color w:val="000000"/>
                <w:sz w:val="14"/>
                <w:szCs w:val="14"/>
                <w:lang w:val="en-US"/>
              </w:rPr>
              <w:t>Hedo / Cape Hedo, Okinawa</w:t>
            </w:r>
          </w:p>
        </w:tc>
        <w:tc>
          <w:tcPr>
            <w:tcW w:w="998" w:type="dxa"/>
            <w:noWrap/>
            <w:vAlign w:val="center"/>
            <w:hideMark/>
          </w:tcPr>
          <w:p w14:paraId="2C2E422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05AC1182"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35286512" w14:textId="77777777" w:rsidR="00F3536C" w:rsidRPr="00A4272B" w:rsidRDefault="00F3536C" w:rsidP="00A41632">
            <w:pPr>
              <w:jc w:val="right"/>
              <w:rPr>
                <w:color w:val="000000"/>
                <w:sz w:val="14"/>
                <w:szCs w:val="14"/>
                <w:lang w:val="en-US"/>
              </w:rPr>
            </w:pPr>
            <w:r w:rsidRPr="00A4272B">
              <w:rPr>
                <w:color w:val="000000"/>
                <w:sz w:val="14"/>
                <w:szCs w:val="14"/>
                <w:lang w:val="en-US"/>
              </w:rPr>
              <w:t>26.870000</w:t>
            </w:r>
          </w:p>
        </w:tc>
        <w:tc>
          <w:tcPr>
            <w:tcW w:w="998" w:type="dxa"/>
            <w:noWrap/>
            <w:vAlign w:val="center"/>
            <w:hideMark/>
          </w:tcPr>
          <w:p w14:paraId="69BA29E5" w14:textId="77777777" w:rsidR="00F3536C" w:rsidRPr="00A4272B" w:rsidRDefault="00F3536C" w:rsidP="00A41632">
            <w:pPr>
              <w:jc w:val="right"/>
              <w:rPr>
                <w:color w:val="000000"/>
                <w:sz w:val="14"/>
                <w:szCs w:val="14"/>
                <w:lang w:val="en-US"/>
              </w:rPr>
            </w:pPr>
            <w:r w:rsidRPr="00A4272B">
              <w:rPr>
                <w:color w:val="000000"/>
                <w:sz w:val="14"/>
                <w:szCs w:val="14"/>
                <w:lang w:val="en-US"/>
              </w:rPr>
              <w:t>128.260000</w:t>
            </w:r>
          </w:p>
        </w:tc>
        <w:tc>
          <w:tcPr>
            <w:tcW w:w="859" w:type="dxa"/>
            <w:tcBorders>
              <w:top w:val="nil"/>
              <w:left w:val="nil"/>
              <w:bottom w:val="nil"/>
              <w:right w:val="single" w:sz="8" w:space="0" w:color="auto"/>
            </w:tcBorders>
            <w:noWrap/>
            <w:vAlign w:val="center"/>
            <w:hideMark/>
          </w:tcPr>
          <w:p w14:paraId="25E62589" w14:textId="77777777" w:rsidR="00F3536C" w:rsidRPr="00A4272B" w:rsidRDefault="00F3536C" w:rsidP="00A41632">
            <w:pPr>
              <w:jc w:val="center"/>
              <w:rPr>
                <w:color w:val="000000"/>
                <w:sz w:val="14"/>
                <w:szCs w:val="14"/>
                <w:lang w:val="en-US"/>
              </w:rPr>
            </w:pPr>
            <w:r w:rsidRPr="00A4272B">
              <w:rPr>
                <w:color w:val="000000"/>
                <w:sz w:val="14"/>
                <w:szCs w:val="14"/>
                <w:lang w:val="en-US"/>
              </w:rPr>
              <w:t>37</w:t>
            </w:r>
          </w:p>
        </w:tc>
        <w:tc>
          <w:tcPr>
            <w:tcW w:w="792" w:type="dxa"/>
            <w:noWrap/>
            <w:vAlign w:val="center"/>
            <w:hideMark/>
          </w:tcPr>
          <w:p w14:paraId="093ACF77"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3035C1C7"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1957B5F4" w14:textId="77777777" w:rsidR="00F3536C" w:rsidRPr="00A4272B" w:rsidRDefault="00F3536C" w:rsidP="00A41632">
            <w:pPr>
              <w:jc w:val="center"/>
              <w:rPr>
                <w:color w:val="000000"/>
                <w:sz w:val="14"/>
                <w:szCs w:val="14"/>
                <w:lang w:val="en-US"/>
              </w:rPr>
            </w:pPr>
            <w:r w:rsidRPr="00A4272B">
              <w:rPr>
                <w:color w:val="000000"/>
                <w:sz w:val="14"/>
                <w:szCs w:val="14"/>
                <w:lang w:val="en-US"/>
              </w:rPr>
              <w:t>~1000 m³/d</w:t>
            </w:r>
          </w:p>
        </w:tc>
        <w:tc>
          <w:tcPr>
            <w:tcW w:w="831" w:type="dxa"/>
            <w:noWrap/>
            <w:vAlign w:val="center"/>
            <w:hideMark/>
          </w:tcPr>
          <w:p w14:paraId="54EC1021" w14:textId="77777777" w:rsidR="00F3536C" w:rsidRPr="00A4272B" w:rsidRDefault="00F3536C" w:rsidP="00A41632">
            <w:pPr>
              <w:jc w:val="center"/>
              <w:rPr>
                <w:color w:val="000000"/>
                <w:sz w:val="14"/>
                <w:szCs w:val="14"/>
                <w:lang w:val="en-US"/>
              </w:rPr>
            </w:pPr>
            <w:r w:rsidRPr="00A4272B">
              <w:rPr>
                <w:color w:val="000000"/>
                <w:sz w:val="14"/>
                <w:szCs w:val="14"/>
                <w:lang w:val="en-US"/>
              </w:rPr>
              <w:t>3 days</w:t>
            </w:r>
          </w:p>
        </w:tc>
        <w:tc>
          <w:tcPr>
            <w:tcW w:w="924" w:type="dxa"/>
            <w:noWrap/>
            <w:vAlign w:val="center"/>
            <w:hideMark/>
          </w:tcPr>
          <w:p w14:paraId="7F33AE8E" w14:textId="77777777" w:rsidR="00F3536C" w:rsidRPr="00A4272B" w:rsidRDefault="00F3536C" w:rsidP="00A41632">
            <w:pPr>
              <w:jc w:val="center"/>
              <w:rPr>
                <w:color w:val="000000"/>
                <w:sz w:val="14"/>
                <w:szCs w:val="14"/>
                <w:lang w:val="en-US"/>
              </w:rPr>
            </w:pPr>
            <w:r w:rsidRPr="00A4272B">
              <w:rPr>
                <w:color w:val="000000"/>
                <w:sz w:val="14"/>
                <w:szCs w:val="14"/>
                <w:lang w:val="en-US"/>
              </w:rPr>
              <w:t>1 month</w:t>
            </w:r>
          </w:p>
        </w:tc>
        <w:tc>
          <w:tcPr>
            <w:tcW w:w="612" w:type="dxa"/>
            <w:tcBorders>
              <w:top w:val="nil"/>
              <w:left w:val="nil"/>
              <w:bottom w:val="nil"/>
              <w:right w:val="single" w:sz="8" w:space="0" w:color="auto"/>
            </w:tcBorders>
            <w:noWrap/>
            <w:vAlign w:val="center"/>
            <w:hideMark/>
          </w:tcPr>
          <w:p w14:paraId="7CBC855A"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6A748D24" w14:textId="77777777" w:rsidTr="00A41632">
        <w:trPr>
          <w:trHeight w:val="276"/>
          <w:jc w:val="center"/>
        </w:trPr>
        <w:tc>
          <w:tcPr>
            <w:tcW w:w="955" w:type="dxa"/>
            <w:tcBorders>
              <w:top w:val="nil"/>
              <w:left w:val="single" w:sz="8" w:space="0" w:color="auto"/>
              <w:bottom w:val="nil"/>
              <w:right w:val="nil"/>
            </w:tcBorders>
            <w:noWrap/>
            <w:vAlign w:val="center"/>
            <w:hideMark/>
          </w:tcPr>
          <w:p w14:paraId="3C2F3982"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noWrap/>
            <w:vAlign w:val="center"/>
            <w:hideMark/>
          </w:tcPr>
          <w:p w14:paraId="7ABE04E4" w14:textId="77777777" w:rsidR="00F3536C" w:rsidRPr="00A4272B" w:rsidRDefault="00F3536C" w:rsidP="00A41632">
            <w:pPr>
              <w:rPr>
                <w:color w:val="000000"/>
                <w:sz w:val="14"/>
                <w:szCs w:val="14"/>
                <w:lang w:val="en-US"/>
              </w:rPr>
            </w:pPr>
            <w:r w:rsidRPr="00A4272B">
              <w:rPr>
                <w:color w:val="000000"/>
                <w:sz w:val="14"/>
                <w:szCs w:val="14"/>
                <w:lang w:val="en-US"/>
              </w:rPr>
              <w:t>Laos</w:t>
            </w:r>
          </w:p>
        </w:tc>
        <w:tc>
          <w:tcPr>
            <w:tcW w:w="2504" w:type="dxa"/>
            <w:noWrap/>
            <w:vAlign w:val="center"/>
            <w:hideMark/>
          </w:tcPr>
          <w:p w14:paraId="66CEA8C5" w14:textId="77777777" w:rsidR="00F3536C" w:rsidRPr="00A4272B" w:rsidRDefault="00F3536C" w:rsidP="00A41632">
            <w:pPr>
              <w:rPr>
                <w:color w:val="000000"/>
                <w:sz w:val="14"/>
                <w:szCs w:val="14"/>
                <w:lang w:val="en-US"/>
              </w:rPr>
            </w:pPr>
            <w:r w:rsidRPr="00A4272B">
              <w:rPr>
                <w:color w:val="000000"/>
                <w:sz w:val="14"/>
                <w:szCs w:val="14"/>
                <w:lang w:val="en-US"/>
              </w:rPr>
              <w:t>Na Long Koun Village</w:t>
            </w:r>
          </w:p>
        </w:tc>
        <w:tc>
          <w:tcPr>
            <w:tcW w:w="998" w:type="dxa"/>
            <w:noWrap/>
            <w:vAlign w:val="center"/>
            <w:hideMark/>
          </w:tcPr>
          <w:p w14:paraId="212D76D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6834F7CF"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5313BB01" w14:textId="77777777" w:rsidR="00F3536C" w:rsidRPr="00A4272B" w:rsidRDefault="00F3536C" w:rsidP="00A41632">
            <w:pPr>
              <w:jc w:val="right"/>
              <w:rPr>
                <w:color w:val="000000"/>
                <w:sz w:val="14"/>
                <w:szCs w:val="14"/>
                <w:lang w:val="en-US"/>
              </w:rPr>
            </w:pPr>
            <w:r w:rsidRPr="00A4272B">
              <w:rPr>
                <w:color w:val="000000"/>
                <w:sz w:val="14"/>
                <w:szCs w:val="14"/>
                <w:lang w:val="en-US"/>
              </w:rPr>
              <w:t>18.295800</w:t>
            </w:r>
          </w:p>
        </w:tc>
        <w:tc>
          <w:tcPr>
            <w:tcW w:w="998" w:type="dxa"/>
            <w:noWrap/>
            <w:vAlign w:val="center"/>
            <w:hideMark/>
          </w:tcPr>
          <w:p w14:paraId="36FA0A67" w14:textId="77777777" w:rsidR="00F3536C" w:rsidRPr="00A4272B" w:rsidRDefault="00F3536C" w:rsidP="00A41632">
            <w:pPr>
              <w:jc w:val="right"/>
              <w:rPr>
                <w:color w:val="000000"/>
                <w:sz w:val="14"/>
                <w:szCs w:val="14"/>
                <w:lang w:val="en-US"/>
              </w:rPr>
            </w:pPr>
            <w:r w:rsidRPr="00A4272B">
              <w:rPr>
                <w:color w:val="000000"/>
                <w:sz w:val="14"/>
                <w:szCs w:val="14"/>
                <w:lang w:val="en-US"/>
              </w:rPr>
              <w:t>102.269400</w:t>
            </w:r>
          </w:p>
        </w:tc>
        <w:tc>
          <w:tcPr>
            <w:tcW w:w="859" w:type="dxa"/>
            <w:tcBorders>
              <w:top w:val="nil"/>
              <w:left w:val="nil"/>
              <w:bottom w:val="nil"/>
              <w:right w:val="single" w:sz="8" w:space="0" w:color="auto"/>
            </w:tcBorders>
            <w:noWrap/>
            <w:vAlign w:val="center"/>
            <w:hideMark/>
          </w:tcPr>
          <w:p w14:paraId="316DE09E" w14:textId="77777777" w:rsidR="00F3536C" w:rsidRPr="00A4272B" w:rsidRDefault="00F3536C" w:rsidP="00A41632">
            <w:pPr>
              <w:jc w:val="center"/>
              <w:rPr>
                <w:color w:val="000000"/>
                <w:sz w:val="14"/>
                <w:szCs w:val="14"/>
                <w:lang w:val="en-US"/>
              </w:rPr>
            </w:pPr>
            <w:r w:rsidRPr="00A4272B">
              <w:rPr>
                <w:color w:val="000000"/>
                <w:sz w:val="14"/>
                <w:szCs w:val="14"/>
                <w:lang w:val="en-US"/>
              </w:rPr>
              <w:t>174</w:t>
            </w:r>
          </w:p>
        </w:tc>
        <w:tc>
          <w:tcPr>
            <w:tcW w:w="792" w:type="dxa"/>
            <w:noWrap/>
            <w:vAlign w:val="center"/>
            <w:hideMark/>
          </w:tcPr>
          <w:p w14:paraId="5F4EE703"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7101413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82FE71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0C1775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590BDC2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3708DF8A"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106B7C31" w14:textId="77777777" w:rsidTr="00A41632">
        <w:trPr>
          <w:trHeight w:val="276"/>
          <w:jc w:val="center"/>
        </w:trPr>
        <w:tc>
          <w:tcPr>
            <w:tcW w:w="955" w:type="dxa"/>
            <w:tcBorders>
              <w:top w:val="nil"/>
              <w:left w:val="single" w:sz="8" w:space="0" w:color="auto"/>
              <w:bottom w:val="nil"/>
              <w:right w:val="nil"/>
            </w:tcBorders>
            <w:noWrap/>
            <w:vAlign w:val="center"/>
            <w:hideMark/>
          </w:tcPr>
          <w:p w14:paraId="1457A062"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noWrap/>
            <w:vAlign w:val="center"/>
            <w:hideMark/>
          </w:tcPr>
          <w:p w14:paraId="00B07E36" w14:textId="77777777" w:rsidR="00F3536C" w:rsidRPr="00A4272B" w:rsidRDefault="00F3536C" w:rsidP="00A41632">
            <w:pPr>
              <w:rPr>
                <w:color w:val="000000"/>
                <w:sz w:val="14"/>
                <w:szCs w:val="14"/>
                <w:lang w:val="en-US"/>
              </w:rPr>
            </w:pPr>
            <w:r w:rsidRPr="00A4272B">
              <w:rPr>
                <w:color w:val="000000"/>
                <w:sz w:val="14"/>
                <w:szCs w:val="14"/>
                <w:lang w:val="en-US"/>
              </w:rPr>
              <w:t>Malaysia</w:t>
            </w:r>
          </w:p>
        </w:tc>
        <w:tc>
          <w:tcPr>
            <w:tcW w:w="2504" w:type="dxa"/>
            <w:noWrap/>
            <w:vAlign w:val="center"/>
            <w:hideMark/>
          </w:tcPr>
          <w:p w14:paraId="0DE69059" w14:textId="77777777" w:rsidR="00F3536C" w:rsidRPr="00A4272B" w:rsidRDefault="00F3536C" w:rsidP="00A41632">
            <w:pPr>
              <w:rPr>
                <w:color w:val="000000"/>
                <w:sz w:val="14"/>
                <w:szCs w:val="14"/>
                <w:lang w:val="en-US"/>
              </w:rPr>
            </w:pPr>
            <w:r w:rsidRPr="00A4272B">
              <w:rPr>
                <w:color w:val="000000"/>
                <w:sz w:val="14"/>
                <w:szCs w:val="14"/>
                <w:lang w:val="en-US"/>
              </w:rPr>
              <w:t>Batu Embun</w:t>
            </w:r>
          </w:p>
        </w:tc>
        <w:tc>
          <w:tcPr>
            <w:tcW w:w="998" w:type="dxa"/>
            <w:noWrap/>
            <w:vAlign w:val="center"/>
            <w:hideMark/>
          </w:tcPr>
          <w:p w14:paraId="613C58A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63231950"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548EEB3A" w14:textId="77777777" w:rsidR="00F3536C" w:rsidRPr="00A4272B" w:rsidRDefault="00F3536C" w:rsidP="00A41632">
            <w:pPr>
              <w:jc w:val="right"/>
              <w:rPr>
                <w:color w:val="000000"/>
                <w:sz w:val="14"/>
                <w:szCs w:val="14"/>
                <w:lang w:val="en-US"/>
              </w:rPr>
            </w:pPr>
            <w:r w:rsidRPr="00A4272B">
              <w:rPr>
                <w:color w:val="000000"/>
                <w:sz w:val="14"/>
                <w:szCs w:val="14"/>
                <w:lang w:val="en-US"/>
              </w:rPr>
              <w:t>3.971000</w:t>
            </w:r>
          </w:p>
        </w:tc>
        <w:tc>
          <w:tcPr>
            <w:tcW w:w="998" w:type="dxa"/>
            <w:noWrap/>
            <w:vAlign w:val="center"/>
            <w:hideMark/>
          </w:tcPr>
          <w:p w14:paraId="09E2EFC2" w14:textId="77777777" w:rsidR="00F3536C" w:rsidRPr="00A4272B" w:rsidRDefault="00F3536C" w:rsidP="00A41632">
            <w:pPr>
              <w:jc w:val="right"/>
              <w:rPr>
                <w:color w:val="000000"/>
                <w:sz w:val="14"/>
                <w:szCs w:val="14"/>
                <w:lang w:val="en-US"/>
              </w:rPr>
            </w:pPr>
            <w:r w:rsidRPr="00A4272B">
              <w:rPr>
                <w:color w:val="000000"/>
                <w:sz w:val="14"/>
                <w:szCs w:val="14"/>
                <w:lang w:val="en-US"/>
              </w:rPr>
              <w:t>102.347800</w:t>
            </w:r>
          </w:p>
        </w:tc>
        <w:tc>
          <w:tcPr>
            <w:tcW w:w="859" w:type="dxa"/>
            <w:tcBorders>
              <w:top w:val="nil"/>
              <w:left w:val="nil"/>
              <w:bottom w:val="nil"/>
              <w:right w:val="single" w:sz="8" w:space="0" w:color="auto"/>
            </w:tcBorders>
            <w:noWrap/>
            <w:vAlign w:val="center"/>
            <w:hideMark/>
          </w:tcPr>
          <w:p w14:paraId="6214973A" w14:textId="77777777" w:rsidR="00F3536C" w:rsidRPr="00A4272B" w:rsidRDefault="00F3536C" w:rsidP="00A41632">
            <w:pPr>
              <w:jc w:val="center"/>
              <w:rPr>
                <w:color w:val="000000"/>
                <w:sz w:val="14"/>
                <w:szCs w:val="14"/>
                <w:lang w:val="en-US"/>
              </w:rPr>
            </w:pPr>
            <w:r w:rsidRPr="00A4272B">
              <w:rPr>
                <w:color w:val="000000"/>
                <w:sz w:val="14"/>
                <w:szCs w:val="14"/>
                <w:lang w:val="en-US"/>
              </w:rPr>
              <w:t>77</w:t>
            </w:r>
          </w:p>
        </w:tc>
        <w:tc>
          <w:tcPr>
            <w:tcW w:w="792" w:type="dxa"/>
            <w:noWrap/>
            <w:vAlign w:val="center"/>
            <w:hideMark/>
          </w:tcPr>
          <w:p w14:paraId="4AFA7D49"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06A544F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D53A3B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CBC006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3368BC0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5402F485"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5E527256" w14:textId="77777777" w:rsidTr="00A41632">
        <w:trPr>
          <w:trHeight w:val="276"/>
          <w:jc w:val="center"/>
        </w:trPr>
        <w:tc>
          <w:tcPr>
            <w:tcW w:w="955" w:type="dxa"/>
            <w:tcBorders>
              <w:top w:val="nil"/>
              <w:left w:val="single" w:sz="8" w:space="0" w:color="auto"/>
              <w:bottom w:val="nil"/>
              <w:right w:val="nil"/>
            </w:tcBorders>
            <w:noWrap/>
            <w:vAlign w:val="center"/>
            <w:hideMark/>
          </w:tcPr>
          <w:p w14:paraId="06883088"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noWrap/>
            <w:vAlign w:val="center"/>
            <w:hideMark/>
          </w:tcPr>
          <w:p w14:paraId="31BA84E2" w14:textId="77777777" w:rsidR="00F3536C" w:rsidRPr="00A4272B" w:rsidRDefault="00F3536C" w:rsidP="00A41632">
            <w:pPr>
              <w:rPr>
                <w:color w:val="000000"/>
                <w:sz w:val="14"/>
                <w:szCs w:val="14"/>
                <w:lang w:val="en-US"/>
              </w:rPr>
            </w:pPr>
            <w:r w:rsidRPr="00A4272B">
              <w:rPr>
                <w:color w:val="000000"/>
                <w:sz w:val="14"/>
                <w:szCs w:val="14"/>
                <w:lang w:val="en-US"/>
              </w:rPr>
              <w:t>Mongolia</w:t>
            </w:r>
          </w:p>
        </w:tc>
        <w:tc>
          <w:tcPr>
            <w:tcW w:w="2504" w:type="dxa"/>
            <w:noWrap/>
            <w:vAlign w:val="center"/>
            <w:hideMark/>
          </w:tcPr>
          <w:p w14:paraId="5B88A3C6" w14:textId="77777777" w:rsidR="00F3536C" w:rsidRPr="00A4272B" w:rsidRDefault="00F3536C" w:rsidP="00A41632">
            <w:pPr>
              <w:rPr>
                <w:color w:val="000000"/>
                <w:sz w:val="14"/>
                <w:szCs w:val="14"/>
                <w:lang w:val="en-US"/>
              </w:rPr>
            </w:pPr>
            <w:r w:rsidRPr="00A4272B">
              <w:rPr>
                <w:color w:val="000000"/>
                <w:sz w:val="14"/>
                <w:szCs w:val="14"/>
                <w:lang w:val="en-US"/>
              </w:rPr>
              <w:t>Terelj</w:t>
            </w:r>
          </w:p>
        </w:tc>
        <w:tc>
          <w:tcPr>
            <w:tcW w:w="998" w:type="dxa"/>
            <w:noWrap/>
            <w:vAlign w:val="center"/>
            <w:hideMark/>
          </w:tcPr>
          <w:p w14:paraId="23FFBC5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24E86404" w14:textId="77777777" w:rsidR="00F3536C" w:rsidRPr="00A4272B" w:rsidRDefault="00F3536C" w:rsidP="00A41632">
            <w:pPr>
              <w:jc w:val="center"/>
              <w:rPr>
                <w:color w:val="000000"/>
                <w:sz w:val="14"/>
                <w:szCs w:val="14"/>
                <w:lang w:val="en-US"/>
              </w:rPr>
            </w:pPr>
            <w:r w:rsidRPr="00A4272B">
              <w:rPr>
                <w:color w:val="000000"/>
                <w:sz w:val="14"/>
                <w:szCs w:val="14"/>
                <w:lang w:val="en-US"/>
              </w:rPr>
              <w:t>High altitude</w:t>
            </w:r>
          </w:p>
        </w:tc>
        <w:tc>
          <w:tcPr>
            <w:tcW w:w="900" w:type="dxa"/>
            <w:noWrap/>
            <w:vAlign w:val="center"/>
            <w:hideMark/>
          </w:tcPr>
          <w:p w14:paraId="0251B936" w14:textId="77777777" w:rsidR="00F3536C" w:rsidRPr="00A4272B" w:rsidRDefault="00F3536C" w:rsidP="00A41632">
            <w:pPr>
              <w:jc w:val="right"/>
              <w:rPr>
                <w:color w:val="000000"/>
                <w:sz w:val="14"/>
                <w:szCs w:val="14"/>
                <w:lang w:val="en-US"/>
              </w:rPr>
            </w:pPr>
            <w:r w:rsidRPr="00A4272B">
              <w:rPr>
                <w:color w:val="000000"/>
                <w:sz w:val="14"/>
                <w:szCs w:val="14"/>
                <w:lang w:val="en-US"/>
              </w:rPr>
              <w:t>47.983300</w:t>
            </w:r>
          </w:p>
        </w:tc>
        <w:tc>
          <w:tcPr>
            <w:tcW w:w="998" w:type="dxa"/>
            <w:noWrap/>
            <w:vAlign w:val="center"/>
            <w:hideMark/>
          </w:tcPr>
          <w:p w14:paraId="143AF23C" w14:textId="77777777" w:rsidR="00F3536C" w:rsidRPr="00A4272B" w:rsidRDefault="00F3536C" w:rsidP="00A41632">
            <w:pPr>
              <w:jc w:val="right"/>
              <w:rPr>
                <w:color w:val="000000"/>
                <w:sz w:val="14"/>
                <w:szCs w:val="14"/>
                <w:lang w:val="en-US"/>
              </w:rPr>
            </w:pPr>
            <w:r w:rsidRPr="00A4272B">
              <w:rPr>
                <w:color w:val="000000"/>
                <w:sz w:val="14"/>
                <w:szCs w:val="14"/>
                <w:lang w:val="en-US"/>
              </w:rPr>
              <w:t>107.450000</w:t>
            </w:r>
          </w:p>
        </w:tc>
        <w:tc>
          <w:tcPr>
            <w:tcW w:w="859" w:type="dxa"/>
            <w:tcBorders>
              <w:top w:val="nil"/>
              <w:left w:val="nil"/>
              <w:bottom w:val="nil"/>
              <w:right w:val="single" w:sz="8" w:space="0" w:color="auto"/>
            </w:tcBorders>
            <w:noWrap/>
            <w:vAlign w:val="center"/>
            <w:hideMark/>
          </w:tcPr>
          <w:p w14:paraId="346BA252" w14:textId="77777777" w:rsidR="00F3536C" w:rsidRPr="00A4272B" w:rsidRDefault="00F3536C" w:rsidP="00A41632">
            <w:pPr>
              <w:jc w:val="center"/>
              <w:rPr>
                <w:color w:val="000000"/>
                <w:sz w:val="14"/>
                <w:szCs w:val="14"/>
                <w:lang w:val="en-US"/>
              </w:rPr>
            </w:pPr>
            <w:r w:rsidRPr="00A4272B">
              <w:rPr>
                <w:color w:val="000000"/>
                <w:sz w:val="14"/>
                <w:szCs w:val="14"/>
                <w:lang w:val="en-US"/>
              </w:rPr>
              <w:t>1560</w:t>
            </w:r>
          </w:p>
        </w:tc>
        <w:tc>
          <w:tcPr>
            <w:tcW w:w="792" w:type="dxa"/>
            <w:noWrap/>
            <w:vAlign w:val="center"/>
            <w:hideMark/>
          </w:tcPr>
          <w:p w14:paraId="203EE8F3"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287B7EDB"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4BE637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6FA7FC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4304F44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301CDCE1"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7094570E" w14:textId="77777777" w:rsidTr="00A41632">
        <w:trPr>
          <w:trHeight w:val="276"/>
          <w:jc w:val="center"/>
        </w:trPr>
        <w:tc>
          <w:tcPr>
            <w:tcW w:w="955" w:type="dxa"/>
            <w:tcBorders>
              <w:top w:val="nil"/>
              <w:left w:val="single" w:sz="8" w:space="0" w:color="auto"/>
              <w:bottom w:val="nil"/>
              <w:right w:val="nil"/>
            </w:tcBorders>
            <w:noWrap/>
            <w:vAlign w:val="center"/>
            <w:hideMark/>
          </w:tcPr>
          <w:p w14:paraId="1BF93BD7"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noWrap/>
            <w:vAlign w:val="center"/>
            <w:hideMark/>
          </w:tcPr>
          <w:p w14:paraId="43795E7A" w14:textId="77777777" w:rsidR="00F3536C" w:rsidRPr="00A4272B" w:rsidRDefault="00F3536C" w:rsidP="00A41632">
            <w:pPr>
              <w:rPr>
                <w:color w:val="000000"/>
                <w:sz w:val="14"/>
                <w:szCs w:val="14"/>
                <w:lang w:val="en-US"/>
              </w:rPr>
            </w:pPr>
            <w:r w:rsidRPr="00A4272B">
              <w:rPr>
                <w:color w:val="000000"/>
                <w:sz w:val="14"/>
                <w:szCs w:val="14"/>
                <w:lang w:val="en-US"/>
              </w:rPr>
              <w:t>Philippines</w:t>
            </w:r>
          </w:p>
        </w:tc>
        <w:tc>
          <w:tcPr>
            <w:tcW w:w="2504" w:type="dxa"/>
            <w:noWrap/>
            <w:vAlign w:val="center"/>
            <w:hideMark/>
          </w:tcPr>
          <w:p w14:paraId="222A5114" w14:textId="77777777" w:rsidR="00F3536C" w:rsidRPr="00A4272B" w:rsidRDefault="00F3536C" w:rsidP="00A41632">
            <w:pPr>
              <w:rPr>
                <w:color w:val="000000"/>
                <w:sz w:val="14"/>
                <w:szCs w:val="14"/>
                <w:lang w:val="en-US"/>
              </w:rPr>
            </w:pPr>
            <w:r w:rsidRPr="00A4272B">
              <w:rPr>
                <w:color w:val="000000"/>
                <w:sz w:val="14"/>
                <w:szCs w:val="14"/>
                <w:lang w:val="en-US"/>
              </w:rPr>
              <w:t>Sto Tomas Mountain</w:t>
            </w:r>
          </w:p>
        </w:tc>
        <w:tc>
          <w:tcPr>
            <w:tcW w:w="998" w:type="dxa"/>
            <w:noWrap/>
            <w:vAlign w:val="center"/>
            <w:hideMark/>
          </w:tcPr>
          <w:p w14:paraId="4C752F2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69FB30E" w14:textId="77777777" w:rsidR="00F3536C" w:rsidRPr="00A4272B" w:rsidRDefault="00F3536C" w:rsidP="00A41632">
            <w:pPr>
              <w:jc w:val="center"/>
              <w:rPr>
                <w:color w:val="000000"/>
                <w:sz w:val="14"/>
                <w:szCs w:val="14"/>
                <w:lang w:val="en-US"/>
              </w:rPr>
            </w:pPr>
            <w:r w:rsidRPr="00A4272B">
              <w:rPr>
                <w:color w:val="000000"/>
                <w:sz w:val="14"/>
                <w:szCs w:val="14"/>
                <w:lang w:val="en-US"/>
              </w:rPr>
              <w:t>High altitude</w:t>
            </w:r>
          </w:p>
        </w:tc>
        <w:tc>
          <w:tcPr>
            <w:tcW w:w="900" w:type="dxa"/>
            <w:noWrap/>
            <w:vAlign w:val="center"/>
            <w:hideMark/>
          </w:tcPr>
          <w:p w14:paraId="77A4F487" w14:textId="77777777" w:rsidR="00F3536C" w:rsidRPr="00A4272B" w:rsidRDefault="00F3536C" w:rsidP="00A41632">
            <w:pPr>
              <w:jc w:val="right"/>
              <w:rPr>
                <w:color w:val="000000"/>
                <w:sz w:val="14"/>
                <w:szCs w:val="14"/>
                <w:lang w:val="en-US"/>
              </w:rPr>
            </w:pPr>
            <w:r w:rsidRPr="00A4272B">
              <w:rPr>
                <w:color w:val="000000"/>
                <w:sz w:val="14"/>
                <w:szCs w:val="14"/>
                <w:lang w:val="en-US"/>
              </w:rPr>
              <w:t>16.358100</w:t>
            </w:r>
          </w:p>
        </w:tc>
        <w:tc>
          <w:tcPr>
            <w:tcW w:w="998" w:type="dxa"/>
            <w:noWrap/>
            <w:vAlign w:val="center"/>
            <w:hideMark/>
          </w:tcPr>
          <w:p w14:paraId="0E45D416" w14:textId="77777777" w:rsidR="00F3536C" w:rsidRPr="00A4272B" w:rsidRDefault="00F3536C" w:rsidP="00A41632">
            <w:pPr>
              <w:jc w:val="right"/>
              <w:rPr>
                <w:color w:val="000000"/>
                <w:sz w:val="14"/>
                <w:szCs w:val="14"/>
                <w:lang w:val="en-US"/>
              </w:rPr>
            </w:pPr>
            <w:r w:rsidRPr="00A4272B">
              <w:rPr>
                <w:color w:val="000000"/>
                <w:sz w:val="14"/>
                <w:szCs w:val="14"/>
                <w:lang w:val="en-US"/>
              </w:rPr>
              <w:t>120.557600</w:t>
            </w:r>
          </w:p>
        </w:tc>
        <w:tc>
          <w:tcPr>
            <w:tcW w:w="859" w:type="dxa"/>
            <w:tcBorders>
              <w:top w:val="nil"/>
              <w:left w:val="nil"/>
              <w:bottom w:val="nil"/>
              <w:right w:val="single" w:sz="8" w:space="0" w:color="auto"/>
            </w:tcBorders>
            <w:noWrap/>
            <w:vAlign w:val="center"/>
            <w:hideMark/>
          </w:tcPr>
          <w:p w14:paraId="27E5F8FB" w14:textId="77777777" w:rsidR="00F3536C" w:rsidRPr="00A4272B" w:rsidRDefault="00F3536C" w:rsidP="00A41632">
            <w:pPr>
              <w:jc w:val="center"/>
              <w:rPr>
                <w:color w:val="000000"/>
                <w:sz w:val="14"/>
                <w:szCs w:val="14"/>
                <w:lang w:val="en-US"/>
              </w:rPr>
            </w:pPr>
            <w:r w:rsidRPr="00A4272B">
              <w:rPr>
                <w:color w:val="000000"/>
                <w:sz w:val="14"/>
                <w:szCs w:val="14"/>
                <w:lang w:val="en-US"/>
              </w:rPr>
              <w:t>2040</w:t>
            </w:r>
          </w:p>
        </w:tc>
        <w:tc>
          <w:tcPr>
            <w:tcW w:w="792" w:type="dxa"/>
            <w:noWrap/>
            <w:vAlign w:val="center"/>
            <w:hideMark/>
          </w:tcPr>
          <w:p w14:paraId="3C8D765F"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1A02F567"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E8D308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98CA40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737CB44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121CA937"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D32DB35" w14:textId="77777777" w:rsidTr="00A41632">
        <w:trPr>
          <w:trHeight w:val="276"/>
          <w:jc w:val="center"/>
        </w:trPr>
        <w:tc>
          <w:tcPr>
            <w:tcW w:w="955" w:type="dxa"/>
            <w:tcBorders>
              <w:top w:val="nil"/>
              <w:left w:val="single" w:sz="8" w:space="0" w:color="auto"/>
              <w:bottom w:val="nil"/>
              <w:right w:val="nil"/>
            </w:tcBorders>
            <w:noWrap/>
            <w:vAlign w:val="center"/>
            <w:hideMark/>
          </w:tcPr>
          <w:p w14:paraId="05DC9725"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noWrap/>
            <w:vAlign w:val="center"/>
            <w:hideMark/>
          </w:tcPr>
          <w:p w14:paraId="7A9F1F02" w14:textId="77777777" w:rsidR="00F3536C" w:rsidRPr="00A4272B" w:rsidRDefault="00F3536C" w:rsidP="00A41632">
            <w:pPr>
              <w:rPr>
                <w:color w:val="000000"/>
                <w:sz w:val="14"/>
                <w:szCs w:val="14"/>
                <w:lang w:val="en-US"/>
              </w:rPr>
            </w:pPr>
            <w:r w:rsidRPr="00A4272B">
              <w:rPr>
                <w:color w:val="000000"/>
                <w:sz w:val="14"/>
                <w:szCs w:val="14"/>
                <w:lang w:val="en-US"/>
              </w:rPr>
              <w:t>South Korea</w:t>
            </w:r>
          </w:p>
        </w:tc>
        <w:tc>
          <w:tcPr>
            <w:tcW w:w="2504" w:type="dxa"/>
            <w:noWrap/>
            <w:vAlign w:val="center"/>
            <w:hideMark/>
          </w:tcPr>
          <w:p w14:paraId="45759540" w14:textId="77777777" w:rsidR="00F3536C" w:rsidRPr="00A4272B" w:rsidRDefault="00F3536C" w:rsidP="00A41632">
            <w:pPr>
              <w:rPr>
                <w:color w:val="000000"/>
                <w:sz w:val="14"/>
                <w:szCs w:val="14"/>
                <w:lang w:val="en-US"/>
              </w:rPr>
            </w:pPr>
            <w:r w:rsidRPr="00A4272B">
              <w:rPr>
                <w:color w:val="000000"/>
                <w:sz w:val="14"/>
                <w:szCs w:val="14"/>
                <w:lang w:val="en-US"/>
              </w:rPr>
              <w:t>Cheju / Jeju Island</w:t>
            </w:r>
          </w:p>
        </w:tc>
        <w:tc>
          <w:tcPr>
            <w:tcW w:w="998" w:type="dxa"/>
            <w:noWrap/>
            <w:vAlign w:val="center"/>
            <w:hideMark/>
          </w:tcPr>
          <w:p w14:paraId="4AEB861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88462B8"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19CC0D6E" w14:textId="77777777" w:rsidR="00F3536C" w:rsidRPr="00A4272B" w:rsidRDefault="00F3536C" w:rsidP="00A41632">
            <w:pPr>
              <w:jc w:val="right"/>
              <w:rPr>
                <w:color w:val="000000"/>
                <w:sz w:val="14"/>
                <w:szCs w:val="14"/>
                <w:lang w:val="en-US"/>
              </w:rPr>
            </w:pPr>
            <w:r w:rsidRPr="00A4272B">
              <w:rPr>
                <w:color w:val="000000"/>
                <w:sz w:val="14"/>
                <w:szCs w:val="14"/>
                <w:lang w:val="en-US"/>
              </w:rPr>
              <w:t>33.170000</w:t>
            </w:r>
          </w:p>
        </w:tc>
        <w:tc>
          <w:tcPr>
            <w:tcW w:w="998" w:type="dxa"/>
            <w:noWrap/>
            <w:vAlign w:val="center"/>
            <w:hideMark/>
          </w:tcPr>
          <w:p w14:paraId="442BED9B" w14:textId="77777777" w:rsidR="00F3536C" w:rsidRPr="00A4272B" w:rsidRDefault="00F3536C" w:rsidP="00A41632">
            <w:pPr>
              <w:jc w:val="right"/>
              <w:rPr>
                <w:color w:val="000000"/>
                <w:sz w:val="14"/>
                <w:szCs w:val="14"/>
                <w:lang w:val="en-US"/>
              </w:rPr>
            </w:pPr>
            <w:r w:rsidRPr="00A4272B">
              <w:rPr>
                <w:color w:val="000000"/>
                <w:sz w:val="14"/>
                <w:szCs w:val="14"/>
                <w:lang w:val="en-US"/>
              </w:rPr>
              <w:t>126.100000</w:t>
            </w:r>
          </w:p>
        </w:tc>
        <w:tc>
          <w:tcPr>
            <w:tcW w:w="859" w:type="dxa"/>
            <w:tcBorders>
              <w:top w:val="nil"/>
              <w:left w:val="nil"/>
              <w:bottom w:val="nil"/>
              <w:right w:val="single" w:sz="8" w:space="0" w:color="auto"/>
            </w:tcBorders>
            <w:noWrap/>
            <w:vAlign w:val="center"/>
            <w:hideMark/>
          </w:tcPr>
          <w:p w14:paraId="6447396F" w14:textId="77777777" w:rsidR="00F3536C" w:rsidRPr="00A4272B" w:rsidRDefault="00F3536C" w:rsidP="00A41632">
            <w:pPr>
              <w:jc w:val="center"/>
              <w:rPr>
                <w:color w:val="000000"/>
                <w:sz w:val="14"/>
                <w:szCs w:val="14"/>
                <w:lang w:val="en-US"/>
              </w:rPr>
            </w:pPr>
            <w:r w:rsidRPr="00A4272B">
              <w:rPr>
                <w:color w:val="000000"/>
                <w:sz w:val="14"/>
                <w:szCs w:val="14"/>
                <w:lang w:val="en-US"/>
              </w:rPr>
              <w:t>24</w:t>
            </w:r>
          </w:p>
        </w:tc>
        <w:tc>
          <w:tcPr>
            <w:tcW w:w="792" w:type="dxa"/>
            <w:noWrap/>
            <w:vAlign w:val="center"/>
            <w:hideMark/>
          </w:tcPr>
          <w:p w14:paraId="1B734745"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3081E3C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20C2E9A" w14:textId="77777777" w:rsidR="00F3536C" w:rsidRPr="00A4272B" w:rsidRDefault="00F3536C" w:rsidP="00A41632">
            <w:pPr>
              <w:jc w:val="center"/>
              <w:rPr>
                <w:color w:val="000000"/>
                <w:sz w:val="14"/>
                <w:szCs w:val="14"/>
                <w:lang w:val="en-US"/>
              </w:rPr>
            </w:pPr>
            <w:r w:rsidRPr="00A4272B">
              <w:rPr>
                <w:color w:val="000000"/>
                <w:sz w:val="14"/>
                <w:szCs w:val="14"/>
                <w:lang w:val="en-US"/>
              </w:rPr>
              <w:t>~1000 m³/d</w:t>
            </w:r>
          </w:p>
        </w:tc>
        <w:tc>
          <w:tcPr>
            <w:tcW w:w="831" w:type="dxa"/>
            <w:noWrap/>
            <w:vAlign w:val="center"/>
            <w:hideMark/>
          </w:tcPr>
          <w:p w14:paraId="28646D3D" w14:textId="77777777" w:rsidR="00F3536C" w:rsidRPr="00A4272B" w:rsidRDefault="00F3536C" w:rsidP="00A41632">
            <w:pPr>
              <w:jc w:val="center"/>
              <w:rPr>
                <w:color w:val="000000"/>
                <w:sz w:val="14"/>
                <w:szCs w:val="14"/>
                <w:lang w:val="en-US"/>
              </w:rPr>
            </w:pPr>
            <w:r w:rsidRPr="00A4272B">
              <w:rPr>
                <w:color w:val="000000"/>
                <w:sz w:val="14"/>
                <w:szCs w:val="14"/>
                <w:lang w:val="en-US"/>
              </w:rPr>
              <w:t>3 days</w:t>
            </w:r>
          </w:p>
        </w:tc>
        <w:tc>
          <w:tcPr>
            <w:tcW w:w="924" w:type="dxa"/>
            <w:noWrap/>
            <w:vAlign w:val="center"/>
            <w:hideMark/>
          </w:tcPr>
          <w:p w14:paraId="2FBF85D8" w14:textId="77777777" w:rsidR="00F3536C" w:rsidRPr="00A4272B" w:rsidRDefault="00F3536C" w:rsidP="00A41632">
            <w:pPr>
              <w:jc w:val="center"/>
              <w:rPr>
                <w:color w:val="000000"/>
                <w:sz w:val="14"/>
                <w:szCs w:val="14"/>
                <w:lang w:val="en-US"/>
              </w:rPr>
            </w:pPr>
            <w:r w:rsidRPr="00A4272B">
              <w:rPr>
                <w:color w:val="000000"/>
                <w:sz w:val="14"/>
                <w:szCs w:val="14"/>
                <w:lang w:val="en-US"/>
              </w:rPr>
              <w:t>1 month</w:t>
            </w:r>
          </w:p>
        </w:tc>
        <w:tc>
          <w:tcPr>
            <w:tcW w:w="612" w:type="dxa"/>
            <w:tcBorders>
              <w:top w:val="nil"/>
              <w:left w:val="nil"/>
              <w:bottom w:val="nil"/>
              <w:right w:val="single" w:sz="8" w:space="0" w:color="auto"/>
            </w:tcBorders>
            <w:noWrap/>
            <w:vAlign w:val="center"/>
            <w:hideMark/>
          </w:tcPr>
          <w:p w14:paraId="617E814A"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267B869B"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33106C9A" w14:textId="77777777" w:rsidR="00F3536C" w:rsidRPr="00A4272B" w:rsidRDefault="00F3536C" w:rsidP="00A41632">
            <w:pPr>
              <w:rPr>
                <w:color w:val="000000"/>
                <w:sz w:val="14"/>
                <w:szCs w:val="14"/>
                <w:lang w:val="en-US"/>
              </w:rPr>
            </w:pPr>
            <w:r w:rsidRPr="00A4272B">
              <w:rPr>
                <w:color w:val="000000"/>
                <w:sz w:val="14"/>
                <w:szCs w:val="14"/>
                <w:lang w:val="en-US"/>
              </w:rPr>
              <w:t>East Asia</w:t>
            </w:r>
          </w:p>
        </w:tc>
        <w:tc>
          <w:tcPr>
            <w:tcW w:w="1391" w:type="dxa"/>
            <w:tcBorders>
              <w:top w:val="nil"/>
              <w:left w:val="nil"/>
              <w:bottom w:val="single" w:sz="4" w:space="0" w:color="auto"/>
              <w:right w:val="nil"/>
            </w:tcBorders>
            <w:noWrap/>
            <w:vAlign w:val="center"/>
            <w:hideMark/>
          </w:tcPr>
          <w:p w14:paraId="18231C73" w14:textId="77777777" w:rsidR="00F3536C" w:rsidRPr="00A4272B" w:rsidRDefault="00F3536C" w:rsidP="00A41632">
            <w:pPr>
              <w:rPr>
                <w:color w:val="000000"/>
                <w:sz w:val="14"/>
                <w:szCs w:val="14"/>
                <w:lang w:val="en-US"/>
              </w:rPr>
            </w:pPr>
            <w:r w:rsidRPr="00A4272B">
              <w:rPr>
                <w:color w:val="000000"/>
                <w:sz w:val="14"/>
                <w:szCs w:val="14"/>
                <w:lang w:val="en-US"/>
              </w:rPr>
              <w:t>Vietnam</w:t>
            </w:r>
          </w:p>
        </w:tc>
        <w:tc>
          <w:tcPr>
            <w:tcW w:w="2504" w:type="dxa"/>
            <w:tcBorders>
              <w:top w:val="nil"/>
              <w:left w:val="nil"/>
              <w:bottom w:val="single" w:sz="4" w:space="0" w:color="auto"/>
              <w:right w:val="nil"/>
            </w:tcBorders>
            <w:noWrap/>
            <w:vAlign w:val="center"/>
            <w:hideMark/>
          </w:tcPr>
          <w:p w14:paraId="16072CB7" w14:textId="77777777" w:rsidR="00F3536C" w:rsidRPr="00A4272B" w:rsidRDefault="00F3536C" w:rsidP="00A41632">
            <w:pPr>
              <w:rPr>
                <w:color w:val="000000"/>
                <w:sz w:val="14"/>
                <w:szCs w:val="14"/>
                <w:lang w:val="en-US"/>
              </w:rPr>
            </w:pPr>
            <w:r w:rsidRPr="00A4272B">
              <w:rPr>
                <w:color w:val="000000"/>
                <w:sz w:val="14"/>
                <w:szCs w:val="14"/>
                <w:lang w:val="en-US"/>
              </w:rPr>
              <w:t>Tam Dao</w:t>
            </w:r>
          </w:p>
        </w:tc>
        <w:tc>
          <w:tcPr>
            <w:tcW w:w="998" w:type="dxa"/>
            <w:tcBorders>
              <w:top w:val="nil"/>
              <w:left w:val="nil"/>
              <w:bottom w:val="single" w:sz="4" w:space="0" w:color="auto"/>
              <w:right w:val="nil"/>
            </w:tcBorders>
            <w:noWrap/>
            <w:vAlign w:val="center"/>
            <w:hideMark/>
          </w:tcPr>
          <w:p w14:paraId="2C4B202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nil"/>
              <w:left w:val="nil"/>
              <w:bottom w:val="single" w:sz="4" w:space="0" w:color="auto"/>
              <w:right w:val="nil"/>
            </w:tcBorders>
            <w:noWrap/>
            <w:vAlign w:val="center"/>
            <w:hideMark/>
          </w:tcPr>
          <w:p w14:paraId="591D506F"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tcBorders>
              <w:top w:val="nil"/>
              <w:left w:val="nil"/>
              <w:bottom w:val="single" w:sz="4" w:space="0" w:color="auto"/>
              <w:right w:val="nil"/>
            </w:tcBorders>
            <w:noWrap/>
            <w:vAlign w:val="center"/>
            <w:hideMark/>
          </w:tcPr>
          <w:p w14:paraId="54A38B1D" w14:textId="77777777" w:rsidR="00F3536C" w:rsidRPr="00A4272B" w:rsidRDefault="00F3536C" w:rsidP="00A41632">
            <w:pPr>
              <w:jc w:val="right"/>
              <w:rPr>
                <w:color w:val="000000"/>
                <w:sz w:val="14"/>
                <w:szCs w:val="14"/>
                <w:lang w:val="en-US"/>
              </w:rPr>
            </w:pPr>
            <w:r w:rsidRPr="00A4272B">
              <w:rPr>
                <w:color w:val="000000"/>
                <w:sz w:val="14"/>
                <w:szCs w:val="14"/>
                <w:lang w:val="en-US"/>
              </w:rPr>
              <w:t>21.460000</w:t>
            </w:r>
          </w:p>
        </w:tc>
        <w:tc>
          <w:tcPr>
            <w:tcW w:w="998" w:type="dxa"/>
            <w:tcBorders>
              <w:top w:val="nil"/>
              <w:left w:val="nil"/>
              <w:bottom w:val="single" w:sz="4" w:space="0" w:color="auto"/>
              <w:right w:val="nil"/>
            </w:tcBorders>
            <w:noWrap/>
            <w:vAlign w:val="center"/>
            <w:hideMark/>
          </w:tcPr>
          <w:p w14:paraId="211CBABE" w14:textId="77777777" w:rsidR="00F3536C" w:rsidRPr="00A4272B" w:rsidRDefault="00F3536C" w:rsidP="00A41632">
            <w:pPr>
              <w:jc w:val="right"/>
              <w:rPr>
                <w:color w:val="000000"/>
                <w:sz w:val="14"/>
                <w:szCs w:val="14"/>
                <w:lang w:val="en-US"/>
              </w:rPr>
            </w:pPr>
            <w:r w:rsidRPr="00A4272B">
              <w:rPr>
                <w:color w:val="000000"/>
                <w:sz w:val="14"/>
                <w:szCs w:val="14"/>
                <w:lang w:val="en-US"/>
              </w:rPr>
              <w:t>105.650000</w:t>
            </w:r>
          </w:p>
        </w:tc>
        <w:tc>
          <w:tcPr>
            <w:tcW w:w="859" w:type="dxa"/>
            <w:tcBorders>
              <w:top w:val="nil"/>
              <w:left w:val="nil"/>
              <w:bottom w:val="single" w:sz="4" w:space="0" w:color="auto"/>
              <w:right w:val="single" w:sz="8" w:space="0" w:color="auto"/>
            </w:tcBorders>
            <w:noWrap/>
            <w:vAlign w:val="center"/>
            <w:hideMark/>
          </w:tcPr>
          <w:p w14:paraId="6634D161" w14:textId="77777777" w:rsidR="00F3536C" w:rsidRPr="00A4272B" w:rsidRDefault="00F3536C" w:rsidP="00A41632">
            <w:pPr>
              <w:jc w:val="center"/>
              <w:rPr>
                <w:color w:val="000000"/>
                <w:sz w:val="14"/>
                <w:szCs w:val="14"/>
                <w:lang w:val="en-US"/>
              </w:rPr>
            </w:pPr>
            <w:r w:rsidRPr="00A4272B">
              <w:rPr>
                <w:color w:val="000000"/>
                <w:sz w:val="14"/>
                <w:szCs w:val="14"/>
                <w:lang w:val="en-US"/>
              </w:rPr>
              <w:t>934</w:t>
            </w:r>
          </w:p>
        </w:tc>
        <w:tc>
          <w:tcPr>
            <w:tcW w:w="792" w:type="dxa"/>
            <w:tcBorders>
              <w:top w:val="nil"/>
              <w:left w:val="nil"/>
              <w:bottom w:val="single" w:sz="4" w:space="0" w:color="auto"/>
              <w:right w:val="nil"/>
            </w:tcBorders>
            <w:noWrap/>
            <w:vAlign w:val="center"/>
            <w:hideMark/>
          </w:tcPr>
          <w:p w14:paraId="13516596"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nil"/>
              <w:left w:val="nil"/>
              <w:bottom w:val="single" w:sz="4" w:space="0" w:color="auto"/>
              <w:right w:val="nil"/>
            </w:tcBorders>
            <w:noWrap/>
            <w:vAlign w:val="center"/>
            <w:hideMark/>
          </w:tcPr>
          <w:p w14:paraId="34B2DBD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nil"/>
              <w:left w:val="nil"/>
              <w:bottom w:val="single" w:sz="4" w:space="0" w:color="auto"/>
              <w:right w:val="nil"/>
            </w:tcBorders>
            <w:noWrap/>
            <w:vAlign w:val="center"/>
            <w:hideMark/>
          </w:tcPr>
          <w:p w14:paraId="4CA7E732" w14:textId="77777777" w:rsidR="00F3536C" w:rsidRPr="00A4272B" w:rsidRDefault="00F3536C" w:rsidP="00A41632">
            <w:pPr>
              <w:jc w:val="center"/>
              <w:rPr>
                <w:color w:val="000000"/>
                <w:sz w:val="14"/>
                <w:szCs w:val="14"/>
                <w:lang w:val="en-US"/>
              </w:rPr>
            </w:pPr>
            <w:r w:rsidRPr="00A4272B">
              <w:rPr>
                <w:color w:val="000000"/>
                <w:sz w:val="14"/>
                <w:szCs w:val="14"/>
                <w:lang w:val="en-US"/>
              </w:rPr>
              <w:t>~1000 m³/d</w:t>
            </w:r>
          </w:p>
        </w:tc>
        <w:tc>
          <w:tcPr>
            <w:tcW w:w="831" w:type="dxa"/>
            <w:tcBorders>
              <w:top w:val="nil"/>
              <w:left w:val="nil"/>
              <w:bottom w:val="single" w:sz="4" w:space="0" w:color="auto"/>
              <w:right w:val="nil"/>
            </w:tcBorders>
            <w:noWrap/>
            <w:vAlign w:val="center"/>
            <w:hideMark/>
          </w:tcPr>
          <w:p w14:paraId="605D562F" w14:textId="77777777" w:rsidR="00F3536C" w:rsidRPr="00A4272B" w:rsidRDefault="00F3536C" w:rsidP="00A41632">
            <w:pPr>
              <w:jc w:val="center"/>
              <w:rPr>
                <w:color w:val="000000"/>
                <w:sz w:val="14"/>
                <w:szCs w:val="14"/>
                <w:lang w:val="en-US"/>
              </w:rPr>
            </w:pPr>
            <w:r w:rsidRPr="00A4272B">
              <w:rPr>
                <w:color w:val="000000"/>
                <w:sz w:val="14"/>
                <w:szCs w:val="14"/>
                <w:lang w:val="en-US"/>
              </w:rPr>
              <w:t>3 days</w:t>
            </w:r>
          </w:p>
        </w:tc>
        <w:tc>
          <w:tcPr>
            <w:tcW w:w="924" w:type="dxa"/>
            <w:tcBorders>
              <w:top w:val="nil"/>
              <w:left w:val="nil"/>
              <w:bottom w:val="single" w:sz="4" w:space="0" w:color="auto"/>
              <w:right w:val="nil"/>
            </w:tcBorders>
            <w:noWrap/>
            <w:vAlign w:val="center"/>
            <w:hideMark/>
          </w:tcPr>
          <w:p w14:paraId="77C02DE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22AEC9AC"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03EC2420"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6BE7A7D8"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tcBorders>
              <w:top w:val="single" w:sz="4" w:space="0" w:color="auto"/>
              <w:left w:val="nil"/>
              <w:bottom w:val="nil"/>
              <w:right w:val="nil"/>
            </w:tcBorders>
            <w:noWrap/>
            <w:vAlign w:val="center"/>
            <w:hideMark/>
          </w:tcPr>
          <w:p w14:paraId="311F0ADF" w14:textId="77777777" w:rsidR="00F3536C" w:rsidRPr="00A4272B" w:rsidRDefault="00F3536C" w:rsidP="00A41632">
            <w:pPr>
              <w:rPr>
                <w:color w:val="000000"/>
                <w:sz w:val="14"/>
                <w:szCs w:val="14"/>
                <w:lang w:val="en-US"/>
              </w:rPr>
            </w:pPr>
            <w:r w:rsidRPr="00A4272B">
              <w:rPr>
                <w:color w:val="000000"/>
                <w:sz w:val="14"/>
                <w:szCs w:val="14"/>
                <w:lang w:val="en-US"/>
              </w:rPr>
              <w:t>China</w:t>
            </w:r>
          </w:p>
        </w:tc>
        <w:tc>
          <w:tcPr>
            <w:tcW w:w="2504" w:type="dxa"/>
            <w:tcBorders>
              <w:top w:val="single" w:sz="4" w:space="0" w:color="auto"/>
              <w:left w:val="nil"/>
              <w:bottom w:val="nil"/>
              <w:right w:val="nil"/>
            </w:tcBorders>
            <w:noWrap/>
            <w:vAlign w:val="center"/>
            <w:hideMark/>
          </w:tcPr>
          <w:p w14:paraId="0EF0DB2A" w14:textId="77777777" w:rsidR="00F3536C" w:rsidRPr="00A4272B" w:rsidRDefault="00F3536C" w:rsidP="00A41632">
            <w:pPr>
              <w:rPr>
                <w:color w:val="000000"/>
                <w:sz w:val="14"/>
                <w:szCs w:val="14"/>
                <w:lang w:val="en-US"/>
              </w:rPr>
            </w:pPr>
            <w:r w:rsidRPr="00A4272B">
              <w:rPr>
                <w:color w:val="000000"/>
                <w:sz w:val="14"/>
                <w:szCs w:val="14"/>
                <w:lang w:val="en-US"/>
              </w:rPr>
              <w:t>Beijing</w:t>
            </w:r>
          </w:p>
        </w:tc>
        <w:tc>
          <w:tcPr>
            <w:tcW w:w="998" w:type="dxa"/>
            <w:tcBorders>
              <w:top w:val="single" w:sz="4" w:space="0" w:color="auto"/>
              <w:left w:val="nil"/>
              <w:bottom w:val="nil"/>
              <w:right w:val="nil"/>
            </w:tcBorders>
            <w:noWrap/>
            <w:vAlign w:val="center"/>
            <w:hideMark/>
          </w:tcPr>
          <w:p w14:paraId="49149F0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single" w:sz="4" w:space="0" w:color="auto"/>
              <w:left w:val="nil"/>
              <w:bottom w:val="nil"/>
              <w:right w:val="nil"/>
            </w:tcBorders>
            <w:noWrap/>
            <w:vAlign w:val="center"/>
            <w:hideMark/>
          </w:tcPr>
          <w:p w14:paraId="3726391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single" w:sz="4" w:space="0" w:color="auto"/>
              <w:left w:val="nil"/>
              <w:bottom w:val="nil"/>
              <w:right w:val="nil"/>
            </w:tcBorders>
            <w:noWrap/>
            <w:vAlign w:val="center"/>
            <w:hideMark/>
          </w:tcPr>
          <w:p w14:paraId="50692E3A" w14:textId="77777777" w:rsidR="00F3536C" w:rsidRPr="00A4272B" w:rsidRDefault="00F3536C" w:rsidP="00A41632">
            <w:pPr>
              <w:jc w:val="right"/>
              <w:rPr>
                <w:color w:val="000000"/>
                <w:sz w:val="14"/>
                <w:szCs w:val="14"/>
                <w:lang w:val="en-US"/>
              </w:rPr>
            </w:pPr>
            <w:r w:rsidRPr="00A4272B">
              <w:rPr>
                <w:color w:val="000000"/>
                <w:sz w:val="14"/>
                <w:szCs w:val="14"/>
                <w:lang w:val="en-US"/>
              </w:rPr>
              <w:t>39.904200</w:t>
            </w:r>
          </w:p>
        </w:tc>
        <w:tc>
          <w:tcPr>
            <w:tcW w:w="998" w:type="dxa"/>
            <w:tcBorders>
              <w:top w:val="single" w:sz="4" w:space="0" w:color="auto"/>
              <w:left w:val="nil"/>
              <w:bottom w:val="nil"/>
              <w:right w:val="nil"/>
            </w:tcBorders>
            <w:noWrap/>
            <w:vAlign w:val="center"/>
            <w:hideMark/>
          </w:tcPr>
          <w:p w14:paraId="6E1F3F1C" w14:textId="77777777" w:rsidR="00F3536C" w:rsidRPr="00A4272B" w:rsidRDefault="00F3536C" w:rsidP="00A41632">
            <w:pPr>
              <w:jc w:val="right"/>
              <w:rPr>
                <w:color w:val="000000"/>
                <w:sz w:val="14"/>
                <w:szCs w:val="14"/>
                <w:lang w:val="en-US"/>
              </w:rPr>
            </w:pPr>
            <w:r w:rsidRPr="00A4272B">
              <w:rPr>
                <w:color w:val="000000"/>
                <w:sz w:val="14"/>
                <w:szCs w:val="14"/>
                <w:lang w:val="en-US"/>
              </w:rPr>
              <w:t>116.407396</w:t>
            </w:r>
          </w:p>
        </w:tc>
        <w:tc>
          <w:tcPr>
            <w:tcW w:w="859" w:type="dxa"/>
            <w:tcBorders>
              <w:top w:val="single" w:sz="4" w:space="0" w:color="auto"/>
              <w:left w:val="nil"/>
              <w:bottom w:val="nil"/>
              <w:right w:val="single" w:sz="8" w:space="0" w:color="auto"/>
            </w:tcBorders>
            <w:noWrap/>
            <w:vAlign w:val="center"/>
            <w:hideMark/>
          </w:tcPr>
          <w:p w14:paraId="3FC4FF6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left w:val="nil"/>
              <w:bottom w:val="nil"/>
              <w:right w:val="nil"/>
            </w:tcBorders>
            <w:noWrap/>
            <w:vAlign w:val="center"/>
            <w:hideMark/>
          </w:tcPr>
          <w:p w14:paraId="03879B9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left w:val="nil"/>
              <w:bottom w:val="nil"/>
              <w:right w:val="nil"/>
            </w:tcBorders>
            <w:noWrap/>
            <w:vAlign w:val="center"/>
            <w:hideMark/>
          </w:tcPr>
          <w:p w14:paraId="0468C30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nil"/>
              <w:right w:val="nil"/>
            </w:tcBorders>
            <w:noWrap/>
            <w:vAlign w:val="center"/>
            <w:hideMark/>
          </w:tcPr>
          <w:p w14:paraId="420EAED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left w:val="nil"/>
              <w:bottom w:val="nil"/>
              <w:right w:val="nil"/>
            </w:tcBorders>
            <w:noWrap/>
            <w:vAlign w:val="center"/>
            <w:hideMark/>
          </w:tcPr>
          <w:p w14:paraId="4856835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single" w:sz="4" w:space="0" w:color="auto"/>
              <w:left w:val="nil"/>
              <w:bottom w:val="nil"/>
              <w:right w:val="nil"/>
            </w:tcBorders>
            <w:noWrap/>
            <w:vAlign w:val="center"/>
            <w:hideMark/>
          </w:tcPr>
          <w:p w14:paraId="39FA5A0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single" w:sz="4" w:space="0" w:color="auto"/>
              <w:left w:val="nil"/>
              <w:bottom w:val="nil"/>
              <w:right w:val="single" w:sz="8" w:space="0" w:color="auto"/>
            </w:tcBorders>
            <w:noWrap/>
            <w:vAlign w:val="center"/>
            <w:hideMark/>
          </w:tcPr>
          <w:p w14:paraId="545CB72D"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374E239E" w14:textId="77777777" w:rsidTr="00A41632">
        <w:trPr>
          <w:trHeight w:val="276"/>
          <w:jc w:val="center"/>
        </w:trPr>
        <w:tc>
          <w:tcPr>
            <w:tcW w:w="955" w:type="dxa"/>
            <w:tcBorders>
              <w:top w:val="nil"/>
              <w:left w:val="single" w:sz="8" w:space="0" w:color="auto"/>
              <w:bottom w:val="nil"/>
              <w:right w:val="nil"/>
            </w:tcBorders>
            <w:noWrap/>
            <w:vAlign w:val="center"/>
            <w:hideMark/>
          </w:tcPr>
          <w:p w14:paraId="15328CE2"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F5388DA" w14:textId="77777777" w:rsidR="00F3536C" w:rsidRPr="00A4272B" w:rsidRDefault="00F3536C" w:rsidP="00A41632">
            <w:pPr>
              <w:rPr>
                <w:color w:val="000000"/>
                <w:sz w:val="14"/>
                <w:szCs w:val="14"/>
                <w:lang w:val="en-US"/>
              </w:rPr>
            </w:pPr>
            <w:r w:rsidRPr="00A4272B">
              <w:rPr>
                <w:color w:val="000000"/>
                <w:sz w:val="14"/>
                <w:szCs w:val="14"/>
                <w:lang w:val="en-US"/>
              </w:rPr>
              <w:t>India</w:t>
            </w:r>
          </w:p>
        </w:tc>
        <w:tc>
          <w:tcPr>
            <w:tcW w:w="2504" w:type="dxa"/>
            <w:noWrap/>
            <w:vAlign w:val="center"/>
            <w:hideMark/>
          </w:tcPr>
          <w:p w14:paraId="52B5E95D" w14:textId="77777777" w:rsidR="00F3536C" w:rsidRPr="00A4272B" w:rsidRDefault="00F3536C" w:rsidP="00A41632">
            <w:pPr>
              <w:rPr>
                <w:color w:val="000000"/>
                <w:sz w:val="14"/>
                <w:szCs w:val="14"/>
                <w:lang w:val="en-US"/>
              </w:rPr>
            </w:pPr>
            <w:r w:rsidRPr="00A4272B">
              <w:rPr>
                <w:color w:val="000000"/>
                <w:sz w:val="14"/>
                <w:szCs w:val="14"/>
                <w:lang w:val="en-US"/>
              </w:rPr>
              <w:t>Kolkata</w:t>
            </w:r>
          </w:p>
        </w:tc>
        <w:tc>
          <w:tcPr>
            <w:tcW w:w="998" w:type="dxa"/>
            <w:noWrap/>
            <w:vAlign w:val="center"/>
            <w:hideMark/>
          </w:tcPr>
          <w:p w14:paraId="27C66A4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01E8094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DB98AD7" w14:textId="77777777" w:rsidR="00F3536C" w:rsidRPr="00A4272B" w:rsidRDefault="00F3536C" w:rsidP="00A41632">
            <w:pPr>
              <w:jc w:val="right"/>
              <w:rPr>
                <w:color w:val="000000"/>
                <w:sz w:val="14"/>
                <w:szCs w:val="14"/>
                <w:lang w:val="en-US"/>
              </w:rPr>
            </w:pPr>
            <w:r w:rsidRPr="00A4272B">
              <w:rPr>
                <w:color w:val="000000"/>
                <w:sz w:val="14"/>
                <w:szCs w:val="14"/>
                <w:lang w:val="en-US"/>
              </w:rPr>
              <w:t>22.572646</w:t>
            </w:r>
          </w:p>
        </w:tc>
        <w:tc>
          <w:tcPr>
            <w:tcW w:w="998" w:type="dxa"/>
            <w:noWrap/>
            <w:vAlign w:val="center"/>
            <w:hideMark/>
          </w:tcPr>
          <w:p w14:paraId="121038F8" w14:textId="77777777" w:rsidR="00F3536C" w:rsidRPr="00A4272B" w:rsidRDefault="00F3536C" w:rsidP="00A41632">
            <w:pPr>
              <w:jc w:val="right"/>
              <w:rPr>
                <w:color w:val="000000"/>
                <w:sz w:val="14"/>
                <w:szCs w:val="14"/>
                <w:lang w:val="en-US"/>
              </w:rPr>
            </w:pPr>
            <w:r w:rsidRPr="00A4272B">
              <w:rPr>
                <w:color w:val="000000"/>
                <w:sz w:val="14"/>
                <w:szCs w:val="14"/>
                <w:lang w:val="en-US"/>
              </w:rPr>
              <w:t>88.363895</w:t>
            </w:r>
          </w:p>
        </w:tc>
        <w:tc>
          <w:tcPr>
            <w:tcW w:w="859" w:type="dxa"/>
            <w:tcBorders>
              <w:top w:val="nil"/>
              <w:left w:val="nil"/>
              <w:bottom w:val="nil"/>
              <w:right w:val="single" w:sz="8" w:space="0" w:color="auto"/>
            </w:tcBorders>
            <w:noWrap/>
            <w:vAlign w:val="center"/>
            <w:hideMark/>
          </w:tcPr>
          <w:p w14:paraId="13664AE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6552ED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CF3495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C51A13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2A38D0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767418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F48CF86"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596CB187" w14:textId="77777777" w:rsidTr="00A41632">
        <w:trPr>
          <w:trHeight w:val="276"/>
          <w:jc w:val="center"/>
        </w:trPr>
        <w:tc>
          <w:tcPr>
            <w:tcW w:w="955" w:type="dxa"/>
            <w:tcBorders>
              <w:top w:val="nil"/>
              <w:left w:val="single" w:sz="8" w:space="0" w:color="auto"/>
              <w:bottom w:val="nil"/>
              <w:right w:val="nil"/>
            </w:tcBorders>
            <w:noWrap/>
            <w:vAlign w:val="center"/>
            <w:hideMark/>
          </w:tcPr>
          <w:p w14:paraId="4BB9395E"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1BDAA43E" w14:textId="77777777" w:rsidR="00F3536C" w:rsidRPr="00A4272B" w:rsidRDefault="00F3536C" w:rsidP="00A41632">
            <w:pPr>
              <w:rPr>
                <w:color w:val="000000"/>
                <w:sz w:val="14"/>
                <w:szCs w:val="14"/>
                <w:lang w:val="en-US"/>
              </w:rPr>
            </w:pPr>
            <w:r w:rsidRPr="00A4272B">
              <w:rPr>
                <w:color w:val="000000"/>
                <w:sz w:val="14"/>
                <w:szCs w:val="14"/>
                <w:lang w:val="en-US"/>
              </w:rPr>
              <w:t>India</w:t>
            </w:r>
          </w:p>
        </w:tc>
        <w:tc>
          <w:tcPr>
            <w:tcW w:w="2504" w:type="dxa"/>
            <w:noWrap/>
            <w:vAlign w:val="center"/>
            <w:hideMark/>
          </w:tcPr>
          <w:p w14:paraId="2DDB90E0" w14:textId="77777777" w:rsidR="00F3536C" w:rsidRPr="00A4272B" w:rsidRDefault="00F3536C" w:rsidP="00A41632">
            <w:pPr>
              <w:rPr>
                <w:color w:val="000000"/>
                <w:sz w:val="14"/>
                <w:szCs w:val="14"/>
                <w:lang w:val="en-US"/>
              </w:rPr>
            </w:pPr>
            <w:r w:rsidRPr="00A4272B">
              <w:rPr>
                <w:color w:val="000000"/>
                <w:sz w:val="14"/>
                <w:szCs w:val="14"/>
                <w:lang w:val="en-US"/>
              </w:rPr>
              <w:t>New Delhi</w:t>
            </w:r>
          </w:p>
        </w:tc>
        <w:tc>
          <w:tcPr>
            <w:tcW w:w="998" w:type="dxa"/>
            <w:noWrap/>
            <w:vAlign w:val="center"/>
            <w:hideMark/>
          </w:tcPr>
          <w:p w14:paraId="5B51BD9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69E3FA8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A0E628E" w14:textId="77777777" w:rsidR="00F3536C" w:rsidRPr="00A4272B" w:rsidRDefault="00F3536C" w:rsidP="00A41632">
            <w:pPr>
              <w:jc w:val="right"/>
              <w:rPr>
                <w:color w:val="000000"/>
                <w:sz w:val="14"/>
                <w:szCs w:val="14"/>
                <w:lang w:val="en-US"/>
              </w:rPr>
            </w:pPr>
            <w:r w:rsidRPr="00A4272B">
              <w:rPr>
                <w:color w:val="000000"/>
                <w:sz w:val="14"/>
                <w:szCs w:val="14"/>
                <w:lang w:val="en-US"/>
              </w:rPr>
              <w:t>28.588493</w:t>
            </w:r>
          </w:p>
        </w:tc>
        <w:tc>
          <w:tcPr>
            <w:tcW w:w="998" w:type="dxa"/>
            <w:noWrap/>
            <w:vAlign w:val="center"/>
            <w:hideMark/>
          </w:tcPr>
          <w:p w14:paraId="44E7E22A" w14:textId="77777777" w:rsidR="00F3536C" w:rsidRPr="00A4272B" w:rsidRDefault="00F3536C" w:rsidP="00A41632">
            <w:pPr>
              <w:jc w:val="right"/>
              <w:rPr>
                <w:color w:val="000000"/>
                <w:sz w:val="14"/>
                <w:szCs w:val="14"/>
                <w:lang w:val="en-US"/>
              </w:rPr>
            </w:pPr>
            <w:r w:rsidRPr="00A4272B">
              <w:rPr>
                <w:color w:val="000000"/>
                <w:sz w:val="14"/>
                <w:szCs w:val="14"/>
                <w:lang w:val="en-US"/>
              </w:rPr>
              <w:t>77.227582</w:t>
            </w:r>
          </w:p>
        </w:tc>
        <w:tc>
          <w:tcPr>
            <w:tcW w:w="859" w:type="dxa"/>
            <w:tcBorders>
              <w:top w:val="nil"/>
              <w:left w:val="nil"/>
              <w:bottom w:val="nil"/>
              <w:right w:val="single" w:sz="8" w:space="0" w:color="auto"/>
            </w:tcBorders>
            <w:noWrap/>
            <w:vAlign w:val="center"/>
            <w:hideMark/>
          </w:tcPr>
          <w:p w14:paraId="0EDC336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0AD07E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916058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CE01F7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D23A38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B45F5B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5F16997"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24A43E14" w14:textId="77777777" w:rsidTr="00A41632">
        <w:trPr>
          <w:trHeight w:val="276"/>
          <w:jc w:val="center"/>
        </w:trPr>
        <w:tc>
          <w:tcPr>
            <w:tcW w:w="955" w:type="dxa"/>
            <w:tcBorders>
              <w:top w:val="nil"/>
              <w:left w:val="single" w:sz="8" w:space="0" w:color="auto"/>
              <w:bottom w:val="nil"/>
              <w:right w:val="nil"/>
            </w:tcBorders>
            <w:noWrap/>
            <w:vAlign w:val="center"/>
            <w:hideMark/>
          </w:tcPr>
          <w:p w14:paraId="39E3628F"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348CB9C" w14:textId="77777777" w:rsidR="00F3536C" w:rsidRPr="00A4272B" w:rsidRDefault="00F3536C" w:rsidP="00A41632">
            <w:pPr>
              <w:rPr>
                <w:color w:val="000000"/>
                <w:sz w:val="14"/>
                <w:szCs w:val="14"/>
                <w:lang w:val="en-US"/>
              </w:rPr>
            </w:pPr>
            <w:r w:rsidRPr="00A4272B">
              <w:rPr>
                <w:color w:val="000000"/>
                <w:sz w:val="14"/>
                <w:szCs w:val="14"/>
                <w:lang w:val="en-US"/>
              </w:rPr>
              <w:t>Indonesia</w:t>
            </w:r>
          </w:p>
        </w:tc>
        <w:tc>
          <w:tcPr>
            <w:tcW w:w="2504" w:type="dxa"/>
            <w:noWrap/>
            <w:vAlign w:val="center"/>
            <w:hideMark/>
          </w:tcPr>
          <w:p w14:paraId="7AB7FA55" w14:textId="77777777" w:rsidR="00F3536C" w:rsidRPr="00A4272B" w:rsidRDefault="00F3536C" w:rsidP="00A41632">
            <w:pPr>
              <w:rPr>
                <w:color w:val="000000"/>
                <w:sz w:val="14"/>
                <w:szCs w:val="14"/>
                <w:lang w:val="en-US"/>
              </w:rPr>
            </w:pPr>
            <w:r w:rsidRPr="00A4272B">
              <w:rPr>
                <w:color w:val="000000"/>
                <w:sz w:val="14"/>
                <w:szCs w:val="14"/>
                <w:lang w:val="en-US"/>
              </w:rPr>
              <w:t>Bukit Kototabang</w:t>
            </w:r>
          </w:p>
        </w:tc>
        <w:tc>
          <w:tcPr>
            <w:tcW w:w="998" w:type="dxa"/>
            <w:noWrap/>
            <w:vAlign w:val="center"/>
            <w:hideMark/>
          </w:tcPr>
          <w:p w14:paraId="7F0B86D6" w14:textId="77777777" w:rsidR="00F3536C" w:rsidRPr="00A4272B" w:rsidRDefault="00F3536C" w:rsidP="00A41632">
            <w:pPr>
              <w:jc w:val="center"/>
              <w:rPr>
                <w:color w:val="000000"/>
                <w:sz w:val="14"/>
                <w:szCs w:val="14"/>
                <w:lang w:val="en-US"/>
              </w:rPr>
            </w:pPr>
            <w:r w:rsidRPr="00A4272B">
              <w:rPr>
                <w:color w:val="000000"/>
                <w:sz w:val="14"/>
                <w:szCs w:val="14"/>
                <w:lang w:val="en-US"/>
              </w:rPr>
              <w:t>AS13</w:t>
            </w:r>
          </w:p>
        </w:tc>
        <w:tc>
          <w:tcPr>
            <w:tcW w:w="1342" w:type="dxa"/>
            <w:noWrap/>
            <w:vAlign w:val="center"/>
            <w:hideMark/>
          </w:tcPr>
          <w:p w14:paraId="7840B89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5F6C555" w14:textId="77777777" w:rsidR="00F3536C" w:rsidRPr="00A4272B" w:rsidRDefault="00F3536C" w:rsidP="00A41632">
            <w:pPr>
              <w:jc w:val="right"/>
              <w:rPr>
                <w:color w:val="000000"/>
                <w:sz w:val="14"/>
                <w:szCs w:val="14"/>
                <w:lang w:val="en-US"/>
              </w:rPr>
            </w:pPr>
            <w:r w:rsidRPr="00A4272B">
              <w:rPr>
                <w:color w:val="000000"/>
                <w:sz w:val="14"/>
                <w:szCs w:val="14"/>
                <w:lang w:val="en-US"/>
              </w:rPr>
              <w:t>0.200000</w:t>
            </w:r>
          </w:p>
        </w:tc>
        <w:tc>
          <w:tcPr>
            <w:tcW w:w="998" w:type="dxa"/>
            <w:noWrap/>
            <w:vAlign w:val="center"/>
            <w:hideMark/>
          </w:tcPr>
          <w:p w14:paraId="46FD428B" w14:textId="77777777" w:rsidR="00F3536C" w:rsidRPr="00A4272B" w:rsidRDefault="00F3536C" w:rsidP="00A41632">
            <w:pPr>
              <w:jc w:val="right"/>
              <w:rPr>
                <w:color w:val="000000"/>
                <w:sz w:val="14"/>
                <w:szCs w:val="14"/>
                <w:lang w:val="en-US"/>
              </w:rPr>
            </w:pPr>
            <w:r w:rsidRPr="00A4272B">
              <w:rPr>
                <w:color w:val="000000"/>
                <w:sz w:val="14"/>
                <w:szCs w:val="14"/>
                <w:lang w:val="en-US"/>
              </w:rPr>
              <w:t>100.320000</w:t>
            </w:r>
          </w:p>
        </w:tc>
        <w:tc>
          <w:tcPr>
            <w:tcW w:w="859" w:type="dxa"/>
            <w:tcBorders>
              <w:top w:val="nil"/>
              <w:left w:val="nil"/>
              <w:bottom w:val="nil"/>
              <w:right w:val="single" w:sz="8" w:space="0" w:color="auto"/>
            </w:tcBorders>
            <w:noWrap/>
            <w:vAlign w:val="center"/>
            <w:hideMark/>
          </w:tcPr>
          <w:p w14:paraId="7CEEA137" w14:textId="77777777" w:rsidR="00F3536C" w:rsidRPr="00A4272B" w:rsidRDefault="00F3536C" w:rsidP="00A41632">
            <w:pPr>
              <w:jc w:val="center"/>
              <w:rPr>
                <w:color w:val="000000"/>
                <w:sz w:val="14"/>
                <w:szCs w:val="14"/>
                <w:lang w:val="en-US"/>
              </w:rPr>
            </w:pPr>
            <w:r w:rsidRPr="00A4272B">
              <w:rPr>
                <w:color w:val="000000"/>
                <w:sz w:val="14"/>
                <w:szCs w:val="14"/>
                <w:lang w:val="en-US"/>
              </w:rPr>
              <w:t>864</w:t>
            </w:r>
          </w:p>
        </w:tc>
        <w:tc>
          <w:tcPr>
            <w:tcW w:w="792" w:type="dxa"/>
            <w:noWrap/>
            <w:vAlign w:val="center"/>
            <w:hideMark/>
          </w:tcPr>
          <w:p w14:paraId="69ABA93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986EADB"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7ECD1E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33CD4E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FC0307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B0FB51E"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1AC4A34B" w14:textId="77777777" w:rsidTr="00A41632">
        <w:trPr>
          <w:trHeight w:val="276"/>
          <w:jc w:val="center"/>
        </w:trPr>
        <w:tc>
          <w:tcPr>
            <w:tcW w:w="955" w:type="dxa"/>
            <w:tcBorders>
              <w:top w:val="nil"/>
              <w:left w:val="single" w:sz="8" w:space="0" w:color="auto"/>
              <w:bottom w:val="nil"/>
              <w:right w:val="nil"/>
            </w:tcBorders>
            <w:noWrap/>
            <w:vAlign w:val="center"/>
            <w:hideMark/>
          </w:tcPr>
          <w:p w14:paraId="4BEE5A9C"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1216E83E" w14:textId="77777777" w:rsidR="00F3536C" w:rsidRPr="00A4272B" w:rsidRDefault="00F3536C" w:rsidP="00A41632">
            <w:pPr>
              <w:rPr>
                <w:color w:val="000000"/>
                <w:sz w:val="14"/>
                <w:szCs w:val="14"/>
                <w:lang w:val="en-US"/>
              </w:rPr>
            </w:pPr>
            <w:r w:rsidRPr="00A4272B">
              <w:rPr>
                <w:color w:val="000000"/>
                <w:sz w:val="14"/>
                <w:szCs w:val="14"/>
                <w:lang w:val="en-US"/>
              </w:rPr>
              <w:t>Japan</w:t>
            </w:r>
          </w:p>
        </w:tc>
        <w:tc>
          <w:tcPr>
            <w:tcW w:w="2504" w:type="dxa"/>
            <w:noWrap/>
            <w:vAlign w:val="center"/>
            <w:hideMark/>
          </w:tcPr>
          <w:p w14:paraId="13D856A3" w14:textId="77777777" w:rsidR="00F3536C" w:rsidRPr="00A4272B" w:rsidRDefault="00F3536C" w:rsidP="00A41632">
            <w:pPr>
              <w:rPr>
                <w:color w:val="000000"/>
                <w:sz w:val="14"/>
                <w:szCs w:val="14"/>
                <w:lang w:val="en-US"/>
              </w:rPr>
            </w:pPr>
            <w:r w:rsidRPr="00A4272B">
              <w:rPr>
                <w:color w:val="000000"/>
                <w:sz w:val="14"/>
                <w:szCs w:val="14"/>
                <w:lang w:val="en-US"/>
              </w:rPr>
              <w:t>Tokyo</w:t>
            </w:r>
          </w:p>
        </w:tc>
        <w:tc>
          <w:tcPr>
            <w:tcW w:w="998" w:type="dxa"/>
            <w:noWrap/>
            <w:vAlign w:val="center"/>
            <w:hideMark/>
          </w:tcPr>
          <w:p w14:paraId="6D8062F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7161569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E4426B1" w14:textId="77777777" w:rsidR="00F3536C" w:rsidRPr="00A4272B" w:rsidRDefault="00F3536C" w:rsidP="00A41632">
            <w:pPr>
              <w:jc w:val="right"/>
              <w:rPr>
                <w:color w:val="000000"/>
                <w:sz w:val="14"/>
                <w:szCs w:val="14"/>
                <w:lang w:val="en-US"/>
              </w:rPr>
            </w:pPr>
            <w:r w:rsidRPr="00A4272B">
              <w:rPr>
                <w:color w:val="000000"/>
                <w:sz w:val="14"/>
                <w:szCs w:val="14"/>
                <w:lang w:val="en-US"/>
              </w:rPr>
              <w:t>35.689488</w:t>
            </w:r>
          </w:p>
        </w:tc>
        <w:tc>
          <w:tcPr>
            <w:tcW w:w="998" w:type="dxa"/>
            <w:noWrap/>
            <w:vAlign w:val="center"/>
            <w:hideMark/>
          </w:tcPr>
          <w:p w14:paraId="578D188F" w14:textId="77777777" w:rsidR="00F3536C" w:rsidRPr="00A4272B" w:rsidRDefault="00F3536C" w:rsidP="00A41632">
            <w:pPr>
              <w:jc w:val="right"/>
              <w:rPr>
                <w:color w:val="000000"/>
                <w:sz w:val="14"/>
                <w:szCs w:val="14"/>
                <w:lang w:val="en-US"/>
              </w:rPr>
            </w:pPr>
            <w:r w:rsidRPr="00A4272B">
              <w:rPr>
                <w:color w:val="000000"/>
                <w:sz w:val="14"/>
                <w:szCs w:val="14"/>
                <w:lang w:val="en-US"/>
              </w:rPr>
              <w:t>139.691706</w:t>
            </w:r>
          </w:p>
        </w:tc>
        <w:tc>
          <w:tcPr>
            <w:tcW w:w="859" w:type="dxa"/>
            <w:tcBorders>
              <w:top w:val="nil"/>
              <w:left w:val="nil"/>
              <w:bottom w:val="nil"/>
              <w:right w:val="single" w:sz="8" w:space="0" w:color="auto"/>
            </w:tcBorders>
            <w:noWrap/>
            <w:vAlign w:val="center"/>
            <w:hideMark/>
          </w:tcPr>
          <w:p w14:paraId="5AF411F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0633AA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9CD07E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9B52BD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65ED74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F759D4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E1F8880"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67CC0AC2" w14:textId="77777777" w:rsidTr="00A41632">
        <w:trPr>
          <w:trHeight w:val="276"/>
          <w:jc w:val="center"/>
        </w:trPr>
        <w:tc>
          <w:tcPr>
            <w:tcW w:w="955" w:type="dxa"/>
            <w:tcBorders>
              <w:top w:val="nil"/>
              <w:left w:val="single" w:sz="8" w:space="0" w:color="auto"/>
              <w:bottom w:val="nil"/>
              <w:right w:val="nil"/>
            </w:tcBorders>
            <w:noWrap/>
            <w:vAlign w:val="center"/>
            <w:hideMark/>
          </w:tcPr>
          <w:p w14:paraId="04B9336A"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FF621B4" w14:textId="77777777" w:rsidR="00F3536C" w:rsidRPr="00A4272B" w:rsidRDefault="00F3536C" w:rsidP="00A41632">
            <w:pPr>
              <w:rPr>
                <w:color w:val="000000"/>
                <w:sz w:val="14"/>
                <w:szCs w:val="14"/>
                <w:lang w:val="en-US"/>
              </w:rPr>
            </w:pPr>
            <w:r w:rsidRPr="00A4272B">
              <w:rPr>
                <w:color w:val="000000"/>
                <w:sz w:val="14"/>
                <w:szCs w:val="14"/>
                <w:lang w:val="en-US"/>
              </w:rPr>
              <w:t>Kuwait</w:t>
            </w:r>
          </w:p>
        </w:tc>
        <w:tc>
          <w:tcPr>
            <w:tcW w:w="2504" w:type="dxa"/>
            <w:noWrap/>
            <w:vAlign w:val="center"/>
            <w:hideMark/>
          </w:tcPr>
          <w:p w14:paraId="3077D913" w14:textId="77777777" w:rsidR="00F3536C" w:rsidRPr="00A4272B" w:rsidRDefault="00F3536C" w:rsidP="00A41632">
            <w:pPr>
              <w:rPr>
                <w:color w:val="000000"/>
                <w:sz w:val="14"/>
                <w:szCs w:val="14"/>
                <w:lang w:val="en-US"/>
              </w:rPr>
            </w:pPr>
            <w:r w:rsidRPr="00A4272B">
              <w:rPr>
                <w:color w:val="000000"/>
                <w:sz w:val="14"/>
                <w:szCs w:val="14"/>
                <w:lang w:val="en-US"/>
              </w:rPr>
              <w:t>Abdaly</w:t>
            </w:r>
          </w:p>
        </w:tc>
        <w:tc>
          <w:tcPr>
            <w:tcW w:w="998" w:type="dxa"/>
            <w:noWrap/>
            <w:vAlign w:val="center"/>
            <w:hideMark/>
          </w:tcPr>
          <w:p w14:paraId="00CF69D9" w14:textId="77777777" w:rsidR="00F3536C" w:rsidRPr="00A4272B" w:rsidRDefault="00F3536C" w:rsidP="00A41632">
            <w:pPr>
              <w:jc w:val="center"/>
              <w:rPr>
                <w:color w:val="000000"/>
                <w:sz w:val="14"/>
                <w:szCs w:val="14"/>
                <w:lang w:val="en-US"/>
              </w:rPr>
            </w:pPr>
            <w:r w:rsidRPr="00A4272B">
              <w:rPr>
                <w:color w:val="000000"/>
                <w:sz w:val="14"/>
                <w:szCs w:val="14"/>
                <w:lang w:val="en-US"/>
              </w:rPr>
              <w:t>AS21</w:t>
            </w:r>
          </w:p>
        </w:tc>
        <w:tc>
          <w:tcPr>
            <w:tcW w:w="1342" w:type="dxa"/>
            <w:noWrap/>
            <w:vAlign w:val="center"/>
            <w:hideMark/>
          </w:tcPr>
          <w:p w14:paraId="301C694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D005CAE" w14:textId="77777777" w:rsidR="00F3536C" w:rsidRPr="00A4272B" w:rsidRDefault="00F3536C" w:rsidP="00A41632">
            <w:pPr>
              <w:jc w:val="right"/>
              <w:rPr>
                <w:color w:val="000000"/>
                <w:sz w:val="14"/>
                <w:szCs w:val="14"/>
                <w:lang w:val="en-US"/>
              </w:rPr>
            </w:pPr>
            <w:r w:rsidRPr="00A4272B">
              <w:rPr>
                <w:color w:val="000000"/>
                <w:sz w:val="14"/>
                <w:szCs w:val="14"/>
                <w:lang w:val="en-US"/>
              </w:rPr>
              <w:t>29.978833</w:t>
            </w:r>
          </w:p>
        </w:tc>
        <w:tc>
          <w:tcPr>
            <w:tcW w:w="998" w:type="dxa"/>
            <w:noWrap/>
            <w:vAlign w:val="center"/>
            <w:hideMark/>
          </w:tcPr>
          <w:p w14:paraId="21F05CE9" w14:textId="77777777" w:rsidR="00F3536C" w:rsidRPr="00A4272B" w:rsidRDefault="00F3536C" w:rsidP="00A41632">
            <w:pPr>
              <w:jc w:val="right"/>
              <w:rPr>
                <w:color w:val="000000"/>
                <w:sz w:val="14"/>
                <w:szCs w:val="14"/>
                <w:lang w:val="en-US"/>
              </w:rPr>
            </w:pPr>
            <w:r w:rsidRPr="00A4272B">
              <w:rPr>
                <w:color w:val="000000"/>
                <w:sz w:val="14"/>
                <w:szCs w:val="14"/>
                <w:lang w:val="en-US"/>
              </w:rPr>
              <w:t>47.706333</w:t>
            </w:r>
          </w:p>
        </w:tc>
        <w:tc>
          <w:tcPr>
            <w:tcW w:w="859" w:type="dxa"/>
            <w:tcBorders>
              <w:top w:val="nil"/>
              <w:left w:val="nil"/>
              <w:bottom w:val="nil"/>
              <w:right w:val="single" w:sz="8" w:space="0" w:color="auto"/>
            </w:tcBorders>
            <w:noWrap/>
            <w:vAlign w:val="center"/>
            <w:hideMark/>
          </w:tcPr>
          <w:p w14:paraId="1D2922C6" w14:textId="77777777" w:rsidR="00F3536C" w:rsidRPr="00A4272B" w:rsidRDefault="00F3536C" w:rsidP="00A41632">
            <w:pPr>
              <w:jc w:val="center"/>
              <w:rPr>
                <w:color w:val="000000"/>
                <w:sz w:val="14"/>
                <w:szCs w:val="14"/>
                <w:lang w:val="en-US"/>
              </w:rPr>
            </w:pPr>
            <w:r w:rsidRPr="00A4272B">
              <w:rPr>
                <w:color w:val="000000"/>
                <w:sz w:val="14"/>
                <w:szCs w:val="14"/>
                <w:lang w:val="en-US"/>
              </w:rPr>
              <w:t>52</w:t>
            </w:r>
          </w:p>
        </w:tc>
        <w:tc>
          <w:tcPr>
            <w:tcW w:w="792" w:type="dxa"/>
            <w:noWrap/>
            <w:vAlign w:val="center"/>
            <w:hideMark/>
          </w:tcPr>
          <w:p w14:paraId="4E27CE6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825783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082B8E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1FCD36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B4713E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0D43398"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77445606" w14:textId="77777777" w:rsidTr="00A41632">
        <w:trPr>
          <w:trHeight w:val="276"/>
          <w:jc w:val="center"/>
        </w:trPr>
        <w:tc>
          <w:tcPr>
            <w:tcW w:w="955" w:type="dxa"/>
            <w:tcBorders>
              <w:top w:val="nil"/>
              <w:left w:val="single" w:sz="8" w:space="0" w:color="auto"/>
              <w:bottom w:val="nil"/>
              <w:right w:val="nil"/>
            </w:tcBorders>
            <w:noWrap/>
            <w:vAlign w:val="center"/>
            <w:hideMark/>
          </w:tcPr>
          <w:p w14:paraId="19C5ABB1"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F5863DE" w14:textId="77777777" w:rsidR="00F3536C" w:rsidRPr="00A4272B" w:rsidRDefault="00F3536C" w:rsidP="00A41632">
            <w:pPr>
              <w:rPr>
                <w:color w:val="000000"/>
                <w:sz w:val="14"/>
                <w:szCs w:val="14"/>
                <w:lang w:val="en-US"/>
              </w:rPr>
            </w:pPr>
            <w:r w:rsidRPr="00A4272B">
              <w:rPr>
                <w:color w:val="000000"/>
                <w:sz w:val="14"/>
                <w:szCs w:val="14"/>
                <w:lang w:val="en-US"/>
              </w:rPr>
              <w:t>Malaysia</w:t>
            </w:r>
          </w:p>
        </w:tc>
        <w:tc>
          <w:tcPr>
            <w:tcW w:w="2504" w:type="dxa"/>
            <w:noWrap/>
            <w:vAlign w:val="center"/>
            <w:hideMark/>
          </w:tcPr>
          <w:p w14:paraId="0CFC08D4" w14:textId="77777777" w:rsidR="00F3536C" w:rsidRPr="00A4272B" w:rsidRDefault="00F3536C" w:rsidP="00A41632">
            <w:pPr>
              <w:rPr>
                <w:color w:val="000000"/>
                <w:sz w:val="14"/>
                <w:szCs w:val="14"/>
                <w:lang w:val="en-US"/>
              </w:rPr>
            </w:pPr>
            <w:r w:rsidRPr="00A4272B">
              <w:rPr>
                <w:color w:val="000000"/>
                <w:sz w:val="14"/>
                <w:szCs w:val="14"/>
                <w:lang w:val="en-US"/>
              </w:rPr>
              <w:t>Danum Valley</w:t>
            </w:r>
          </w:p>
        </w:tc>
        <w:tc>
          <w:tcPr>
            <w:tcW w:w="998" w:type="dxa"/>
            <w:noWrap/>
            <w:vAlign w:val="center"/>
            <w:hideMark/>
          </w:tcPr>
          <w:p w14:paraId="3BEB63F0" w14:textId="77777777" w:rsidR="00F3536C" w:rsidRPr="00A4272B" w:rsidRDefault="00F3536C" w:rsidP="00A41632">
            <w:pPr>
              <w:jc w:val="center"/>
              <w:rPr>
                <w:color w:val="000000"/>
                <w:sz w:val="14"/>
                <w:szCs w:val="14"/>
                <w:lang w:val="en-US"/>
              </w:rPr>
            </w:pPr>
            <w:r w:rsidRPr="00A4272B">
              <w:rPr>
                <w:color w:val="000000"/>
                <w:sz w:val="14"/>
                <w:szCs w:val="14"/>
                <w:lang w:val="en-US"/>
              </w:rPr>
              <w:t>AS12</w:t>
            </w:r>
          </w:p>
        </w:tc>
        <w:tc>
          <w:tcPr>
            <w:tcW w:w="1342" w:type="dxa"/>
            <w:noWrap/>
            <w:vAlign w:val="center"/>
            <w:hideMark/>
          </w:tcPr>
          <w:p w14:paraId="5065CD7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C895CC6" w14:textId="77777777" w:rsidR="00F3536C" w:rsidRPr="00A4272B" w:rsidRDefault="00F3536C" w:rsidP="00A41632">
            <w:pPr>
              <w:jc w:val="right"/>
              <w:rPr>
                <w:color w:val="000000"/>
                <w:sz w:val="14"/>
                <w:szCs w:val="14"/>
                <w:lang w:val="en-US"/>
              </w:rPr>
            </w:pPr>
            <w:r w:rsidRPr="00A4272B">
              <w:rPr>
                <w:color w:val="000000"/>
                <w:sz w:val="14"/>
                <w:szCs w:val="14"/>
                <w:lang w:val="en-US"/>
              </w:rPr>
              <w:t>4.981390</w:t>
            </w:r>
          </w:p>
        </w:tc>
        <w:tc>
          <w:tcPr>
            <w:tcW w:w="998" w:type="dxa"/>
            <w:noWrap/>
            <w:vAlign w:val="center"/>
            <w:hideMark/>
          </w:tcPr>
          <w:p w14:paraId="6CB8F763" w14:textId="77777777" w:rsidR="00F3536C" w:rsidRPr="00A4272B" w:rsidRDefault="00F3536C" w:rsidP="00A41632">
            <w:pPr>
              <w:jc w:val="right"/>
              <w:rPr>
                <w:color w:val="000000"/>
                <w:sz w:val="14"/>
                <w:szCs w:val="14"/>
                <w:lang w:val="en-US"/>
              </w:rPr>
            </w:pPr>
            <w:r w:rsidRPr="00A4272B">
              <w:rPr>
                <w:color w:val="000000"/>
                <w:sz w:val="14"/>
                <w:szCs w:val="14"/>
                <w:lang w:val="en-US"/>
              </w:rPr>
              <w:t>117.843610</w:t>
            </w:r>
          </w:p>
        </w:tc>
        <w:tc>
          <w:tcPr>
            <w:tcW w:w="859" w:type="dxa"/>
            <w:tcBorders>
              <w:top w:val="nil"/>
              <w:left w:val="nil"/>
              <w:bottom w:val="nil"/>
              <w:right w:val="single" w:sz="8" w:space="0" w:color="auto"/>
            </w:tcBorders>
            <w:noWrap/>
            <w:vAlign w:val="center"/>
            <w:hideMark/>
          </w:tcPr>
          <w:p w14:paraId="0EF77AB1" w14:textId="77777777" w:rsidR="00F3536C" w:rsidRPr="00A4272B" w:rsidRDefault="00F3536C" w:rsidP="00A41632">
            <w:pPr>
              <w:jc w:val="center"/>
              <w:rPr>
                <w:color w:val="000000"/>
                <w:sz w:val="14"/>
                <w:szCs w:val="14"/>
                <w:lang w:val="en-US"/>
              </w:rPr>
            </w:pPr>
            <w:r w:rsidRPr="00A4272B">
              <w:rPr>
                <w:color w:val="000000"/>
                <w:sz w:val="14"/>
                <w:szCs w:val="14"/>
                <w:lang w:val="en-US"/>
              </w:rPr>
              <w:t>426</w:t>
            </w:r>
          </w:p>
        </w:tc>
        <w:tc>
          <w:tcPr>
            <w:tcW w:w="792" w:type="dxa"/>
            <w:noWrap/>
            <w:vAlign w:val="center"/>
            <w:hideMark/>
          </w:tcPr>
          <w:p w14:paraId="472A972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7F60F4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5B6168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58A0D4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C2D5D4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35F3A18"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2FE12D91" w14:textId="77777777" w:rsidTr="00A41632">
        <w:trPr>
          <w:trHeight w:val="276"/>
          <w:jc w:val="center"/>
        </w:trPr>
        <w:tc>
          <w:tcPr>
            <w:tcW w:w="955" w:type="dxa"/>
            <w:tcBorders>
              <w:top w:val="nil"/>
              <w:left w:val="single" w:sz="8" w:space="0" w:color="auto"/>
              <w:bottom w:val="nil"/>
              <w:right w:val="nil"/>
            </w:tcBorders>
            <w:noWrap/>
            <w:vAlign w:val="center"/>
            <w:hideMark/>
          </w:tcPr>
          <w:p w14:paraId="13A523EF"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1605620" w14:textId="77777777" w:rsidR="00F3536C" w:rsidRPr="00A4272B" w:rsidRDefault="00F3536C" w:rsidP="00A41632">
            <w:pPr>
              <w:rPr>
                <w:color w:val="000000"/>
                <w:sz w:val="14"/>
                <w:szCs w:val="14"/>
                <w:lang w:val="en-US"/>
              </w:rPr>
            </w:pPr>
            <w:r w:rsidRPr="00A4272B">
              <w:rPr>
                <w:color w:val="000000"/>
                <w:sz w:val="14"/>
                <w:szCs w:val="14"/>
                <w:lang w:val="en-US"/>
              </w:rPr>
              <w:t>Maldives</w:t>
            </w:r>
          </w:p>
        </w:tc>
        <w:tc>
          <w:tcPr>
            <w:tcW w:w="2504" w:type="dxa"/>
            <w:noWrap/>
            <w:vAlign w:val="center"/>
            <w:hideMark/>
          </w:tcPr>
          <w:p w14:paraId="27D4DC59" w14:textId="77777777" w:rsidR="00F3536C" w:rsidRPr="00A4272B" w:rsidRDefault="00F3536C" w:rsidP="00A41632">
            <w:pPr>
              <w:rPr>
                <w:color w:val="000000"/>
                <w:sz w:val="14"/>
                <w:szCs w:val="14"/>
                <w:lang w:val="en-US"/>
              </w:rPr>
            </w:pPr>
            <w:r w:rsidRPr="00A4272B">
              <w:rPr>
                <w:color w:val="000000"/>
                <w:sz w:val="14"/>
                <w:szCs w:val="14"/>
                <w:lang w:val="en-US"/>
              </w:rPr>
              <w:t>Hanimaadhoo</w:t>
            </w:r>
          </w:p>
        </w:tc>
        <w:tc>
          <w:tcPr>
            <w:tcW w:w="998" w:type="dxa"/>
            <w:noWrap/>
            <w:vAlign w:val="center"/>
            <w:hideMark/>
          </w:tcPr>
          <w:p w14:paraId="2C160A31" w14:textId="77777777" w:rsidR="00F3536C" w:rsidRPr="00A4272B" w:rsidRDefault="00F3536C" w:rsidP="00A41632">
            <w:pPr>
              <w:jc w:val="center"/>
              <w:rPr>
                <w:color w:val="000000"/>
                <w:sz w:val="14"/>
                <w:szCs w:val="14"/>
                <w:lang w:val="en-US"/>
              </w:rPr>
            </w:pPr>
            <w:r w:rsidRPr="00A4272B">
              <w:rPr>
                <w:color w:val="000000"/>
                <w:sz w:val="14"/>
                <w:szCs w:val="14"/>
                <w:lang w:val="en-US"/>
              </w:rPr>
              <w:t>AS28</w:t>
            </w:r>
          </w:p>
        </w:tc>
        <w:tc>
          <w:tcPr>
            <w:tcW w:w="1342" w:type="dxa"/>
            <w:noWrap/>
            <w:vAlign w:val="center"/>
            <w:hideMark/>
          </w:tcPr>
          <w:p w14:paraId="6491B4B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4CDE1A9" w14:textId="77777777" w:rsidR="00F3536C" w:rsidRPr="00A4272B" w:rsidRDefault="00F3536C" w:rsidP="00A41632">
            <w:pPr>
              <w:jc w:val="right"/>
              <w:rPr>
                <w:color w:val="000000"/>
                <w:sz w:val="14"/>
                <w:szCs w:val="14"/>
                <w:lang w:val="en-US"/>
              </w:rPr>
            </w:pPr>
            <w:r w:rsidRPr="00A4272B">
              <w:rPr>
                <w:color w:val="000000"/>
                <w:sz w:val="14"/>
                <w:szCs w:val="14"/>
                <w:lang w:val="en-US"/>
              </w:rPr>
              <w:t>6.776300</w:t>
            </w:r>
          </w:p>
        </w:tc>
        <w:tc>
          <w:tcPr>
            <w:tcW w:w="998" w:type="dxa"/>
            <w:noWrap/>
            <w:vAlign w:val="center"/>
            <w:hideMark/>
          </w:tcPr>
          <w:p w14:paraId="2956F7CC" w14:textId="77777777" w:rsidR="00F3536C" w:rsidRPr="00A4272B" w:rsidRDefault="00F3536C" w:rsidP="00A41632">
            <w:pPr>
              <w:jc w:val="right"/>
              <w:rPr>
                <w:color w:val="000000"/>
                <w:sz w:val="14"/>
                <w:szCs w:val="14"/>
                <w:lang w:val="en-US"/>
              </w:rPr>
            </w:pPr>
            <w:r w:rsidRPr="00A4272B">
              <w:rPr>
                <w:color w:val="000000"/>
                <w:sz w:val="14"/>
                <w:szCs w:val="14"/>
                <w:lang w:val="en-US"/>
              </w:rPr>
              <w:t>73.183300</w:t>
            </w:r>
          </w:p>
        </w:tc>
        <w:tc>
          <w:tcPr>
            <w:tcW w:w="859" w:type="dxa"/>
            <w:tcBorders>
              <w:top w:val="nil"/>
              <w:left w:val="nil"/>
              <w:bottom w:val="nil"/>
              <w:right w:val="single" w:sz="8" w:space="0" w:color="auto"/>
            </w:tcBorders>
            <w:noWrap/>
            <w:vAlign w:val="center"/>
            <w:hideMark/>
          </w:tcPr>
          <w:p w14:paraId="086D1A1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C8DA03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047637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DBFF37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7EC2C9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A78840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C6F2B68"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58A2BAB9" w14:textId="77777777" w:rsidTr="00A41632">
        <w:trPr>
          <w:trHeight w:val="276"/>
          <w:jc w:val="center"/>
        </w:trPr>
        <w:tc>
          <w:tcPr>
            <w:tcW w:w="955" w:type="dxa"/>
            <w:tcBorders>
              <w:top w:val="nil"/>
              <w:left w:val="single" w:sz="8" w:space="0" w:color="auto"/>
              <w:bottom w:val="nil"/>
              <w:right w:val="nil"/>
            </w:tcBorders>
            <w:noWrap/>
            <w:vAlign w:val="center"/>
            <w:hideMark/>
          </w:tcPr>
          <w:p w14:paraId="6C9DE605"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08E3F90" w14:textId="77777777" w:rsidR="00F3536C" w:rsidRPr="00A4272B" w:rsidRDefault="00F3536C" w:rsidP="00A41632">
            <w:pPr>
              <w:rPr>
                <w:color w:val="000000"/>
                <w:sz w:val="14"/>
                <w:szCs w:val="14"/>
                <w:lang w:val="en-US"/>
              </w:rPr>
            </w:pPr>
            <w:r w:rsidRPr="00A4272B">
              <w:rPr>
                <w:color w:val="000000"/>
                <w:sz w:val="14"/>
                <w:szCs w:val="14"/>
                <w:lang w:val="en-US"/>
              </w:rPr>
              <w:t>Philippines</w:t>
            </w:r>
          </w:p>
        </w:tc>
        <w:tc>
          <w:tcPr>
            <w:tcW w:w="2504" w:type="dxa"/>
            <w:noWrap/>
            <w:vAlign w:val="center"/>
            <w:hideMark/>
          </w:tcPr>
          <w:p w14:paraId="6C292098" w14:textId="77777777" w:rsidR="00F3536C" w:rsidRPr="00A4272B" w:rsidRDefault="00F3536C" w:rsidP="00A41632">
            <w:pPr>
              <w:rPr>
                <w:color w:val="000000"/>
                <w:sz w:val="14"/>
                <w:szCs w:val="14"/>
                <w:lang w:val="en-US"/>
              </w:rPr>
            </w:pPr>
            <w:r w:rsidRPr="00A4272B">
              <w:rPr>
                <w:color w:val="000000"/>
                <w:sz w:val="14"/>
                <w:szCs w:val="14"/>
                <w:lang w:val="en-US"/>
              </w:rPr>
              <w:t>Manila</w:t>
            </w:r>
          </w:p>
        </w:tc>
        <w:tc>
          <w:tcPr>
            <w:tcW w:w="998" w:type="dxa"/>
            <w:noWrap/>
            <w:vAlign w:val="center"/>
            <w:hideMark/>
          </w:tcPr>
          <w:p w14:paraId="00D46AA6" w14:textId="77777777" w:rsidR="00F3536C" w:rsidRPr="00A4272B" w:rsidRDefault="00F3536C" w:rsidP="00A41632">
            <w:pPr>
              <w:jc w:val="center"/>
              <w:rPr>
                <w:color w:val="000000"/>
                <w:sz w:val="14"/>
                <w:szCs w:val="14"/>
                <w:lang w:val="en-US"/>
              </w:rPr>
            </w:pPr>
            <w:r w:rsidRPr="00A4272B">
              <w:rPr>
                <w:color w:val="000000"/>
                <w:sz w:val="14"/>
                <w:szCs w:val="14"/>
                <w:lang w:val="en-US"/>
              </w:rPr>
              <w:t>AS11</w:t>
            </w:r>
          </w:p>
        </w:tc>
        <w:tc>
          <w:tcPr>
            <w:tcW w:w="1342" w:type="dxa"/>
            <w:noWrap/>
            <w:vAlign w:val="center"/>
            <w:hideMark/>
          </w:tcPr>
          <w:p w14:paraId="700C11E2"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1A16F20F" w14:textId="77777777" w:rsidR="00F3536C" w:rsidRPr="00A4272B" w:rsidRDefault="00F3536C" w:rsidP="00A41632">
            <w:pPr>
              <w:jc w:val="right"/>
              <w:rPr>
                <w:color w:val="000000"/>
                <w:sz w:val="14"/>
                <w:szCs w:val="14"/>
                <w:lang w:val="en-US"/>
              </w:rPr>
            </w:pPr>
            <w:r w:rsidRPr="00A4272B">
              <w:rPr>
                <w:color w:val="000000"/>
                <w:sz w:val="14"/>
                <w:szCs w:val="14"/>
                <w:lang w:val="en-US"/>
              </w:rPr>
              <w:t>14.651944</w:t>
            </w:r>
          </w:p>
        </w:tc>
        <w:tc>
          <w:tcPr>
            <w:tcW w:w="998" w:type="dxa"/>
            <w:noWrap/>
            <w:vAlign w:val="center"/>
            <w:hideMark/>
          </w:tcPr>
          <w:p w14:paraId="7D50D820" w14:textId="77777777" w:rsidR="00F3536C" w:rsidRPr="00A4272B" w:rsidRDefault="00F3536C" w:rsidP="00A41632">
            <w:pPr>
              <w:jc w:val="right"/>
              <w:rPr>
                <w:color w:val="000000"/>
                <w:sz w:val="14"/>
                <w:szCs w:val="14"/>
                <w:lang w:val="en-US"/>
              </w:rPr>
            </w:pPr>
            <w:r w:rsidRPr="00A4272B">
              <w:rPr>
                <w:color w:val="000000"/>
                <w:sz w:val="14"/>
                <w:szCs w:val="14"/>
                <w:lang w:val="en-US"/>
              </w:rPr>
              <w:t>121.068889</w:t>
            </w:r>
          </w:p>
        </w:tc>
        <w:tc>
          <w:tcPr>
            <w:tcW w:w="859" w:type="dxa"/>
            <w:tcBorders>
              <w:top w:val="nil"/>
              <w:left w:val="nil"/>
              <w:bottom w:val="nil"/>
              <w:right w:val="single" w:sz="8" w:space="0" w:color="auto"/>
            </w:tcBorders>
            <w:noWrap/>
            <w:vAlign w:val="center"/>
            <w:hideMark/>
          </w:tcPr>
          <w:p w14:paraId="21804A0C" w14:textId="77777777" w:rsidR="00F3536C" w:rsidRPr="00A4272B" w:rsidRDefault="00F3536C" w:rsidP="00A41632">
            <w:pPr>
              <w:jc w:val="center"/>
              <w:rPr>
                <w:color w:val="000000"/>
                <w:sz w:val="14"/>
                <w:szCs w:val="14"/>
                <w:lang w:val="en-US"/>
              </w:rPr>
            </w:pPr>
            <w:r w:rsidRPr="00A4272B">
              <w:rPr>
                <w:color w:val="000000"/>
                <w:sz w:val="14"/>
                <w:szCs w:val="14"/>
                <w:lang w:val="en-US"/>
              </w:rPr>
              <w:t>74</w:t>
            </w:r>
          </w:p>
        </w:tc>
        <w:tc>
          <w:tcPr>
            <w:tcW w:w="792" w:type="dxa"/>
            <w:noWrap/>
            <w:vAlign w:val="center"/>
            <w:hideMark/>
          </w:tcPr>
          <w:p w14:paraId="51A5831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5A366F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8B3035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6946ED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76BD03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E20BA95" w14:textId="77777777" w:rsidR="00F3536C" w:rsidRPr="00A4272B" w:rsidRDefault="00F3536C" w:rsidP="00A41632">
            <w:pPr>
              <w:jc w:val="center"/>
              <w:rPr>
                <w:sz w:val="14"/>
                <w:szCs w:val="14"/>
                <w:lang w:val="en-US"/>
              </w:rPr>
            </w:pPr>
            <w:r w:rsidRPr="00A4272B">
              <w:rPr>
                <w:sz w:val="14"/>
                <w:szCs w:val="14"/>
                <w:lang w:val="en-US"/>
              </w:rPr>
              <w:t>2005</w:t>
            </w:r>
          </w:p>
        </w:tc>
      </w:tr>
      <w:tr w:rsidR="00F3536C" w:rsidRPr="00A4272B" w14:paraId="14A68F45" w14:textId="77777777" w:rsidTr="00A41632">
        <w:trPr>
          <w:trHeight w:val="276"/>
          <w:jc w:val="center"/>
        </w:trPr>
        <w:tc>
          <w:tcPr>
            <w:tcW w:w="955" w:type="dxa"/>
            <w:tcBorders>
              <w:top w:val="nil"/>
              <w:left w:val="single" w:sz="8" w:space="0" w:color="auto"/>
              <w:bottom w:val="nil"/>
              <w:right w:val="nil"/>
            </w:tcBorders>
            <w:noWrap/>
            <w:vAlign w:val="center"/>
            <w:hideMark/>
          </w:tcPr>
          <w:p w14:paraId="75E227D1"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01E6A40" w14:textId="77777777" w:rsidR="00F3536C" w:rsidRPr="00A4272B" w:rsidRDefault="00F3536C" w:rsidP="00A41632">
            <w:pPr>
              <w:rPr>
                <w:color w:val="000000"/>
                <w:sz w:val="14"/>
                <w:szCs w:val="14"/>
                <w:lang w:val="en-US"/>
              </w:rPr>
            </w:pPr>
            <w:r w:rsidRPr="00A4272B">
              <w:rPr>
                <w:color w:val="000000"/>
                <w:sz w:val="14"/>
                <w:szCs w:val="14"/>
                <w:lang w:val="en-US"/>
              </w:rPr>
              <w:t>South Korea</w:t>
            </w:r>
          </w:p>
        </w:tc>
        <w:tc>
          <w:tcPr>
            <w:tcW w:w="2504" w:type="dxa"/>
            <w:noWrap/>
            <w:vAlign w:val="center"/>
            <w:hideMark/>
          </w:tcPr>
          <w:p w14:paraId="29DECD54" w14:textId="77777777" w:rsidR="00F3536C" w:rsidRPr="00A4272B" w:rsidRDefault="00F3536C" w:rsidP="00A41632">
            <w:pPr>
              <w:rPr>
                <w:color w:val="000000"/>
                <w:sz w:val="14"/>
                <w:szCs w:val="14"/>
                <w:lang w:val="en-US"/>
              </w:rPr>
            </w:pPr>
            <w:r w:rsidRPr="00A4272B">
              <w:rPr>
                <w:color w:val="000000"/>
                <w:sz w:val="14"/>
                <w:szCs w:val="14"/>
                <w:lang w:val="en-US"/>
              </w:rPr>
              <w:t>Gosan, Jeju Island</w:t>
            </w:r>
          </w:p>
        </w:tc>
        <w:tc>
          <w:tcPr>
            <w:tcW w:w="998" w:type="dxa"/>
            <w:noWrap/>
            <w:vAlign w:val="center"/>
            <w:hideMark/>
          </w:tcPr>
          <w:p w14:paraId="6377CC35" w14:textId="77777777" w:rsidR="00F3536C" w:rsidRPr="00A4272B" w:rsidRDefault="00F3536C" w:rsidP="00A41632">
            <w:pPr>
              <w:jc w:val="center"/>
              <w:rPr>
                <w:color w:val="000000"/>
                <w:sz w:val="14"/>
                <w:szCs w:val="14"/>
                <w:lang w:val="en-US"/>
              </w:rPr>
            </w:pPr>
            <w:r w:rsidRPr="00A4272B">
              <w:rPr>
                <w:color w:val="000000"/>
                <w:sz w:val="14"/>
                <w:szCs w:val="14"/>
                <w:lang w:val="en-US"/>
              </w:rPr>
              <w:t>AS19</w:t>
            </w:r>
          </w:p>
        </w:tc>
        <w:tc>
          <w:tcPr>
            <w:tcW w:w="1342" w:type="dxa"/>
            <w:noWrap/>
            <w:vAlign w:val="center"/>
            <w:hideMark/>
          </w:tcPr>
          <w:p w14:paraId="05E1FA6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950F406" w14:textId="77777777" w:rsidR="00F3536C" w:rsidRPr="00A4272B" w:rsidRDefault="00F3536C" w:rsidP="00A41632">
            <w:pPr>
              <w:jc w:val="right"/>
              <w:rPr>
                <w:color w:val="000000"/>
                <w:sz w:val="14"/>
                <w:szCs w:val="14"/>
                <w:lang w:val="en-US"/>
              </w:rPr>
            </w:pPr>
            <w:r w:rsidRPr="00A4272B">
              <w:rPr>
                <w:color w:val="000000"/>
                <w:sz w:val="14"/>
                <w:szCs w:val="14"/>
                <w:lang w:val="en-US"/>
              </w:rPr>
              <w:t>33.293611</w:t>
            </w:r>
          </w:p>
        </w:tc>
        <w:tc>
          <w:tcPr>
            <w:tcW w:w="998" w:type="dxa"/>
            <w:noWrap/>
            <w:vAlign w:val="center"/>
            <w:hideMark/>
          </w:tcPr>
          <w:p w14:paraId="41AE6E82" w14:textId="77777777" w:rsidR="00F3536C" w:rsidRPr="00A4272B" w:rsidRDefault="00F3536C" w:rsidP="00A41632">
            <w:pPr>
              <w:jc w:val="right"/>
              <w:rPr>
                <w:color w:val="000000"/>
                <w:sz w:val="14"/>
                <w:szCs w:val="14"/>
                <w:lang w:val="en-US"/>
              </w:rPr>
            </w:pPr>
            <w:r w:rsidRPr="00A4272B">
              <w:rPr>
                <w:color w:val="000000"/>
                <w:sz w:val="14"/>
                <w:szCs w:val="14"/>
                <w:lang w:val="en-US"/>
              </w:rPr>
              <w:t>126.162778</w:t>
            </w:r>
          </w:p>
        </w:tc>
        <w:tc>
          <w:tcPr>
            <w:tcW w:w="859" w:type="dxa"/>
            <w:tcBorders>
              <w:top w:val="nil"/>
              <w:left w:val="nil"/>
              <w:bottom w:val="nil"/>
              <w:right w:val="single" w:sz="8" w:space="0" w:color="auto"/>
            </w:tcBorders>
            <w:noWrap/>
            <w:vAlign w:val="center"/>
            <w:hideMark/>
          </w:tcPr>
          <w:p w14:paraId="5BD25362" w14:textId="77777777" w:rsidR="00F3536C" w:rsidRPr="00A4272B" w:rsidRDefault="00F3536C" w:rsidP="00A41632">
            <w:pPr>
              <w:jc w:val="center"/>
              <w:rPr>
                <w:color w:val="000000"/>
                <w:sz w:val="14"/>
                <w:szCs w:val="14"/>
                <w:lang w:val="en-US"/>
              </w:rPr>
            </w:pPr>
            <w:r w:rsidRPr="00A4272B">
              <w:rPr>
                <w:color w:val="000000"/>
                <w:sz w:val="14"/>
                <w:szCs w:val="14"/>
                <w:lang w:val="en-US"/>
              </w:rPr>
              <w:t>49</w:t>
            </w:r>
          </w:p>
        </w:tc>
        <w:tc>
          <w:tcPr>
            <w:tcW w:w="792" w:type="dxa"/>
            <w:noWrap/>
            <w:vAlign w:val="center"/>
            <w:hideMark/>
          </w:tcPr>
          <w:p w14:paraId="2ED5AE7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693F41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507C17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594D08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910F25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A2E7E0C"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069762B2" w14:textId="77777777" w:rsidTr="00A41632">
        <w:trPr>
          <w:trHeight w:val="276"/>
          <w:jc w:val="center"/>
        </w:trPr>
        <w:tc>
          <w:tcPr>
            <w:tcW w:w="955" w:type="dxa"/>
            <w:tcBorders>
              <w:top w:val="nil"/>
              <w:left w:val="single" w:sz="8" w:space="0" w:color="auto"/>
              <w:bottom w:val="nil"/>
              <w:right w:val="nil"/>
            </w:tcBorders>
            <w:noWrap/>
            <w:vAlign w:val="center"/>
            <w:hideMark/>
          </w:tcPr>
          <w:p w14:paraId="54D2F5AC"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3C27BCBF" w14:textId="77777777" w:rsidR="00F3536C" w:rsidRPr="00A4272B" w:rsidRDefault="00F3536C" w:rsidP="00A41632">
            <w:pPr>
              <w:rPr>
                <w:color w:val="000000"/>
                <w:sz w:val="14"/>
                <w:szCs w:val="14"/>
                <w:lang w:val="en-US"/>
              </w:rPr>
            </w:pPr>
            <w:r w:rsidRPr="00A4272B">
              <w:rPr>
                <w:color w:val="000000"/>
                <w:sz w:val="14"/>
                <w:szCs w:val="14"/>
                <w:lang w:val="en-US"/>
              </w:rPr>
              <w:t>Sri Lanka</w:t>
            </w:r>
          </w:p>
        </w:tc>
        <w:tc>
          <w:tcPr>
            <w:tcW w:w="2504" w:type="dxa"/>
            <w:noWrap/>
            <w:vAlign w:val="center"/>
            <w:hideMark/>
          </w:tcPr>
          <w:p w14:paraId="5B80CF7D" w14:textId="77777777" w:rsidR="00F3536C" w:rsidRPr="00A4272B" w:rsidRDefault="00F3536C" w:rsidP="00A41632">
            <w:pPr>
              <w:rPr>
                <w:color w:val="000000"/>
                <w:sz w:val="14"/>
                <w:szCs w:val="14"/>
                <w:lang w:val="en-US"/>
              </w:rPr>
            </w:pPr>
            <w:r w:rsidRPr="00A4272B">
              <w:rPr>
                <w:color w:val="000000"/>
                <w:sz w:val="14"/>
                <w:szCs w:val="14"/>
                <w:lang w:val="en-US"/>
              </w:rPr>
              <w:t>Wilgamuwa</w:t>
            </w:r>
          </w:p>
        </w:tc>
        <w:tc>
          <w:tcPr>
            <w:tcW w:w="998" w:type="dxa"/>
            <w:noWrap/>
            <w:vAlign w:val="center"/>
            <w:hideMark/>
          </w:tcPr>
          <w:p w14:paraId="77A4E205" w14:textId="77777777" w:rsidR="00F3536C" w:rsidRPr="00A4272B" w:rsidRDefault="00F3536C" w:rsidP="00A41632">
            <w:pPr>
              <w:jc w:val="center"/>
              <w:rPr>
                <w:color w:val="000000"/>
                <w:sz w:val="14"/>
                <w:szCs w:val="14"/>
                <w:lang w:val="en-US"/>
              </w:rPr>
            </w:pPr>
            <w:r w:rsidRPr="00A4272B">
              <w:rPr>
                <w:color w:val="000000"/>
                <w:sz w:val="14"/>
                <w:szCs w:val="14"/>
                <w:lang w:val="en-US"/>
              </w:rPr>
              <w:t>AS27</w:t>
            </w:r>
          </w:p>
        </w:tc>
        <w:tc>
          <w:tcPr>
            <w:tcW w:w="1342" w:type="dxa"/>
            <w:noWrap/>
            <w:vAlign w:val="center"/>
            <w:hideMark/>
          </w:tcPr>
          <w:p w14:paraId="0B7FE47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46B51A9" w14:textId="77777777" w:rsidR="00F3536C" w:rsidRPr="00A4272B" w:rsidRDefault="00F3536C" w:rsidP="00A41632">
            <w:pPr>
              <w:jc w:val="right"/>
              <w:rPr>
                <w:color w:val="000000"/>
                <w:sz w:val="14"/>
                <w:szCs w:val="14"/>
                <w:lang w:val="en-US"/>
              </w:rPr>
            </w:pPr>
            <w:r w:rsidRPr="00A4272B">
              <w:rPr>
                <w:color w:val="000000"/>
                <w:sz w:val="14"/>
                <w:szCs w:val="14"/>
                <w:lang w:val="en-US"/>
              </w:rPr>
              <w:t>7.521880</w:t>
            </w:r>
          </w:p>
        </w:tc>
        <w:tc>
          <w:tcPr>
            <w:tcW w:w="998" w:type="dxa"/>
            <w:noWrap/>
            <w:vAlign w:val="center"/>
            <w:hideMark/>
          </w:tcPr>
          <w:p w14:paraId="6428AA57" w14:textId="77777777" w:rsidR="00F3536C" w:rsidRPr="00A4272B" w:rsidRDefault="00F3536C" w:rsidP="00A41632">
            <w:pPr>
              <w:jc w:val="right"/>
              <w:rPr>
                <w:color w:val="000000"/>
                <w:sz w:val="14"/>
                <w:szCs w:val="14"/>
                <w:lang w:val="en-US"/>
              </w:rPr>
            </w:pPr>
            <w:r w:rsidRPr="00A4272B">
              <w:rPr>
                <w:color w:val="000000"/>
                <w:sz w:val="14"/>
                <w:szCs w:val="14"/>
                <w:lang w:val="en-US"/>
              </w:rPr>
              <w:t>80.952994</w:t>
            </w:r>
          </w:p>
        </w:tc>
        <w:tc>
          <w:tcPr>
            <w:tcW w:w="859" w:type="dxa"/>
            <w:tcBorders>
              <w:top w:val="nil"/>
              <w:left w:val="nil"/>
              <w:bottom w:val="nil"/>
              <w:right w:val="single" w:sz="8" w:space="0" w:color="auto"/>
            </w:tcBorders>
            <w:noWrap/>
            <w:vAlign w:val="center"/>
            <w:hideMark/>
          </w:tcPr>
          <w:p w14:paraId="071BC5A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F7AE07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8027A5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21D3E0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6E0FF7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0B4395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D0792CB"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33F7BB65" w14:textId="77777777" w:rsidTr="00A41632">
        <w:trPr>
          <w:trHeight w:val="276"/>
          <w:jc w:val="center"/>
        </w:trPr>
        <w:tc>
          <w:tcPr>
            <w:tcW w:w="955" w:type="dxa"/>
            <w:tcBorders>
              <w:top w:val="nil"/>
              <w:left w:val="single" w:sz="8" w:space="0" w:color="auto"/>
              <w:bottom w:val="nil"/>
              <w:right w:val="nil"/>
            </w:tcBorders>
            <w:noWrap/>
            <w:vAlign w:val="center"/>
            <w:hideMark/>
          </w:tcPr>
          <w:p w14:paraId="78B1FE2F"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5F7141C4" w14:textId="77777777" w:rsidR="00F3536C" w:rsidRPr="00A4272B" w:rsidRDefault="00F3536C" w:rsidP="00A41632">
            <w:pPr>
              <w:rPr>
                <w:color w:val="000000"/>
                <w:sz w:val="14"/>
                <w:szCs w:val="14"/>
                <w:lang w:val="en-US"/>
              </w:rPr>
            </w:pPr>
            <w:r w:rsidRPr="00A4272B">
              <w:rPr>
                <w:color w:val="000000"/>
                <w:sz w:val="14"/>
                <w:szCs w:val="14"/>
                <w:lang w:val="en-US"/>
              </w:rPr>
              <w:t>Thailand</w:t>
            </w:r>
          </w:p>
        </w:tc>
        <w:tc>
          <w:tcPr>
            <w:tcW w:w="2504" w:type="dxa"/>
            <w:noWrap/>
            <w:vAlign w:val="center"/>
            <w:hideMark/>
          </w:tcPr>
          <w:p w14:paraId="16F4DD3D" w14:textId="77777777" w:rsidR="00F3536C" w:rsidRPr="00A4272B" w:rsidRDefault="00F3536C" w:rsidP="00A41632">
            <w:pPr>
              <w:rPr>
                <w:color w:val="000000"/>
                <w:sz w:val="14"/>
                <w:szCs w:val="14"/>
                <w:lang w:val="en-US"/>
              </w:rPr>
            </w:pPr>
            <w:r w:rsidRPr="00A4272B">
              <w:rPr>
                <w:color w:val="000000"/>
                <w:sz w:val="14"/>
                <w:szCs w:val="14"/>
                <w:lang w:val="en-US"/>
              </w:rPr>
              <w:t>Bangkok</w:t>
            </w:r>
          </w:p>
        </w:tc>
        <w:tc>
          <w:tcPr>
            <w:tcW w:w="998" w:type="dxa"/>
            <w:noWrap/>
            <w:vAlign w:val="center"/>
            <w:hideMark/>
          </w:tcPr>
          <w:p w14:paraId="4AD8294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61B3700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BDD1548" w14:textId="77777777" w:rsidR="00F3536C" w:rsidRPr="00A4272B" w:rsidRDefault="00F3536C" w:rsidP="00A41632">
            <w:pPr>
              <w:jc w:val="right"/>
              <w:rPr>
                <w:color w:val="000000"/>
                <w:sz w:val="14"/>
                <w:szCs w:val="14"/>
                <w:lang w:val="en-US"/>
              </w:rPr>
            </w:pPr>
            <w:r w:rsidRPr="00A4272B">
              <w:rPr>
                <w:color w:val="000000"/>
                <w:sz w:val="14"/>
                <w:szCs w:val="14"/>
                <w:lang w:val="en-US"/>
              </w:rPr>
              <w:t>13.723528</w:t>
            </w:r>
          </w:p>
        </w:tc>
        <w:tc>
          <w:tcPr>
            <w:tcW w:w="998" w:type="dxa"/>
            <w:noWrap/>
            <w:vAlign w:val="center"/>
            <w:hideMark/>
          </w:tcPr>
          <w:p w14:paraId="2B863E1A" w14:textId="77777777" w:rsidR="00F3536C" w:rsidRPr="00A4272B" w:rsidRDefault="00F3536C" w:rsidP="00A41632">
            <w:pPr>
              <w:jc w:val="right"/>
              <w:rPr>
                <w:color w:val="000000"/>
                <w:sz w:val="14"/>
                <w:szCs w:val="14"/>
                <w:lang w:val="en-US"/>
              </w:rPr>
            </w:pPr>
            <w:r w:rsidRPr="00A4272B">
              <w:rPr>
                <w:color w:val="000000"/>
                <w:sz w:val="14"/>
                <w:szCs w:val="14"/>
                <w:lang w:val="en-US"/>
              </w:rPr>
              <w:t>100.521611</w:t>
            </w:r>
          </w:p>
        </w:tc>
        <w:tc>
          <w:tcPr>
            <w:tcW w:w="859" w:type="dxa"/>
            <w:tcBorders>
              <w:top w:val="nil"/>
              <w:left w:val="nil"/>
              <w:bottom w:val="nil"/>
              <w:right w:val="single" w:sz="8" w:space="0" w:color="auto"/>
            </w:tcBorders>
            <w:noWrap/>
            <w:vAlign w:val="center"/>
            <w:hideMark/>
          </w:tcPr>
          <w:p w14:paraId="5809483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723EE2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873F9E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447D5E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2E70DA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504E6F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81C6266"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5427A7DC" w14:textId="77777777" w:rsidTr="00A41632">
        <w:trPr>
          <w:trHeight w:val="288"/>
          <w:jc w:val="center"/>
        </w:trPr>
        <w:tc>
          <w:tcPr>
            <w:tcW w:w="14633" w:type="dxa"/>
            <w:gridSpan w:val="14"/>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41DCF173" w14:textId="77777777" w:rsidR="00F3536C" w:rsidRPr="00A4272B" w:rsidRDefault="00F3536C" w:rsidP="00A41632">
            <w:pPr>
              <w:rPr>
                <w:b/>
                <w:bCs/>
                <w:sz w:val="14"/>
                <w:szCs w:val="14"/>
                <w:lang w:val="en-US"/>
              </w:rPr>
            </w:pPr>
            <w:r w:rsidRPr="00A4272B">
              <w:rPr>
                <w:b/>
                <w:bCs/>
                <w:sz w:val="14"/>
                <w:szCs w:val="14"/>
                <w:lang w:val="en-US"/>
              </w:rPr>
              <w:t>AUSTRALIA, CANADA, NEW ZEALAND &amp; UNITED STATES</w:t>
            </w:r>
          </w:p>
        </w:tc>
      </w:tr>
      <w:tr w:rsidR="00F3536C" w:rsidRPr="00A4272B" w14:paraId="15EA2B73" w14:textId="77777777" w:rsidTr="00A41632">
        <w:trPr>
          <w:trHeight w:val="276"/>
          <w:jc w:val="center"/>
        </w:trPr>
        <w:tc>
          <w:tcPr>
            <w:tcW w:w="955" w:type="dxa"/>
            <w:tcBorders>
              <w:top w:val="nil"/>
              <w:left w:val="single" w:sz="8" w:space="0" w:color="auto"/>
              <w:bottom w:val="nil"/>
              <w:right w:val="nil"/>
            </w:tcBorders>
            <w:noWrap/>
            <w:vAlign w:val="center"/>
            <w:hideMark/>
          </w:tcPr>
          <w:p w14:paraId="105F9005"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D24D54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4916C6E1" w14:textId="77777777" w:rsidR="00F3536C" w:rsidRPr="00A4272B" w:rsidRDefault="00F3536C" w:rsidP="00A41632">
            <w:pPr>
              <w:rPr>
                <w:color w:val="000000"/>
                <w:sz w:val="14"/>
                <w:szCs w:val="14"/>
                <w:lang w:val="en-US"/>
              </w:rPr>
            </w:pPr>
            <w:r w:rsidRPr="00A4272B">
              <w:rPr>
                <w:color w:val="000000"/>
                <w:sz w:val="14"/>
                <w:szCs w:val="14"/>
                <w:lang w:val="en-US"/>
              </w:rPr>
              <w:t>Aspendale, VIC</w:t>
            </w:r>
          </w:p>
        </w:tc>
        <w:tc>
          <w:tcPr>
            <w:tcW w:w="998" w:type="dxa"/>
            <w:noWrap/>
            <w:vAlign w:val="center"/>
            <w:hideMark/>
          </w:tcPr>
          <w:p w14:paraId="09D8878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52D3D4B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394D47D" w14:textId="77777777" w:rsidR="00F3536C" w:rsidRPr="00A4272B" w:rsidRDefault="00F3536C" w:rsidP="00A41632">
            <w:pPr>
              <w:jc w:val="right"/>
              <w:rPr>
                <w:color w:val="000000"/>
                <w:sz w:val="14"/>
                <w:szCs w:val="14"/>
                <w:lang w:val="en-US"/>
              </w:rPr>
            </w:pPr>
            <w:r w:rsidRPr="00A4272B">
              <w:rPr>
                <w:color w:val="000000"/>
                <w:sz w:val="14"/>
                <w:szCs w:val="14"/>
                <w:lang w:val="en-US"/>
              </w:rPr>
              <w:t>-38.024167</w:t>
            </w:r>
          </w:p>
        </w:tc>
        <w:tc>
          <w:tcPr>
            <w:tcW w:w="998" w:type="dxa"/>
            <w:noWrap/>
            <w:vAlign w:val="center"/>
            <w:hideMark/>
          </w:tcPr>
          <w:p w14:paraId="1FA88EFC" w14:textId="77777777" w:rsidR="00F3536C" w:rsidRPr="00A4272B" w:rsidRDefault="00F3536C" w:rsidP="00A41632">
            <w:pPr>
              <w:jc w:val="right"/>
              <w:rPr>
                <w:color w:val="000000"/>
                <w:sz w:val="14"/>
                <w:szCs w:val="14"/>
                <w:lang w:val="en-US"/>
              </w:rPr>
            </w:pPr>
            <w:r w:rsidRPr="00A4272B">
              <w:rPr>
                <w:color w:val="000000"/>
                <w:sz w:val="14"/>
                <w:szCs w:val="14"/>
                <w:lang w:val="en-US"/>
              </w:rPr>
              <w:t>145.102500</w:t>
            </w:r>
          </w:p>
        </w:tc>
        <w:tc>
          <w:tcPr>
            <w:tcW w:w="859" w:type="dxa"/>
            <w:tcBorders>
              <w:top w:val="nil"/>
              <w:left w:val="nil"/>
              <w:bottom w:val="nil"/>
              <w:right w:val="single" w:sz="4" w:space="0" w:color="auto"/>
            </w:tcBorders>
            <w:noWrap/>
            <w:vAlign w:val="center"/>
            <w:hideMark/>
          </w:tcPr>
          <w:p w14:paraId="20822FA4" w14:textId="77777777" w:rsidR="00F3536C" w:rsidRPr="00A4272B" w:rsidRDefault="00F3536C" w:rsidP="00A41632">
            <w:pPr>
              <w:jc w:val="center"/>
              <w:rPr>
                <w:color w:val="000000"/>
                <w:sz w:val="14"/>
                <w:szCs w:val="14"/>
                <w:lang w:val="en-US"/>
              </w:rPr>
            </w:pPr>
            <w:r w:rsidRPr="00A4272B">
              <w:rPr>
                <w:color w:val="000000"/>
                <w:sz w:val="14"/>
                <w:szCs w:val="14"/>
                <w:lang w:val="en-US"/>
              </w:rPr>
              <w:t>8</w:t>
            </w:r>
          </w:p>
        </w:tc>
        <w:tc>
          <w:tcPr>
            <w:tcW w:w="792" w:type="dxa"/>
            <w:tcBorders>
              <w:top w:val="nil"/>
              <w:left w:val="single" w:sz="4" w:space="0" w:color="auto"/>
              <w:bottom w:val="nil"/>
              <w:right w:val="nil"/>
            </w:tcBorders>
            <w:noWrap/>
            <w:vAlign w:val="center"/>
            <w:hideMark/>
          </w:tcPr>
          <w:p w14:paraId="3D6A751A"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381B4E1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A8EEA6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7C3071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7FF32A5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2EABF531"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2AFBEE0F" w14:textId="77777777" w:rsidTr="00A41632">
        <w:trPr>
          <w:trHeight w:val="276"/>
          <w:jc w:val="center"/>
        </w:trPr>
        <w:tc>
          <w:tcPr>
            <w:tcW w:w="955" w:type="dxa"/>
            <w:tcBorders>
              <w:top w:val="nil"/>
              <w:left w:val="single" w:sz="8" w:space="0" w:color="auto"/>
              <w:bottom w:val="nil"/>
              <w:right w:val="nil"/>
            </w:tcBorders>
            <w:noWrap/>
            <w:vAlign w:val="center"/>
            <w:hideMark/>
          </w:tcPr>
          <w:p w14:paraId="53919BA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140DAE24"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BDE4556" w14:textId="77777777" w:rsidR="00F3536C" w:rsidRPr="00A4272B" w:rsidRDefault="00F3536C" w:rsidP="00A41632">
            <w:pPr>
              <w:rPr>
                <w:color w:val="000000"/>
                <w:sz w:val="14"/>
                <w:szCs w:val="14"/>
                <w:lang w:val="en-US"/>
              </w:rPr>
            </w:pPr>
            <w:r w:rsidRPr="00A4272B">
              <w:rPr>
                <w:color w:val="000000"/>
                <w:sz w:val="14"/>
                <w:szCs w:val="14"/>
                <w:lang w:val="en-US"/>
              </w:rPr>
              <w:t>Cape Grim, TAS</w:t>
            </w:r>
          </w:p>
        </w:tc>
        <w:tc>
          <w:tcPr>
            <w:tcW w:w="998" w:type="dxa"/>
            <w:noWrap/>
            <w:vAlign w:val="center"/>
            <w:hideMark/>
          </w:tcPr>
          <w:p w14:paraId="4916DF2A" w14:textId="77777777" w:rsidR="00F3536C" w:rsidRPr="00A4272B" w:rsidRDefault="00F3536C" w:rsidP="00A41632">
            <w:pPr>
              <w:jc w:val="center"/>
              <w:rPr>
                <w:color w:val="000000"/>
                <w:sz w:val="14"/>
                <w:szCs w:val="14"/>
                <w:lang w:val="en-US"/>
              </w:rPr>
            </w:pPr>
            <w:r w:rsidRPr="00A4272B">
              <w:rPr>
                <w:color w:val="000000"/>
                <w:sz w:val="14"/>
                <w:szCs w:val="14"/>
                <w:lang w:val="en-US"/>
              </w:rPr>
              <w:t>CPG</w:t>
            </w:r>
          </w:p>
        </w:tc>
        <w:tc>
          <w:tcPr>
            <w:tcW w:w="1342" w:type="dxa"/>
            <w:noWrap/>
            <w:vAlign w:val="center"/>
            <w:hideMark/>
          </w:tcPr>
          <w:p w14:paraId="0D7C2FE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0460B4D" w14:textId="77777777" w:rsidR="00F3536C" w:rsidRPr="00A4272B" w:rsidRDefault="00F3536C" w:rsidP="00A41632">
            <w:pPr>
              <w:jc w:val="right"/>
              <w:rPr>
                <w:color w:val="000000"/>
                <w:sz w:val="14"/>
                <w:szCs w:val="14"/>
                <w:lang w:val="en-US"/>
              </w:rPr>
            </w:pPr>
            <w:r w:rsidRPr="00A4272B">
              <w:rPr>
                <w:color w:val="000000"/>
                <w:sz w:val="14"/>
                <w:szCs w:val="14"/>
                <w:lang w:val="en-US"/>
              </w:rPr>
              <w:t>-40.682778</w:t>
            </w:r>
          </w:p>
        </w:tc>
        <w:tc>
          <w:tcPr>
            <w:tcW w:w="998" w:type="dxa"/>
            <w:noWrap/>
            <w:vAlign w:val="center"/>
            <w:hideMark/>
          </w:tcPr>
          <w:p w14:paraId="4A2C8222" w14:textId="77777777" w:rsidR="00F3536C" w:rsidRPr="00A4272B" w:rsidRDefault="00F3536C" w:rsidP="00A41632">
            <w:pPr>
              <w:jc w:val="right"/>
              <w:rPr>
                <w:color w:val="000000"/>
                <w:sz w:val="14"/>
                <w:szCs w:val="14"/>
                <w:lang w:val="en-US"/>
              </w:rPr>
            </w:pPr>
            <w:r w:rsidRPr="00A4272B">
              <w:rPr>
                <w:color w:val="000000"/>
                <w:sz w:val="14"/>
                <w:szCs w:val="14"/>
                <w:lang w:val="en-US"/>
              </w:rPr>
              <w:t>144.690000</w:t>
            </w:r>
          </w:p>
        </w:tc>
        <w:tc>
          <w:tcPr>
            <w:tcW w:w="859" w:type="dxa"/>
            <w:tcBorders>
              <w:top w:val="nil"/>
              <w:left w:val="nil"/>
              <w:bottom w:val="nil"/>
              <w:right w:val="single" w:sz="8" w:space="0" w:color="auto"/>
            </w:tcBorders>
            <w:noWrap/>
            <w:vAlign w:val="center"/>
            <w:hideMark/>
          </w:tcPr>
          <w:p w14:paraId="28892141" w14:textId="77777777" w:rsidR="00F3536C" w:rsidRPr="00A4272B" w:rsidRDefault="00F3536C" w:rsidP="00A41632">
            <w:pPr>
              <w:jc w:val="center"/>
              <w:rPr>
                <w:color w:val="000000"/>
                <w:sz w:val="14"/>
                <w:szCs w:val="14"/>
                <w:lang w:val="en-US"/>
              </w:rPr>
            </w:pPr>
            <w:r w:rsidRPr="00A4272B">
              <w:rPr>
                <w:color w:val="000000"/>
                <w:sz w:val="14"/>
                <w:szCs w:val="14"/>
                <w:lang w:val="en-US"/>
              </w:rPr>
              <w:t>94</w:t>
            </w:r>
          </w:p>
        </w:tc>
        <w:tc>
          <w:tcPr>
            <w:tcW w:w="792" w:type="dxa"/>
            <w:noWrap/>
            <w:vAlign w:val="center"/>
            <w:hideMark/>
          </w:tcPr>
          <w:p w14:paraId="2FCD785B"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788F084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23EA2F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7FE45F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50CF71C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414C6643"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470D9378" w14:textId="77777777" w:rsidTr="00A41632">
        <w:trPr>
          <w:trHeight w:val="276"/>
          <w:jc w:val="center"/>
        </w:trPr>
        <w:tc>
          <w:tcPr>
            <w:tcW w:w="955" w:type="dxa"/>
            <w:tcBorders>
              <w:top w:val="nil"/>
              <w:left w:val="single" w:sz="8" w:space="0" w:color="auto"/>
              <w:bottom w:val="nil"/>
              <w:right w:val="nil"/>
            </w:tcBorders>
            <w:noWrap/>
            <w:vAlign w:val="center"/>
            <w:hideMark/>
          </w:tcPr>
          <w:p w14:paraId="1DE8878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7CA2E90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10D1AB5A" w14:textId="77777777" w:rsidR="00F3536C" w:rsidRPr="00A4272B" w:rsidRDefault="00F3536C" w:rsidP="00A41632">
            <w:pPr>
              <w:rPr>
                <w:color w:val="000000"/>
                <w:sz w:val="14"/>
                <w:szCs w:val="14"/>
                <w:lang w:val="en-US"/>
              </w:rPr>
            </w:pPr>
            <w:r w:rsidRPr="00A4272B">
              <w:rPr>
                <w:color w:val="000000"/>
                <w:sz w:val="14"/>
                <w:szCs w:val="14"/>
                <w:lang w:val="en-US"/>
              </w:rPr>
              <w:t>Darwin, NT</w:t>
            </w:r>
          </w:p>
        </w:tc>
        <w:tc>
          <w:tcPr>
            <w:tcW w:w="998" w:type="dxa"/>
            <w:noWrap/>
            <w:vAlign w:val="center"/>
            <w:hideMark/>
          </w:tcPr>
          <w:p w14:paraId="56A74308" w14:textId="77777777" w:rsidR="00F3536C" w:rsidRPr="00A4272B" w:rsidRDefault="00F3536C" w:rsidP="00A41632">
            <w:pPr>
              <w:jc w:val="center"/>
              <w:rPr>
                <w:color w:val="000000"/>
                <w:sz w:val="14"/>
                <w:szCs w:val="14"/>
                <w:lang w:val="en-US"/>
              </w:rPr>
            </w:pPr>
            <w:r w:rsidRPr="00A4272B">
              <w:rPr>
                <w:color w:val="000000"/>
                <w:sz w:val="14"/>
                <w:szCs w:val="14"/>
                <w:lang w:val="en-US"/>
              </w:rPr>
              <w:t>DAR</w:t>
            </w:r>
          </w:p>
        </w:tc>
        <w:tc>
          <w:tcPr>
            <w:tcW w:w="1342" w:type="dxa"/>
            <w:noWrap/>
            <w:vAlign w:val="center"/>
            <w:hideMark/>
          </w:tcPr>
          <w:p w14:paraId="69C3719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9EA3023" w14:textId="77777777" w:rsidR="00F3536C" w:rsidRPr="00A4272B" w:rsidRDefault="00F3536C" w:rsidP="00A41632">
            <w:pPr>
              <w:jc w:val="right"/>
              <w:rPr>
                <w:color w:val="000000"/>
                <w:sz w:val="14"/>
                <w:szCs w:val="14"/>
                <w:lang w:val="en-US"/>
              </w:rPr>
            </w:pPr>
            <w:r w:rsidRPr="00A4272B">
              <w:rPr>
                <w:color w:val="000000"/>
                <w:sz w:val="14"/>
                <w:szCs w:val="14"/>
                <w:lang w:val="en-US"/>
              </w:rPr>
              <w:t>-12.412500</w:t>
            </w:r>
          </w:p>
        </w:tc>
        <w:tc>
          <w:tcPr>
            <w:tcW w:w="998" w:type="dxa"/>
            <w:noWrap/>
            <w:vAlign w:val="center"/>
            <w:hideMark/>
          </w:tcPr>
          <w:p w14:paraId="7845669C" w14:textId="77777777" w:rsidR="00F3536C" w:rsidRPr="00A4272B" w:rsidRDefault="00F3536C" w:rsidP="00A41632">
            <w:pPr>
              <w:jc w:val="right"/>
              <w:rPr>
                <w:color w:val="000000"/>
                <w:sz w:val="14"/>
                <w:szCs w:val="14"/>
                <w:lang w:val="en-US"/>
              </w:rPr>
            </w:pPr>
            <w:r w:rsidRPr="00A4272B">
              <w:rPr>
                <w:color w:val="000000"/>
                <w:sz w:val="14"/>
                <w:szCs w:val="14"/>
                <w:lang w:val="en-US"/>
              </w:rPr>
              <w:t>130.920278</w:t>
            </w:r>
          </w:p>
        </w:tc>
        <w:tc>
          <w:tcPr>
            <w:tcW w:w="859" w:type="dxa"/>
            <w:tcBorders>
              <w:top w:val="nil"/>
              <w:left w:val="nil"/>
              <w:bottom w:val="nil"/>
              <w:right w:val="single" w:sz="8" w:space="0" w:color="auto"/>
            </w:tcBorders>
            <w:noWrap/>
            <w:vAlign w:val="center"/>
            <w:hideMark/>
          </w:tcPr>
          <w:p w14:paraId="197E5BD8" w14:textId="77777777" w:rsidR="00F3536C" w:rsidRPr="00A4272B" w:rsidRDefault="00F3536C" w:rsidP="00A41632">
            <w:pPr>
              <w:jc w:val="center"/>
              <w:rPr>
                <w:color w:val="000000"/>
                <w:sz w:val="14"/>
                <w:szCs w:val="14"/>
                <w:lang w:val="en-US"/>
              </w:rPr>
            </w:pPr>
            <w:r w:rsidRPr="00A4272B">
              <w:rPr>
                <w:color w:val="000000"/>
                <w:sz w:val="14"/>
                <w:szCs w:val="14"/>
                <w:lang w:val="en-US"/>
              </w:rPr>
              <w:t>30</w:t>
            </w:r>
          </w:p>
        </w:tc>
        <w:tc>
          <w:tcPr>
            <w:tcW w:w="792" w:type="dxa"/>
            <w:noWrap/>
            <w:vAlign w:val="center"/>
            <w:hideMark/>
          </w:tcPr>
          <w:p w14:paraId="1F9639F9"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613ACA6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7733C5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ADF940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3E3F8F8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nil"/>
              <w:left w:val="nil"/>
              <w:bottom w:val="nil"/>
              <w:right w:val="single" w:sz="8" w:space="0" w:color="auto"/>
            </w:tcBorders>
            <w:noWrap/>
            <w:vAlign w:val="center"/>
            <w:hideMark/>
          </w:tcPr>
          <w:p w14:paraId="277177CC"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726CC4A5" w14:textId="77777777" w:rsidTr="00F006B1">
        <w:trPr>
          <w:trHeight w:val="276"/>
          <w:jc w:val="center"/>
        </w:trPr>
        <w:tc>
          <w:tcPr>
            <w:tcW w:w="955" w:type="dxa"/>
            <w:tcBorders>
              <w:top w:val="nil"/>
              <w:left w:val="single" w:sz="8" w:space="0" w:color="auto"/>
              <w:right w:val="nil"/>
            </w:tcBorders>
            <w:noWrap/>
            <w:vAlign w:val="center"/>
            <w:hideMark/>
          </w:tcPr>
          <w:p w14:paraId="6EDF2B92" w14:textId="77777777" w:rsidR="00F3536C" w:rsidRPr="00A4272B" w:rsidRDefault="00F3536C" w:rsidP="00A41632">
            <w:pPr>
              <w:rPr>
                <w:color w:val="000000"/>
                <w:sz w:val="14"/>
                <w:szCs w:val="14"/>
                <w:lang w:val="en-US"/>
              </w:rPr>
            </w:pPr>
            <w:r w:rsidRPr="00A4272B">
              <w:rPr>
                <w:color w:val="000000"/>
                <w:sz w:val="14"/>
                <w:szCs w:val="14"/>
                <w:lang w:val="en-US"/>
              </w:rPr>
              <w:lastRenderedPageBreak/>
              <w:t>Australia</w:t>
            </w:r>
          </w:p>
        </w:tc>
        <w:tc>
          <w:tcPr>
            <w:tcW w:w="1391" w:type="dxa"/>
            <w:noWrap/>
            <w:vAlign w:val="center"/>
            <w:hideMark/>
          </w:tcPr>
          <w:p w14:paraId="02977D1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08A6E1B5" w14:textId="77777777" w:rsidR="00F3536C" w:rsidRPr="00A4272B" w:rsidRDefault="00F3536C" w:rsidP="00A41632">
            <w:pPr>
              <w:rPr>
                <w:color w:val="000000"/>
                <w:sz w:val="14"/>
                <w:szCs w:val="14"/>
                <w:lang w:val="en-US"/>
              </w:rPr>
            </w:pPr>
            <w:r w:rsidRPr="00A4272B">
              <w:rPr>
                <w:color w:val="000000"/>
                <w:sz w:val="14"/>
                <w:szCs w:val="14"/>
                <w:lang w:val="en-US"/>
              </w:rPr>
              <w:t>Alice Springs, NT</w:t>
            </w:r>
          </w:p>
        </w:tc>
        <w:tc>
          <w:tcPr>
            <w:tcW w:w="998" w:type="dxa"/>
            <w:noWrap/>
            <w:vAlign w:val="center"/>
            <w:hideMark/>
          </w:tcPr>
          <w:p w14:paraId="052D8406" w14:textId="77777777" w:rsidR="00F3536C" w:rsidRPr="00A4272B" w:rsidRDefault="00F3536C" w:rsidP="00A41632">
            <w:pPr>
              <w:jc w:val="center"/>
              <w:rPr>
                <w:color w:val="000000"/>
                <w:sz w:val="14"/>
                <w:szCs w:val="14"/>
                <w:lang w:val="en-US"/>
              </w:rPr>
            </w:pPr>
            <w:r w:rsidRPr="00A4272B">
              <w:rPr>
                <w:color w:val="000000"/>
                <w:sz w:val="14"/>
                <w:szCs w:val="14"/>
                <w:lang w:val="en-US"/>
              </w:rPr>
              <w:t>ALI</w:t>
            </w:r>
          </w:p>
        </w:tc>
        <w:tc>
          <w:tcPr>
            <w:tcW w:w="1342" w:type="dxa"/>
            <w:noWrap/>
            <w:vAlign w:val="center"/>
            <w:hideMark/>
          </w:tcPr>
          <w:p w14:paraId="3E2E852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9B80A56" w14:textId="77777777" w:rsidR="00F3536C" w:rsidRPr="00A4272B" w:rsidRDefault="00F3536C" w:rsidP="00A41632">
            <w:pPr>
              <w:jc w:val="right"/>
              <w:rPr>
                <w:color w:val="000000"/>
                <w:sz w:val="14"/>
                <w:szCs w:val="14"/>
                <w:lang w:val="en-US"/>
              </w:rPr>
            </w:pPr>
            <w:r w:rsidRPr="00A4272B">
              <w:rPr>
                <w:color w:val="000000"/>
                <w:sz w:val="14"/>
                <w:szCs w:val="14"/>
                <w:lang w:val="en-US"/>
              </w:rPr>
              <w:t>-23.795100</w:t>
            </w:r>
          </w:p>
        </w:tc>
        <w:tc>
          <w:tcPr>
            <w:tcW w:w="998" w:type="dxa"/>
            <w:noWrap/>
            <w:vAlign w:val="center"/>
            <w:hideMark/>
          </w:tcPr>
          <w:p w14:paraId="447142E9" w14:textId="77777777" w:rsidR="00F3536C" w:rsidRPr="00A4272B" w:rsidRDefault="00F3536C" w:rsidP="00A41632">
            <w:pPr>
              <w:jc w:val="right"/>
              <w:rPr>
                <w:color w:val="000000"/>
                <w:sz w:val="14"/>
                <w:szCs w:val="14"/>
                <w:lang w:val="en-US"/>
              </w:rPr>
            </w:pPr>
            <w:r w:rsidRPr="00A4272B">
              <w:rPr>
                <w:color w:val="000000"/>
                <w:sz w:val="14"/>
                <w:szCs w:val="14"/>
                <w:lang w:val="en-US"/>
              </w:rPr>
              <w:t>133.889000</w:t>
            </w:r>
          </w:p>
        </w:tc>
        <w:tc>
          <w:tcPr>
            <w:tcW w:w="859" w:type="dxa"/>
            <w:tcBorders>
              <w:top w:val="nil"/>
              <w:left w:val="nil"/>
              <w:right w:val="single" w:sz="8" w:space="0" w:color="auto"/>
            </w:tcBorders>
            <w:noWrap/>
            <w:vAlign w:val="center"/>
            <w:hideMark/>
          </w:tcPr>
          <w:p w14:paraId="4820AAED" w14:textId="77777777" w:rsidR="00F3536C" w:rsidRPr="00A4272B" w:rsidRDefault="00F3536C" w:rsidP="00A41632">
            <w:pPr>
              <w:jc w:val="center"/>
              <w:rPr>
                <w:color w:val="000000"/>
                <w:sz w:val="14"/>
                <w:szCs w:val="14"/>
                <w:lang w:val="en-US"/>
              </w:rPr>
            </w:pPr>
            <w:r w:rsidRPr="00A4272B">
              <w:rPr>
                <w:color w:val="000000"/>
                <w:sz w:val="14"/>
                <w:szCs w:val="14"/>
                <w:lang w:val="en-US"/>
              </w:rPr>
              <w:t>547</w:t>
            </w:r>
          </w:p>
        </w:tc>
        <w:tc>
          <w:tcPr>
            <w:tcW w:w="792" w:type="dxa"/>
            <w:noWrap/>
            <w:vAlign w:val="center"/>
            <w:hideMark/>
          </w:tcPr>
          <w:p w14:paraId="284A2E7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0E5B2C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7080F1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B3822A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395273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right w:val="single" w:sz="8" w:space="0" w:color="auto"/>
            </w:tcBorders>
            <w:noWrap/>
            <w:vAlign w:val="center"/>
            <w:hideMark/>
          </w:tcPr>
          <w:p w14:paraId="1C0E7A0B"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3BEDE806"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51C0E72D"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tcBorders>
              <w:bottom w:val="single" w:sz="4" w:space="0" w:color="auto"/>
            </w:tcBorders>
            <w:noWrap/>
            <w:vAlign w:val="center"/>
            <w:hideMark/>
          </w:tcPr>
          <w:p w14:paraId="70717F4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tcBorders>
              <w:bottom w:val="single" w:sz="4" w:space="0" w:color="auto"/>
            </w:tcBorders>
            <w:noWrap/>
            <w:vAlign w:val="center"/>
            <w:hideMark/>
          </w:tcPr>
          <w:p w14:paraId="4D2D20D5" w14:textId="77777777" w:rsidR="00F3536C" w:rsidRPr="00A4272B" w:rsidRDefault="00F3536C" w:rsidP="00A41632">
            <w:pPr>
              <w:rPr>
                <w:color w:val="000000"/>
                <w:sz w:val="14"/>
                <w:szCs w:val="14"/>
                <w:lang w:val="en-US"/>
              </w:rPr>
            </w:pPr>
            <w:r w:rsidRPr="00A4272B">
              <w:rPr>
                <w:color w:val="000000"/>
                <w:sz w:val="14"/>
                <w:szCs w:val="14"/>
                <w:lang w:val="en-US"/>
              </w:rPr>
              <w:t>Aspendale, VIC</w:t>
            </w:r>
          </w:p>
        </w:tc>
        <w:tc>
          <w:tcPr>
            <w:tcW w:w="998" w:type="dxa"/>
            <w:tcBorders>
              <w:bottom w:val="single" w:sz="4" w:space="0" w:color="auto"/>
            </w:tcBorders>
            <w:noWrap/>
            <w:vAlign w:val="center"/>
            <w:hideMark/>
          </w:tcPr>
          <w:p w14:paraId="57517B6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bottom w:val="single" w:sz="4" w:space="0" w:color="auto"/>
            </w:tcBorders>
            <w:noWrap/>
            <w:vAlign w:val="center"/>
            <w:hideMark/>
          </w:tcPr>
          <w:p w14:paraId="6BF7C0B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bottom w:val="single" w:sz="4" w:space="0" w:color="auto"/>
            </w:tcBorders>
            <w:noWrap/>
            <w:vAlign w:val="center"/>
            <w:hideMark/>
          </w:tcPr>
          <w:p w14:paraId="1AA9CD7B" w14:textId="77777777" w:rsidR="00F3536C" w:rsidRPr="00A4272B" w:rsidRDefault="00F3536C" w:rsidP="00A41632">
            <w:pPr>
              <w:jc w:val="right"/>
              <w:rPr>
                <w:color w:val="000000"/>
                <w:sz w:val="14"/>
                <w:szCs w:val="14"/>
                <w:lang w:val="en-US"/>
              </w:rPr>
            </w:pPr>
            <w:r w:rsidRPr="00A4272B">
              <w:rPr>
                <w:color w:val="000000"/>
                <w:sz w:val="14"/>
                <w:szCs w:val="14"/>
                <w:lang w:val="en-US"/>
              </w:rPr>
              <w:t>-38.024261</w:t>
            </w:r>
          </w:p>
        </w:tc>
        <w:tc>
          <w:tcPr>
            <w:tcW w:w="998" w:type="dxa"/>
            <w:tcBorders>
              <w:bottom w:val="single" w:sz="4" w:space="0" w:color="auto"/>
            </w:tcBorders>
            <w:noWrap/>
            <w:vAlign w:val="center"/>
            <w:hideMark/>
          </w:tcPr>
          <w:p w14:paraId="7F3CB1C9" w14:textId="77777777" w:rsidR="00F3536C" w:rsidRPr="00A4272B" w:rsidRDefault="00F3536C" w:rsidP="00A41632">
            <w:pPr>
              <w:jc w:val="right"/>
              <w:rPr>
                <w:color w:val="000000"/>
                <w:sz w:val="14"/>
                <w:szCs w:val="14"/>
                <w:lang w:val="en-US"/>
              </w:rPr>
            </w:pPr>
            <w:r w:rsidRPr="00A4272B">
              <w:rPr>
                <w:color w:val="000000"/>
                <w:sz w:val="14"/>
                <w:szCs w:val="14"/>
                <w:lang w:val="en-US"/>
              </w:rPr>
              <w:t>145.102581</w:t>
            </w:r>
          </w:p>
        </w:tc>
        <w:tc>
          <w:tcPr>
            <w:tcW w:w="859" w:type="dxa"/>
            <w:tcBorders>
              <w:top w:val="nil"/>
              <w:left w:val="nil"/>
              <w:bottom w:val="single" w:sz="4" w:space="0" w:color="auto"/>
              <w:right w:val="single" w:sz="8" w:space="0" w:color="auto"/>
            </w:tcBorders>
            <w:noWrap/>
            <w:vAlign w:val="center"/>
            <w:hideMark/>
          </w:tcPr>
          <w:p w14:paraId="567D5E82" w14:textId="77777777" w:rsidR="00F3536C" w:rsidRPr="00A4272B" w:rsidRDefault="00F3536C" w:rsidP="00A41632">
            <w:pPr>
              <w:jc w:val="center"/>
              <w:rPr>
                <w:color w:val="000000"/>
                <w:sz w:val="14"/>
                <w:szCs w:val="14"/>
                <w:lang w:val="en-US"/>
              </w:rPr>
            </w:pPr>
            <w:r w:rsidRPr="00A4272B">
              <w:rPr>
                <w:color w:val="000000"/>
                <w:sz w:val="14"/>
                <w:szCs w:val="14"/>
                <w:lang w:val="en-US"/>
              </w:rPr>
              <w:t>8</w:t>
            </w:r>
          </w:p>
        </w:tc>
        <w:tc>
          <w:tcPr>
            <w:tcW w:w="792" w:type="dxa"/>
            <w:tcBorders>
              <w:bottom w:val="single" w:sz="4" w:space="0" w:color="auto"/>
            </w:tcBorders>
            <w:noWrap/>
            <w:vAlign w:val="center"/>
            <w:hideMark/>
          </w:tcPr>
          <w:p w14:paraId="229F900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bottom w:val="single" w:sz="4" w:space="0" w:color="auto"/>
            </w:tcBorders>
            <w:noWrap/>
            <w:vAlign w:val="center"/>
            <w:hideMark/>
          </w:tcPr>
          <w:p w14:paraId="5E65E8A3"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bottom w:val="single" w:sz="4" w:space="0" w:color="auto"/>
            </w:tcBorders>
            <w:noWrap/>
            <w:vAlign w:val="center"/>
            <w:hideMark/>
          </w:tcPr>
          <w:p w14:paraId="069A8B9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bottom w:val="single" w:sz="4" w:space="0" w:color="auto"/>
            </w:tcBorders>
            <w:noWrap/>
            <w:vAlign w:val="center"/>
            <w:hideMark/>
          </w:tcPr>
          <w:p w14:paraId="71EAA3B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bottom w:val="single" w:sz="4" w:space="0" w:color="auto"/>
            </w:tcBorders>
            <w:noWrap/>
            <w:vAlign w:val="center"/>
            <w:hideMark/>
          </w:tcPr>
          <w:p w14:paraId="51972DE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single" w:sz="4" w:space="0" w:color="auto"/>
              <w:right w:val="single" w:sz="8" w:space="0" w:color="auto"/>
            </w:tcBorders>
            <w:noWrap/>
            <w:vAlign w:val="center"/>
            <w:hideMark/>
          </w:tcPr>
          <w:p w14:paraId="2FC88D9F"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3704A353"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30EB112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tcBorders>
              <w:top w:val="single" w:sz="4" w:space="0" w:color="auto"/>
            </w:tcBorders>
            <w:noWrap/>
            <w:vAlign w:val="center"/>
            <w:hideMark/>
          </w:tcPr>
          <w:p w14:paraId="44FE29B6"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tcBorders>
              <w:top w:val="single" w:sz="4" w:space="0" w:color="auto"/>
            </w:tcBorders>
            <w:noWrap/>
            <w:vAlign w:val="center"/>
            <w:hideMark/>
          </w:tcPr>
          <w:p w14:paraId="65930075" w14:textId="77777777" w:rsidR="00F3536C" w:rsidRPr="00A4272B" w:rsidRDefault="00F3536C" w:rsidP="00A41632">
            <w:pPr>
              <w:rPr>
                <w:color w:val="000000"/>
                <w:sz w:val="14"/>
                <w:szCs w:val="14"/>
                <w:lang w:val="en-US"/>
              </w:rPr>
            </w:pPr>
            <w:r w:rsidRPr="00A4272B">
              <w:rPr>
                <w:color w:val="000000"/>
                <w:sz w:val="14"/>
                <w:szCs w:val="14"/>
                <w:lang w:val="en-US"/>
              </w:rPr>
              <w:t>Barossa, SA</w:t>
            </w:r>
          </w:p>
        </w:tc>
        <w:tc>
          <w:tcPr>
            <w:tcW w:w="998" w:type="dxa"/>
            <w:tcBorders>
              <w:top w:val="single" w:sz="4" w:space="0" w:color="auto"/>
            </w:tcBorders>
            <w:noWrap/>
            <w:vAlign w:val="center"/>
            <w:hideMark/>
          </w:tcPr>
          <w:p w14:paraId="5385846F" w14:textId="77777777" w:rsidR="00F3536C" w:rsidRPr="00A4272B" w:rsidRDefault="00F3536C" w:rsidP="00A41632">
            <w:pPr>
              <w:jc w:val="center"/>
              <w:rPr>
                <w:color w:val="000000"/>
                <w:sz w:val="14"/>
                <w:szCs w:val="14"/>
                <w:lang w:val="en-US"/>
              </w:rPr>
            </w:pPr>
            <w:r w:rsidRPr="00A4272B">
              <w:rPr>
                <w:color w:val="000000"/>
                <w:sz w:val="14"/>
                <w:szCs w:val="14"/>
                <w:lang w:val="en-US"/>
              </w:rPr>
              <w:t>BAR</w:t>
            </w:r>
          </w:p>
        </w:tc>
        <w:tc>
          <w:tcPr>
            <w:tcW w:w="1342" w:type="dxa"/>
            <w:tcBorders>
              <w:top w:val="single" w:sz="4" w:space="0" w:color="auto"/>
            </w:tcBorders>
            <w:noWrap/>
            <w:vAlign w:val="center"/>
            <w:hideMark/>
          </w:tcPr>
          <w:p w14:paraId="443680C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single" w:sz="4" w:space="0" w:color="auto"/>
            </w:tcBorders>
            <w:noWrap/>
            <w:vAlign w:val="center"/>
            <w:hideMark/>
          </w:tcPr>
          <w:p w14:paraId="79F7F037" w14:textId="77777777" w:rsidR="00F3536C" w:rsidRPr="00A4272B" w:rsidRDefault="00F3536C" w:rsidP="00A41632">
            <w:pPr>
              <w:jc w:val="right"/>
              <w:rPr>
                <w:color w:val="000000"/>
                <w:sz w:val="14"/>
                <w:szCs w:val="14"/>
                <w:lang w:val="en-US"/>
              </w:rPr>
            </w:pPr>
            <w:r w:rsidRPr="00A4272B">
              <w:rPr>
                <w:color w:val="000000"/>
                <w:sz w:val="14"/>
                <w:szCs w:val="14"/>
                <w:lang w:val="en-US"/>
              </w:rPr>
              <w:t>-34.468775</w:t>
            </w:r>
          </w:p>
        </w:tc>
        <w:tc>
          <w:tcPr>
            <w:tcW w:w="998" w:type="dxa"/>
            <w:tcBorders>
              <w:top w:val="single" w:sz="4" w:space="0" w:color="auto"/>
            </w:tcBorders>
            <w:noWrap/>
            <w:vAlign w:val="center"/>
            <w:hideMark/>
          </w:tcPr>
          <w:p w14:paraId="37C77394" w14:textId="77777777" w:rsidR="00F3536C" w:rsidRPr="00A4272B" w:rsidRDefault="00F3536C" w:rsidP="00A41632">
            <w:pPr>
              <w:jc w:val="right"/>
              <w:rPr>
                <w:color w:val="000000"/>
                <w:sz w:val="14"/>
                <w:szCs w:val="14"/>
                <w:lang w:val="en-US"/>
              </w:rPr>
            </w:pPr>
            <w:r w:rsidRPr="00A4272B">
              <w:rPr>
                <w:color w:val="000000"/>
                <w:sz w:val="14"/>
                <w:szCs w:val="14"/>
                <w:lang w:val="en-US"/>
              </w:rPr>
              <w:t>139.008506</w:t>
            </w:r>
          </w:p>
        </w:tc>
        <w:tc>
          <w:tcPr>
            <w:tcW w:w="859" w:type="dxa"/>
            <w:tcBorders>
              <w:top w:val="single" w:sz="4" w:space="0" w:color="auto"/>
              <w:left w:val="nil"/>
              <w:bottom w:val="nil"/>
              <w:right w:val="single" w:sz="8" w:space="0" w:color="auto"/>
            </w:tcBorders>
            <w:noWrap/>
            <w:vAlign w:val="center"/>
            <w:hideMark/>
          </w:tcPr>
          <w:p w14:paraId="79A9C982" w14:textId="77777777" w:rsidR="00F3536C" w:rsidRPr="00A4272B" w:rsidRDefault="00F3536C" w:rsidP="00A41632">
            <w:pPr>
              <w:jc w:val="center"/>
              <w:rPr>
                <w:color w:val="000000"/>
                <w:sz w:val="14"/>
                <w:szCs w:val="14"/>
                <w:lang w:val="en-US"/>
              </w:rPr>
            </w:pPr>
            <w:r w:rsidRPr="00A4272B">
              <w:rPr>
                <w:color w:val="000000"/>
                <w:sz w:val="14"/>
                <w:szCs w:val="14"/>
                <w:lang w:val="en-US"/>
              </w:rPr>
              <w:t>284</w:t>
            </w:r>
          </w:p>
        </w:tc>
        <w:tc>
          <w:tcPr>
            <w:tcW w:w="792" w:type="dxa"/>
            <w:tcBorders>
              <w:top w:val="single" w:sz="4" w:space="0" w:color="auto"/>
            </w:tcBorders>
            <w:noWrap/>
            <w:vAlign w:val="center"/>
            <w:hideMark/>
          </w:tcPr>
          <w:p w14:paraId="01A46AC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tcBorders>
            <w:noWrap/>
            <w:vAlign w:val="center"/>
            <w:hideMark/>
          </w:tcPr>
          <w:p w14:paraId="1BA1132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single" w:sz="4" w:space="0" w:color="auto"/>
            </w:tcBorders>
            <w:noWrap/>
            <w:vAlign w:val="center"/>
            <w:hideMark/>
          </w:tcPr>
          <w:p w14:paraId="0D68CE9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tcBorders>
            <w:noWrap/>
            <w:vAlign w:val="center"/>
            <w:hideMark/>
          </w:tcPr>
          <w:p w14:paraId="08CA027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top w:val="single" w:sz="4" w:space="0" w:color="auto"/>
            </w:tcBorders>
            <w:noWrap/>
            <w:vAlign w:val="center"/>
            <w:hideMark/>
          </w:tcPr>
          <w:p w14:paraId="48CC256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single" w:sz="4" w:space="0" w:color="auto"/>
              <w:left w:val="nil"/>
              <w:bottom w:val="nil"/>
              <w:right w:val="single" w:sz="8" w:space="0" w:color="auto"/>
            </w:tcBorders>
            <w:noWrap/>
            <w:vAlign w:val="center"/>
            <w:hideMark/>
          </w:tcPr>
          <w:p w14:paraId="5AC447D5"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7AF975A4" w14:textId="77777777" w:rsidTr="00A41632">
        <w:trPr>
          <w:trHeight w:val="276"/>
          <w:jc w:val="center"/>
        </w:trPr>
        <w:tc>
          <w:tcPr>
            <w:tcW w:w="955" w:type="dxa"/>
            <w:tcBorders>
              <w:top w:val="nil"/>
              <w:left w:val="single" w:sz="8" w:space="0" w:color="auto"/>
              <w:bottom w:val="nil"/>
              <w:right w:val="nil"/>
            </w:tcBorders>
            <w:noWrap/>
            <w:vAlign w:val="center"/>
            <w:hideMark/>
          </w:tcPr>
          <w:p w14:paraId="47FA850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70CE9AF6"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411BB066" w14:textId="77777777" w:rsidR="00F3536C" w:rsidRPr="00A4272B" w:rsidRDefault="00F3536C" w:rsidP="00A41632">
            <w:pPr>
              <w:rPr>
                <w:color w:val="000000"/>
                <w:sz w:val="14"/>
                <w:szCs w:val="14"/>
                <w:lang w:val="en-US"/>
              </w:rPr>
            </w:pPr>
            <w:r w:rsidRPr="00A4272B">
              <w:rPr>
                <w:color w:val="000000"/>
                <w:sz w:val="14"/>
                <w:szCs w:val="14"/>
                <w:lang w:val="en-US"/>
              </w:rPr>
              <w:t>Brisbane, QLD</w:t>
            </w:r>
          </w:p>
        </w:tc>
        <w:tc>
          <w:tcPr>
            <w:tcW w:w="998" w:type="dxa"/>
            <w:noWrap/>
            <w:vAlign w:val="center"/>
            <w:hideMark/>
          </w:tcPr>
          <w:p w14:paraId="5E4B1B95" w14:textId="77777777" w:rsidR="00F3536C" w:rsidRPr="00A4272B" w:rsidRDefault="00F3536C" w:rsidP="00A41632">
            <w:pPr>
              <w:jc w:val="center"/>
              <w:rPr>
                <w:color w:val="000000"/>
                <w:sz w:val="14"/>
                <w:szCs w:val="14"/>
                <w:lang w:val="en-US"/>
              </w:rPr>
            </w:pPr>
            <w:r w:rsidRPr="00A4272B">
              <w:rPr>
                <w:color w:val="000000"/>
                <w:sz w:val="14"/>
                <w:szCs w:val="14"/>
                <w:lang w:val="en-US"/>
              </w:rPr>
              <w:t>BRI</w:t>
            </w:r>
          </w:p>
        </w:tc>
        <w:tc>
          <w:tcPr>
            <w:tcW w:w="1342" w:type="dxa"/>
            <w:noWrap/>
            <w:vAlign w:val="center"/>
            <w:hideMark/>
          </w:tcPr>
          <w:p w14:paraId="026E1DD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57C6EFE" w14:textId="77777777" w:rsidR="00F3536C" w:rsidRPr="00A4272B" w:rsidRDefault="00F3536C" w:rsidP="00A41632">
            <w:pPr>
              <w:jc w:val="right"/>
              <w:rPr>
                <w:color w:val="000000"/>
                <w:sz w:val="14"/>
                <w:szCs w:val="14"/>
                <w:lang w:val="en-US"/>
              </w:rPr>
            </w:pPr>
            <w:r w:rsidRPr="00A4272B">
              <w:rPr>
                <w:color w:val="000000"/>
                <w:sz w:val="14"/>
                <w:szCs w:val="14"/>
                <w:lang w:val="en-US"/>
              </w:rPr>
              <w:t>-27.498964</w:t>
            </w:r>
          </w:p>
        </w:tc>
        <w:tc>
          <w:tcPr>
            <w:tcW w:w="998" w:type="dxa"/>
            <w:noWrap/>
            <w:vAlign w:val="center"/>
            <w:hideMark/>
          </w:tcPr>
          <w:p w14:paraId="21BAD999" w14:textId="77777777" w:rsidR="00F3536C" w:rsidRPr="00A4272B" w:rsidRDefault="00F3536C" w:rsidP="00A41632">
            <w:pPr>
              <w:jc w:val="right"/>
              <w:rPr>
                <w:color w:val="000000"/>
                <w:sz w:val="14"/>
                <w:szCs w:val="14"/>
                <w:lang w:val="en-US"/>
              </w:rPr>
            </w:pPr>
            <w:r w:rsidRPr="00A4272B">
              <w:rPr>
                <w:color w:val="000000"/>
                <w:sz w:val="14"/>
                <w:szCs w:val="14"/>
                <w:lang w:val="en-US"/>
              </w:rPr>
              <w:t>153.036683</w:t>
            </w:r>
          </w:p>
        </w:tc>
        <w:tc>
          <w:tcPr>
            <w:tcW w:w="859" w:type="dxa"/>
            <w:tcBorders>
              <w:top w:val="nil"/>
              <w:left w:val="nil"/>
              <w:bottom w:val="nil"/>
              <w:right w:val="single" w:sz="8" w:space="0" w:color="auto"/>
            </w:tcBorders>
            <w:noWrap/>
            <w:vAlign w:val="center"/>
            <w:hideMark/>
          </w:tcPr>
          <w:p w14:paraId="183A8C77" w14:textId="77777777" w:rsidR="00F3536C" w:rsidRPr="00A4272B" w:rsidRDefault="00F3536C" w:rsidP="00A41632">
            <w:pPr>
              <w:jc w:val="center"/>
              <w:rPr>
                <w:color w:val="000000"/>
                <w:sz w:val="14"/>
                <w:szCs w:val="14"/>
                <w:lang w:val="en-US"/>
              </w:rPr>
            </w:pPr>
            <w:r w:rsidRPr="00A4272B">
              <w:rPr>
                <w:color w:val="000000"/>
                <w:sz w:val="14"/>
                <w:szCs w:val="14"/>
                <w:lang w:val="en-US"/>
              </w:rPr>
              <w:t>20</w:t>
            </w:r>
          </w:p>
        </w:tc>
        <w:tc>
          <w:tcPr>
            <w:tcW w:w="792" w:type="dxa"/>
            <w:noWrap/>
            <w:vAlign w:val="center"/>
            <w:hideMark/>
          </w:tcPr>
          <w:p w14:paraId="192B687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152FEF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80BEE8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CCA454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6D069E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47C2DE5"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47143543" w14:textId="77777777" w:rsidTr="00A41632">
        <w:trPr>
          <w:trHeight w:val="276"/>
          <w:jc w:val="center"/>
        </w:trPr>
        <w:tc>
          <w:tcPr>
            <w:tcW w:w="955" w:type="dxa"/>
            <w:tcBorders>
              <w:top w:val="nil"/>
              <w:left w:val="single" w:sz="8" w:space="0" w:color="auto"/>
              <w:bottom w:val="nil"/>
              <w:right w:val="nil"/>
            </w:tcBorders>
            <w:noWrap/>
            <w:vAlign w:val="center"/>
            <w:hideMark/>
          </w:tcPr>
          <w:p w14:paraId="4F231168"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0F5FB44D"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594A891" w14:textId="77777777" w:rsidR="00F3536C" w:rsidRPr="00A4272B" w:rsidRDefault="00F3536C" w:rsidP="00A41632">
            <w:pPr>
              <w:rPr>
                <w:color w:val="000000"/>
                <w:sz w:val="14"/>
                <w:szCs w:val="14"/>
                <w:lang w:val="en-US"/>
              </w:rPr>
            </w:pPr>
            <w:r w:rsidRPr="00A4272B">
              <w:rPr>
                <w:color w:val="000000"/>
                <w:sz w:val="14"/>
                <w:szCs w:val="14"/>
                <w:lang w:val="en-US"/>
              </w:rPr>
              <w:t>Burdekin, QLD</w:t>
            </w:r>
          </w:p>
        </w:tc>
        <w:tc>
          <w:tcPr>
            <w:tcW w:w="998" w:type="dxa"/>
            <w:noWrap/>
            <w:vAlign w:val="center"/>
            <w:hideMark/>
          </w:tcPr>
          <w:p w14:paraId="13139E2B" w14:textId="77777777" w:rsidR="00F3536C" w:rsidRPr="00A4272B" w:rsidRDefault="00F3536C" w:rsidP="00A41632">
            <w:pPr>
              <w:jc w:val="center"/>
              <w:rPr>
                <w:color w:val="000000"/>
                <w:sz w:val="14"/>
                <w:szCs w:val="14"/>
                <w:lang w:val="en-US"/>
              </w:rPr>
            </w:pPr>
            <w:r w:rsidRPr="00A4272B">
              <w:rPr>
                <w:color w:val="000000"/>
                <w:sz w:val="14"/>
                <w:szCs w:val="14"/>
                <w:lang w:val="en-US"/>
              </w:rPr>
              <w:t>BUR</w:t>
            </w:r>
          </w:p>
        </w:tc>
        <w:tc>
          <w:tcPr>
            <w:tcW w:w="1342" w:type="dxa"/>
            <w:noWrap/>
            <w:vAlign w:val="center"/>
            <w:hideMark/>
          </w:tcPr>
          <w:p w14:paraId="72A782C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F50FE1D" w14:textId="77777777" w:rsidR="00F3536C" w:rsidRPr="00A4272B" w:rsidRDefault="00F3536C" w:rsidP="00A41632">
            <w:pPr>
              <w:jc w:val="right"/>
              <w:rPr>
                <w:color w:val="000000"/>
                <w:sz w:val="14"/>
                <w:szCs w:val="14"/>
                <w:lang w:val="en-US"/>
              </w:rPr>
            </w:pPr>
            <w:r w:rsidRPr="00A4272B">
              <w:rPr>
                <w:color w:val="000000"/>
                <w:sz w:val="14"/>
                <w:szCs w:val="14"/>
                <w:lang w:val="en-US"/>
              </w:rPr>
              <w:t>-19.570755</w:t>
            </w:r>
          </w:p>
        </w:tc>
        <w:tc>
          <w:tcPr>
            <w:tcW w:w="998" w:type="dxa"/>
            <w:noWrap/>
            <w:vAlign w:val="center"/>
            <w:hideMark/>
          </w:tcPr>
          <w:p w14:paraId="01314EB8" w14:textId="77777777" w:rsidR="00F3536C" w:rsidRPr="00A4272B" w:rsidRDefault="00F3536C" w:rsidP="00A41632">
            <w:pPr>
              <w:jc w:val="right"/>
              <w:rPr>
                <w:color w:val="000000"/>
                <w:sz w:val="14"/>
                <w:szCs w:val="14"/>
                <w:lang w:val="en-US"/>
              </w:rPr>
            </w:pPr>
            <w:r w:rsidRPr="00A4272B">
              <w:rPr>
                <w:color w:val="000000"/>
                <w:sz w:val="14"/>
                <w:szCs w:val="14"/>
                <w:lang w:val="en-US"/>
              </w:rPr>
              <w:t>147.323655</w:t>
            </w:r>
          </w:p>
        </w:tc>
        <w:tc>
          <w:tcPr>
            <w:tcW w:w="859" w:type="dxa"/>
            <w:tcBorders>
              <w:top w:val="nil"/>
              <w:left w:val="nil"/>
              <w:bottom w:val="nil"/>
              <w:right w:val="single" w:sz="8" w:space="0" w:color="auto"/>
            </w:tcBorders>
            <w:noWrap/>
            <w:vAlign w:val="center"/>
            <w:hideMark/>
          </w:tcPr>
          <w:p w14:paraId="5BA59473" w14:textId="77777777" w:rsidR="00F3536C" w:rsidRPr="00A4272B" w:rsidRDefault="00F3536C" w:rsidP="00A41632">
            <w:pPr>
              <w:jc w:val="center"/>
              <w:rPr>
                <w:color w:val="000000"/>
                <w:sz w:val="14"/>
                <w:szCs w:val="14"/>
                <w:lang w:val="en-US"/>
              </w:rPr>
            </w:pPr>
            <w:r w:rsidRPr="00A4272B">
              <w:rPr>
                <w:color w:val="000000"/>
                <w:sz w:val="14"/>
                <w:szCs w:val="14"/>
                <w:lang w:val="en-US"/>
              </w:rPr>
              <w:t>11</w:t>
            </w:r>
          </w:p>
        </w:tc>
        <w:tc>
          <w:tcPr>
            <w:tcW w:w="792" w:type="dxa"/>
            <w:noWrap/>
            <w:vAlign w:val="center"/>
            <w:hideMark/>
          </w:tcPr>
          <w:p w14:paraId="7A3CF50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F91703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98A403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7CDBF0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B26CCA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A8623B2"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1BEEEF64" w14:textId="77777777" w:rsidTr="00A41632">
        <w:trPr>
          <w:trHeight w:val="276"/>
          <w:jc w:val="center"/>
        </w:trPr>
        <w:tc>
          <w:tcPr>
            <w:tcW w:w="955" w:type="dxa"/>
            <w:tcBorders>
              <w:top w:val="nil"/>
              <w:left w:val="single" w:sz="8" w:space="0" w:color="auto"/>
              <w:bottom w:val="nil"/>
              <w:right w:val="nil"/>
            </w:tcBorders>
            <w:noWrap/>
            <w:vAlign w:val="center"/>
            <w:hideMark/>
          </w:tcPr>
          <w:p w14:paraId="6D4C1DC2"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1C1E943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C27C0E4" w14:textId="77777777" w:rsidR="00F3536C" w:rsidRPr="00A4272B" w:rsidRDefault="00F3536C" w:rsidP="00A41632">
            <w:pPr>
              <w:rPr>
                <w:color w:val="000000"/>
                <w:sz w:val="14"/>
                <w:szCs w:val="14"/>
                <w:lang w:val="en-US"/>
              </w:rPr>
            </w:pPr>
            <w:r w:rsidRPr="00A4272B">
              <w:rPr>
                <w:color w:val="000000"/>
                <w:sz w:val="14"/>
                <w:szCs w:val="14"/>
                <w:lang w:val="en-US"/>
              </w:rPr>
              <w:t>Cape Grim, TAS</w:t>
            </w:r>
          </w:p>
        </w:tc>
        <w:tc>
          <w:tcPr>
            <w:tcW w:w="998" w:type="dxa"/>
            <w:noWrap/>
            <w:vAlign w:val="center"/>
            <w:hideMark/>
          </w:tcPr>
          <w:p w14:paraId="7C1FC14B" w14:textId="77777777" w:rsidR="00F3536C" w:rsidRPr="00A4272B" w:rsidRDefault="00F3536C" w:rsidP="00A41632">
            <w:pPr>
              <w:jc w:val="center"/>
              <w:rPr>
                <w:color w:val="000000"/>
                <w:sz w:val="14"/>
                <w:szCs w:val="14"/>
                <w:lang w:val="en-US"/>
              </w:rPr>
            </w:pPr>
            <w:r w:rsidRPr="00A4272B">
              <w:rPr>
                <w:color w:val="000000"/>
                <w:sz w:val="14"/>
                <w:szCs w:val="14"/>
                <w:lang w:val="en-US"/>
              </w:rPr>
              <w:t>CPG</w:t>
            </w:r>
          </w:p>
        </w:tc>
        <w:tc>
          <w:tcPr>
            <w:tcW w:w="1342" w:type="dxa"/>
            <w:noWrap/>
            <w:vAlign w:val="center"/>
            <w:hideMark/>
          </w:tcPr>
          <w:p w14:paraId="69474B9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F2C9921" w14:textId="77777777" w:rsidR="00F3536C" w:rsidRPr="00A4272B" w:rsidRDefault="00F3536C" w:rsidP="00A41632">
            <w:pPr>
              <w:jc w:val="right"/>
              <w:rPr>
                <w:color w:val="000000"/>
                <w:sz w:val="14"/>
                <w:szCs w:val="14"/>
                <w:lang w:val="en-US"/>
              </w:rPr>
            </w:pPr>
            <w:r w:rsidRPr="00A4272B">
              <w:rPr>
                <w:color w:val="000000"/>
                <w:sz w:val="14"/>
                <w:szCs w:val="14"/>
                <w:lang w:val="en-US"/>
              </w:rPr>
              <w:t>-40.682667</w:t>
            </w:r>
          </w:p>
        </w:tc>
        <w:tc>
          <w:tcPr>
            <w:tcW w:w="998" w:type="dxa"/>
            <w:noWrap/>
            <w:vAlign w:val="center"/>
            <w:hideMark/>
          </w:tcPr>
          <w:p w14:paraId="1CFB71B0" w14:textId="77777777" w:rsidR="00F3536C" w:rsidRPr="00A4272B" w:rsidRDefault="00F3536C" w:rsidP="00A41632">
            <w:pPr>
              <w:jc w:val="right"/>
              <w:rPr>
                <w:color w:val="000000"/>
                <w:sz w:val="14"/>
                <w:szCs w:val="14"/>
                <w:lang w:val="en-US"/>
              </w:rPr>
            </w:pPr>
            <w:r w:rsidRPr="00A4272B">
              <w:rPr>
                <w:color w:val="000000"/>
                <w:sz w:val="14"/>
                <w:szCs w:val="14"/>
                <w:lang w:val="en-US"/>
              </w:rPr>
              <w:t>144.689827</w:t>
            </w:r>
          </w:p>
        </w:tc>
        <w:tc>
          <w:tcPr>
            <w:tcW w:w="859" w:type="dxa"/>
            <w:tcBorders>
              <w:top w:val="nil"/>
              <w:left w:val="nil"/>
              <w:bottom w:val="nil"/>
              <w:right w:val="single" w:sz="8" w:space="0" w:color="auto"/>
            </w:tcBorders>
            <w:noWrap/>
            <w:vAlign w:val="center"/>
            <w:hideMark/>
          </w:tcPr>
          <w:p w14:paraId="75453996" w14:textId="77777777" w:rsidR="00F3536C" w:rsidRPr="00A4272B" w:rsidRDefault="00F3536C" w:rsidP="00A41632">
            <w:pPr>
              <w:jc w:val="center"/>
              <w:rPr>
                <w:color w:val="000000"/>
                <w:sz w:val="14"/>
                <w:szCs w:val="14"/>
                <w:lang w:val="en-US"/>
              </w:rPr>
            </w:pPr>
            <w:r w:rsidRPr="00A4272B">
              <w:rPr>
                <w:color w:val="000000"/>
                <w:sz w:val="14"/>
                <w:szCs w:val="14"/>
                <w:lang w:val="en-US"/>
              </w:rPr>
              <w:t>85</w:t>
            </w:r>
          </w:p>
        </w:tc>
        <w:tc>
          <w:tcPr>
            <w:tcW w:w="792" w:type="dxa"/>
            <w:noWrap/>
            <w:vAlign w:val="center"/>
            <w:hideMark/>
          </w:tcPr>
          <w:p w14:paraId="7BBF28B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F8A3D83"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566B19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FB8CAF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F4E89D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30BEF7A"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02B35FA3" w14:textId="77777777" w:rsidTr="00A41632">
        <w:trPr>
          <w:trHeight w:val="276"/>
          <w:jc w:val="center"/>
        </w:trPr>
        <w:tc>
          <w:tcPr>
            <w:tcW w:w="955" w:type="dxa"/>
            <w:tcBorders>
              <w:top w:val="nil"/>
              <w:left w:val="single" w:sz="8" w:space="0" w:color="auto"/>
              <w:bottom w:val="nil"/>
              <w:right w:val="nil"/>
            </w:tcBorders>
            <w:noWrap/>
            <w:vAlign w:val="center"/>
            <w:hideMark/>
          </w:tcPr>
          <w:p w14:paraId="3862A186"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ADB757C"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1036EDCB" w14:textId="77777777" w:rsidR="00F3536C" w:rsidRPr="00A4272B" w:rsidRDefault="00F3536C" w:rsidP="00A41632">
            <w:pPr>
              <w:rPr>
                <w:color w:val="000000"/>
                <w:sz w:val="14"/>
                <w:szCs w:val="14"/>
                <w:lang w:val="en-US"/>
              </w:rPr>
            </w:pPr>
            <w:r w:rsidRPr="00A4272B">
              <w:rPr>
                <w:color w:val="000000"/>
                <w:sz w:val="14"/>
                <w:szCs w:val="14"/>
                <w:lang w:val="en-US"/>
              </w:rPr>
              <w:t>Condamine - Brookstead, QLD</w:t>
            </w:r>
          </w:p>
        </w:tc>
        <w:tc>
          <w:tcPr>
            <w:tcW w:w="998" w:type="dxa"/>
            <w:noWrap/>
            <w:vAlign w:val="center"/>
            <w:hideMark/>
          </w:tcPr>
          <w:p w14:paraId="264D2CC2" w14:textId="77777777" w:rsidR="00F3536C" w:rsidRPr="00A4272B" w:rsidRDefault="00F3536C" w:rsidP="00A41632">
            <w:pPr>
              <w:jc w:val="center"/>
              <w:rPr>
                <w:color w:val="000000"/>
                <w:sz w:val="14"/>
                <w:szCs w:val="14"/>
                <w:lang w:val="en-US"/>
              </w:rPr>
            </w:pPr>
            <w:r w:rsidRPr="00A4272B">
              <w:rPr>
                <w:color w:val="000000"/>
                <w:sz w:val="14"/>
                <w:szCs w:val="14"/>
                <w:lang w:val="en-US"/>
              </w:rPr>
              <w:t>CON</w:t>
            </w:r>
          </w:p>
        </w:tc>
        <w:tc>
          <w:tcPr>
            <w:tcW w:w="1342" w:type="dxa"/>
            <w:noWrap/>
            <w:vAlign w:val="center"/>
            <w:hideMark/>
          </w:tcPr>
          <w:p w14:paraId="79BAE82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2697D5C" w14:textId="77777777" w:rsidR="00F3536C" w:rsidRPr="00A4272B" w:rsidRDefault="00F3536C" w:rsidP="00A41632">
            <w:pPr>
              <w:jc w:val="right"/>
              <w:rPr>
                <w:color w:val="000000"/>
                <w:sz w:val="14"/>
                <w:szCs w:val="14"/>
                <w:lang w:val="en-US"/>
              </w:rPr>
            </w:pPr>
            <w:r w:rsidRPr="00A4272B">
              <w:rPr>
                <w:color w:val="000000"/>
                <w:sz w:val="14"/>
                <w:szCs w:val="14"/>
                <w:lang w:val="en-US"/>
              </w:rPr>
              <w:t>-27.785975</w:t>
            </w:r>
          </w:p>
        </w:tc>
        <w:tc>
          <w:tcPr>
            <w:tcW w:w="998" w:type="dxa"/>
            <w:noWrap/>
            <w:vAlign w:val="center"/>
            <w:hideMark/>
          </w:tcPr>
          <w:p w14:paraId="73FAEDB0" w14:textId="77777777" w:rsidR="00F3536C" w:rsidRPr="00A4272B" w:rsidRDefault="00F3536C" w:rsidP="00A41632">
            <w:pPr>
              <w:jc w:val="right"/>
              <w:rPr>
                <w:color w:val="000000"/>
                <w:sz w:val="14"/>
                <w:szCs w:val="14"/>
                <w:lang w:val="en-US"/>
              </w:rPr>
            </w:pPr>
            <w:r w:rsidRPr="00A4272B">
              <w:rPr>
                <w:color w:val="000000"/>
                <w:sz w:val="14"/>
                <w:szCs w:val="14"/>
                <w:lang w:val="en-US"/>
              </w:rPr>
              <w:t>151.427762</w:t>
            </w:r>
          </w:p>
        </w:tc>
        <w:tc>
          <w:tcPr>
            <w:tcW w:w="859" w:type="dxa"/>
            <w:tcBorders>
              <w:top w:val="nil"/>
              <w:left w:val="nil"/>
              <w:bottom w:val="nil"/>
              <w:right w:val="single" w:sz="8" w:space="0" w:color="auto"/>
            </w:tcBorders>
            <w:noWrap/>
            <w:vAlign w:val="center"/>
            <w:hideMark/>
          </w:tcPr>
          <w:p w14:paraId="7C7D6CC6" w14:textId="77777777" w:rsidR="00F3536C" w:rsidRPr="00A4272B" w:rsidRDefault="00F3536C" w:rsidP="00A41632">
            <w:pPr>
              <w:jc w:val="center"/>
              <w:rPr>
                <w:color w:val="000000"/>
                <w:sz w:val="14"/>
                <w:szCs w:val="14"/>
                <w:lang w:val="en-US"/>
              </w:rPr>
            </w:pPr>
            <w:r w:rsidRPr="00A4272B">
              <w:rPr>
                <w:color w:val="000000"/>
                <w:sz w:val="14"/>
                <w:szCs w:val="14"/>
                <w:lang w:val="en-US"/>
              </w:rPr>
              <w:t>381</w:t>
            </w:r>
          </w:p>
        </w:tc>
        <w:tc>
          <w:tcPr>
            <w:tcW w:w="792" w:type="dxa"/>
            <w:noWrap/>
            <w:vAlign w:val="center"/>
            <w:hideMark/>
          </w:tcPr>
          <w:p w14:paraId="72C2E13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947BDFF"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050BB9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438CB6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1DED49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C8EF0A9"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32CE18DE" w14:textId="77777777" w:rsidTr="00A41632">
        <w:trPr>
          <w:trHeight w:val="276"/>
          <w:jc w:val="center"/>
        </w:trPr>
        <w:tc>
          <w:tcPr>
            <w:tcW w:w="955" w:type="dxa"/>
            <w:tcBorders>
              <w:top w:val="nil"/>
              <w:left w:val="single" w:sz="8" w:space="0" w:color="auto"/>
              <w:bottom w:val="nil"/>
              <w:right w:val="nil"/>
            </w:tcBorders>
            <w:noWrap/>
            <w:vAlign w:val="center"/>
            <w:hideMark/>
          </w:tcPr>
          <w:p w14:paraId="36689455"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650F497C"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16830B44" w14:textId="77777777" w:rsidR="00F3536C" w:rsidRPr="00A4272B" w:rsidRDefault="00F3536C" w:rsidP="00A41632">
            <w:pPr>
              <w:rPr>
                <w:color w:val="000000"/>
                <w:sz w:val="14"/>
                <w:szCs w:val="14"/>
                <w:lang w:val="en-US"/>
              </w:rPr>
            </w:pPr>
            <w:r w:rsidRPr="00A4272B">
              <w:rPr>
                <w:color w:val="000000"/>
                <w:sz w:val="14"/>
                <w:szCs w:val="14"/>
                <w:lang w:val="en-US"/>
              </w:rPr>
              <w:t>Condamine - Dalby, QLD</w:t>
            </w:r>
          </w:p>
        </w:tc>
        <w:tc>
          <w:tcPr>
            <w:tcW w:w="998" w:type="dxa"/>
            <w:noWrap/>
            <w:vAlign w:val="center"/>
            <w:hideMark/>
          </w:tcPr>
          <w:p w14:paraId="3C53F4CA" w14:textId="77777777" w:rsidR="00F3536C" w:rsidRPr="00A4272B" w:rsidRDefault="00F3536C" w:rsidP="00A41632">
            <w:pPr>
              <w:jc w:val="center"/>
              <w:rPr>
                <w:color w:val="000000"/>
                <w:sz w:val="14"/>
                <w:szCs w:val="14"/>
                <w:lang w:val="en-US"/>
              </w:rPr>
            </w:pPr>
            <w:r w:rsidRPr="00A4272B">
              <w:rPr>
                <w:color w:val="000000"/>
                <w:sz w:val="14"/>
                <w:szCs w:val="14"/>
                <w:lang w:val="en-US"/>
              </w:rPr>
              <w:t>CON</w:t>
            </w:r>
          </w:p>
        </w:tc>
        <w:tc>
          <w:tcPr>
            <w:tcW w:w="1342" w:type="dxa"/>
            <w:noWrap/>
            <w:vAlign w:val="center"/>
            <w:hideMark/>
          </w:tcPr>
          <w:p w14:paraId="7BE2AEF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260164C" w14:textId="77777777" w:rsidR="00F3536C" w:rsidRPr="00A4272B" w:rsidRDefault="00F3536C" w:rsidP="00A41632">
            <w:pPr>
              <w:jc w:val="right"/>
              <w:rPr>
                <w:color w:val="000000"/>
                <w:sz w:val="14"/>
                <w:szCs w:val="14"/>
                <w:lang w:val="en-US"/>
              </w:rPr>
            </w:pPr>
            <w:r w:rsidRPr="00A4272B">
              <w:rPr>
                <w:color w:val="000000"/>
                <w:sz w:val="14"/>
                <w:szCs w:val="14"/>
                <w:lang w:val="en-US"/>
              </w:rPr>
              <w:t>-27.149695</w:t>
            </w:r>
          </w:p>
        </w:tc>
        <w:tc>
          <w:tcPr>
            <w:tcW w:w="998" w:type="dxa"/>
            <w:noWrap/>
            <w:vAlign w:val="center"/>
            <w:hideMark/>
          </w:tcPr>
          <w:p w14:paraId="7B443B25" w14:textId="77777777" w:rsidR="00F3536C" w:rsidRPr="00A4272B" w:rsidRDefault="00F3536C" w:rsidP="00A41632">
            <w:pPr>
              <w:jc w:val="right"/>
              <w:rPr>
                <w:color w:val="000000"/>
                <w:sz w:val="14"/>
                <w:szCs w:val="14"/>
                <w:lang w:val="en-US"/>
              </w:rPr>
            </w:pPr>
            <w:r w:rsidRPr="00A4272B">
              <w:rPr>
                <w:color w:val="000000"/>
                <w:sz w:val="14"/>
                <w:szCs w:val="14"/>
                <w:lang w:val="en-US"/>
              </w:rPr>
              <w:t>151.273949</w:t>
            </w:r>
          </w:p>
        </w:tc>
        <w:tc>
          <w:tcPr>
            <w:tcW w:w="859" w:type="dxa"/>
            <w:tcBorders>
              <w:top w:val="nil"/>
              <w:left w:val="nil"/>
              <w:bottom w:val="nil"/>
              <w:right w:val="single" w:sz="8" w:space="0" w:color="auto"/>
            </w:tcBorders>
            <w:noWrap/>
            <w:vAlign w:val="center"/>
            <w:hideMark/>
          </w:tcPr>
          <w:p w14:paraId="039DFCF8" w14:textId="77777777" w:rsidR="00F3536C" w:rsidRPr="00A4272B" w:rsidRDefault="00F3536C" w:rsidP="00A41632">
            <w:pPr>
              <w:jc w:val="center"/>
              <w:rPr>
                <w:color w:val="000000"/>
                <w:sz w:val="14"/>
                <w:szCs w:val="14"/>
                <w:lang w:val="en-US"/>
              </w:rPr>
            </w:pPr>
            <w:r w:rsidRPr="00A4272B">
              <w:rPr>
                <w:color w:val="000000"/>
                <w:sz w:val="14"/>
                <w:szCs w:val="14"/>
                <w:lang w:val="en-US"/>
              </w:rPr>
              <w:t>348</w:t>
            </w:r>
          </w:p>
        </w:tc>
        <w:tc>
          <w:tcPr>
            <w:tcW w:w="792" w:type="dxa"/>
            <w:noWrap/>
            <w:vAlign w:val="center"/>
            <w:hideMark/>
          </w:tcPr>
          <w:p w14:paraId="5EFE79C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391BBC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8DD92E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759074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D77F49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DEF5CF7"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058C5E01" w14:textId="77777777" w:rsidTr="00A41632">
        <w:trPr>
          <w:trHeight w:val="276"/>
          <w:jc w:val="center"/>
        </w:trPr>
        <w:tc>
          <w:tcPr>
            <w:tcW w:w="955" w:type="dxa"/>
            <w:tcBorders>
              <w:top w:val="nil"/>
              <w:left w:val="single" w:sz="8" w:space="0" w:color="auto"/>
              <w:bottom w:val="nil"/>
              <w:right w:val="nil"/>
            </w:tcBorders>
            <w:noWrap/>
            <w:vAlign w:val="center"/>
            <w:hideMark/>
          </w:tcPr>
          <w:p w14:paraId="279CCBC6"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45423D93"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194117A8" w14:textId="77777777" w:rsidR="00F3536C" w:rsidRPr="00A4272B" w:rsidRDefault="00F3536C" w:rsidP="00A41632">
            <w:pPr>
              <w:rPr>
                <w:color w:val="000000"/>
                <w:sz w:val="14"/>
                <w:szCs w:val="14"/>
                <w:lang w:val="en-US"/>
              </w:rPr>
            </w:pPr>
            <w:r w:rsidRPr="00A4272B">
              <w:rPr>
                <w:color w:val="000000"/>
                <w:sz w:val="14"/>
                <w:szCs w:val="14"/>
                <w:lang w:val="en-US"/>
              </w:rPr>
              <w:t>Condamine - Toowoomba, QLD</w:t>
            </w:r>
          </w:p>
        </w:tc>
        <w:tc>
          <w:tcPr>
            <w:tcW w:w="998" w:type="dxa"/>
            <w:noWrap/>
            <w:vAlign w:val="center"/>
            <w:hideMark/>
          </w:tcPr>
          <w:p w14:paraId="7135470B" w14:textId="77777777" w:rsidR="00F3536C" w:rsidRPr="00A4272B" w:rsidRDefault="00F3536C" w:rsidP="00A41632">
            <w:pPr>
              <w:jc w:val="center"/>
              <w:rPr>
                <w:color w:val="000000"/>
                <w:sz w:val="14"/>
                <w:szCs w:val="14"/>
                <w:lang w:val="en-US"/>
              </w:rPr>
            </w:pPr>
            <w:r w:rsidRPr="00A4272B">
              <w:rPr>
                <w:color w:val="000000"/>
                <w:sz w:val="14"/>
                <w:szCs w:val="14"/>
                <w:lang w:val="en-US"/>
              </w:rPr>
              <w:t>CON</w:t>
            </w:r>
          </w:p>
        </w:tc>
        <w:tc>
          <w:tcPr>
            <w:tcW w:w="1342" w:type="dxa"/>
            <w:noWrap/>
            <w:vAlign w:val="center"/>
            <w:hideMark/>
          </w:tcPr>
          <w:p w14:paraId="23F367F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BE8F31B" w14:textId="77777777" w:rsidR="00F3536C" w:rsidRPr="00A4272B" w:rsidRDefault="00F3536C" w:rsidP="00A41632">
            <w:pPr>
              <w:jc w:val="right"/>
              <w:rPr>
                <w:color w:val="000000"/>
                <w:sz w:val="14"/>
                <w:szCs w:val="14"/>
                <w:lang w:val="en-US"/>
              </w:rPr>
            </w:pPr>
            <w:r w:rsidRPr="00A4272B">
              <w:rPr>
                <w:color w:val="000000"/>
                <w:sz w:val="14"/>
                <w:szCs w:val="14"/>
                <w:lang w:val="en-US"/>
              </w:rPr>
              <w:t>-27.534962</w:t>
            </w:r>
          </w:p>
        </w:tc>
        <w:tc>
          <w:tcPr>
            <w:tcW w:w="998" w:type="dxa"/>
            <w:noWrap/>
            <w:vAlign w:val="center"/>
            <w:hideMark/>
          </w:tcPr>
          <w:p w14:paraId="42C3345E" w14:textId="77777777" w:rsidR="00F3536C" w:rsidRPr="00A4272B" w:rsidRDefault="00F3536C" w:rsidP="00A41632">
            <w:pPr>
              <w:jc w:val="right"/>
              <w:rPr>
                <w:color w:val="000000"/>
                <w:sz w:val="14"/>
                <w:szCs w:val="14"/>
                <w:lang w:val="en-US"/>
              </w:rPr>
            </w:pPr>
            <w:r w:rsidRPr="00A4272B">
              <w:rPr>
                <w:color w:val="000000"/>
                <w:sz w:val="14"/>
                <w:szCs w:val="14"/>
                <w:lang w:val="en-US"/>
              </w:rPr>
              <w:t>151.929945</w:t>
            </w:r>
          </w:p>
        </w:tc>
        <w:tc>
          <w:tcPr>
            <w:tcW w:w="859" w:type="dxa"/>
            <w:tcBorders>
              <w:top w:val="nil"/>
              <w:left w:val="nil"/>
              <w:bottom w:val="nil"/>
              <w:right w:val="single" w:sz="8" w:space="0" w:color="auto"/>
            </w:tcBorders>
            <w:noWrap/>
            <w:vAlign w:val="center"/>
            <w:hideMark/>
          </w:tcPr>
          <w:p w14:paraId="55BCC0A8" w14:textId="77777777" w:rsidR="00F3536C" w:rsidRPr="00A4272B" w:rsidRDefault="00F3536C" w:rsidP="00A41632">
            <w:pPr>
              <w:jc w:val="center"/>
              <w:rPr>
                <w:color w:val="000000"/>
                <w:sz w:val="14"/>
                <w:szCs w:val="14"/>
                <w:lang w:val="en-US"/>
              </w:rPr>
            </w:pPr>
            <w:r w:rsidRPr="00A4272B">
              <w:rPr>
                <w:color w:val="000000"/>
                <w:sz w:val="14"/>
                <w:szCs w:val="14"/>
                <w:lang w:val="en-US"/>
              </w:rPr>
              <w:t>647</w:t>
            </w:r>
          </w:p>
        </w:tc>
        <w:tc>
          <w:tcPr>
            <w:tcW w:w="792" w:type="dxa"/>
            <w:noWrap/>
            <w:vAlign w:val="center"/>
            <w:hideMark/>
          </w:tcPr>
          <w:p w14:paraId="4537C3F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7650FB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B19333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0CF1E0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4C0945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B08A41B"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53711121" w14:textId="77777777" w:rsidTr="00A41632">
        <w:trPr>
          <w:trHeight w:val="276"/>
          <w:jc w:val="center"/>
        </w:trPr>
        <w:tc>
          <w:tcPr>
            <w:tcW w:w="955" w:type="dxa"/>
            <w:tcBorders>
              <w:top w:val="nil"/>
              <w:left w:val="single" w:sz="8" w:space="0" w:color="auto"/>
              <w:bottom w:val="nil"/>
              <w:right w:val="nil"/>
            </w:tcBorders>
            <w:noWrap/>
            <w:vAlign w:val="center"/>
            <w:hideMark/>
          </w:tcPr>
          <w:p w14:paraId="74FEF6B2"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744AFC8D"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7BC7B105" w14:textId="77777777" w:rsidR="00F3536C" w:rsidRPr="00A4272B" w:rsidRDefault="00F3536C" w:rsidP="00A41632">
            <w:pPr>
              <w:rPr>
                <w:color w:val="000000"/>
                <w:sz w:val="14"/>
                <w:szCs w:val="14"/>
                <w:lang w:val="en-US"/>
              </w:rPr>
            </w:pPr>
            <w:r w:rsidRPr="00A4272B">
              <w:rPr>
                <w:color w:val="000000"/>
                <w:sz w:val="14"/>
                <w:szCs w:val="14"/>
                <w:lang w:val="en-US"/>
              </w:rPr>
              <w:t>Condamine - Warwick, QLD</w:t>
            </w:r>
          </w:p>
        </w:tc>
        <w:tc>
          <w:tcPr>
            <w:tcW w:w="998" w:type="dxa"/>
            <w:noWrap/>
            <w:vAlign w:val="center"/>
            <w:hideMark/>
          </w:tcPr>
          <w:p w14:paraId="36DEFA23" w14:textId="77777777" w:rsidR="00F3536C" w:rsidRPr="00A4272B" w:rsidRDefault="00F3536C" w:rsidP="00A41632">
            <w:pPr>
              <w:jc w:val="center"/>
              <w:rPr>
                <w:color w:val="000000"/>
                <w:sz w:val="14"/>
                <w:szCs w:val="14"/>
                <w:lang w:val="en-US"/>
              </w:rPr>
            </w:pPr>
            <w:r w:rsidRPr="00A4272B">
              <w:rPr>
                <w:color w:val="000000"/>
                <w:sz w:val="14"/>
                <w:szCs w:val="14"/>
                <w:lang w:val="en-US"/>
              </w:rPr>
              <w:t>CON</w:t>
            </w:r>
          </w:p>
        </w:tc>
        <w:tc>
          <w:tcPr>
            <w:tcW w:w="1342" w:type="dxa"/>
            <w:noWrap/>
            <w:vAlign w:val="center"/>
            <w:hideMark/>
          </w:tcPr>
          <w:p w14:paraId="232EEB2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A001A39" w14:textId="77777777" w:rsidR="00F3536C" w:rsidRPr="00A4272B" w:rsidRDefault="00F3536C" w:rsidP="00A41632">
            <w:pPr>
              <w:jc w:val="right"/>
              <w:rPr>
                <w:color w:val="000000"/>
                <w:sz w:val="14"/>
                <w:szCs w:val="14"/>
                <w:lang w:val="en-US"/>
              </w:rPr>
            </w:pPr>
            <w:r w:rsidRPr="00A4272B">
              <w:rPr>
                <w:color w:val="000000"/>
                <w:sz w:val="14"/>
                <w:szCs w:val="14"/>
                <w:lang w:val="en-US"/>
              </w:rPr>
              <w:t>-28.206043</w:t>
            </w:r>
          </w:p>
        </w:tc>
        <w:tc>
          <w:tcPr>
            <w:tcW w:w="998" w:type="dxa"/>
            <w:noWrap/>
            <w:vAlign w:val="center"/>
            <w:hideMark/>
          </w:tcPr>
          <w:p w14:paraId="50FADB7E" w14:textId="77777777" w:rsidR="00F3536C" w:rsidRPr="00A4272B" w:rsidRDefault="00F3536C" w:rsidP="00A41632">
            <w:pPr>
              <w:jc w:val="right"/>
              <w:rPr>
                <w:color w:val="000000"/>
                <w:sz w:val="14"/>
                <w:szCs w:val="14"/>
                <w:lang w:val="en-US"/>
              </w:rPr>
            </w:pPr>
            <w:r w:rsidRPr="00A4272B">
              <w:rPr>
                <w:color w:val="000000"/>
                <w:sz w:val="14"/>
                <w:szCs w:val="14"/>
                <w:lang w:val="en-US"/>
              </w:rPr>
              <w:t>152.100084</w:t>
            </w:r>
          </w:p>
        </w:tc>
        <w:tc>
          <w:tcPr>
            <w:tcW w:w="859" w:type="dxa"/>
            <w:tcBorders>
              <w:top w:val="nil"/>
              <w:left w:val="nil"/>
              <w:bottom w:val="nil"/>
              <w:right w:val="single" w:sz="8" w:space="0" w:color="auto"/>
            </w:tcBorders>
            <w:noWrap/>
            <w:vAlign w:val="center"/>
            <w:hideMark/>
          </w:tcPr>
          <w:p w14:paraId="42C341FF" w14:textId="77777777" w:rsidR="00F3536C" w:rsidRPr="00A4272B" w:rsidRDefault="00F3536C" w:rsidP="00A41632">
            <w:pPr>
              <w:jc w:val="center"/>
              <w:rPr>
                <w:color w:val="000000"/>
                <w:sz w:val="14"/>
                <w:szCs w:val="14"/>
                <w:lang w:val="en-US"/>
              </w:rPr>
            </w:pPr>
            <w:r w:rsidRPr="00A4272B">
              <w:rPr>
                <w:color w:val="000000"/>
                <w:sz w:val="14"/>
                <w:szCs w:val="14"/>
                <w:lang w:val="en-US"/>
              </w:rPr>
              <w:t>480</w:t>
            </w:r>
          </w:p>
        </w:tc>
        <w:tc>
          <w:tcPr>
            <w:tcW w:w="792" w:type="dxa"/>
            <w:noWrap/>
            <w:vAlign w:val="center"/>
            <w:hideMark/>
          </w:tcPr>
          <w:p w14:paraId="57C7A99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1C179B8"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667515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4A8A47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4B9461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2C38FD0"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98EEA9D" w14:textId="77777777" w:rsidTr="00A41632">
        <w:trPr>
          <w:trHeight w:val="276"/>
          <w:jc w:val="center"/>
        </w:trPr>
        <w:tc>
          <w:tcPr>
            <w:tcW w:w="955" w:type="dxa"/>
            <w:tcBorders>
              <w:top w:val="nil"/>
              <w:left w:val="single" w:sz="8" w:space="0" w:color="auto"/>
              <w:bottom w:val="nil"/>
              <w:right w:val="nil"/>
            </w:tcBorders>
            <w:noWrap/>
            <w:vAlign w:val="center"/>
            <w:hideMark/>
          </w:tcPr>
          <w:p w14:paraId="33AAEE7D"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F8C008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78FD5A6A" w14:textId="77777777" w:rsidR="00F3536C" w:rsidRPr="00A4272B" w:rsidRDefault="00F3536C" w:rsidP="00A41632">
            <w:pPr>
              <w:rPr>
                <w:color w:val="000000"/>
                <w:sz w:val="14"/>
                <w:szCs w:val="14"/>
                <w:lang w:val="en-US"/>
              </w:rPr>
            </w:pPr>
            <w:r w:rsidRPr="00A4272B">
              <w:rPr>
                <w:color w:val="000000"/>
                <w:sz w:val="14"/>
                <w:szCs w:val="14"/>
                <w:lang w:val="en-US"/>
              </w:rPr>
              <w:t>Darwin, NT</w:t>
            </w:r>
          </w:p>
        </w:tc>
        <w:tc>
          <w:tcPr>
            <w:tcW w:w="998" w:type="dxa"/>
            <w:noWrap/>
            <w:vAlign w:val="center"/>
            <w:hideMark/>
          </w:tcPr>
          <w:p w14:paraId="2A827BC3" w14:textId="77777777" w:rsidR="00F3536C" w:rsidRPr="00A4272B" w:rsidRDefault="00F3536C" w:rsidP="00A41632">
            <w:pPr>
              <w:jc w:val="center"/>
              <w:rPr>
                <w:color w:val="000000"/>
                <w:sz w:val="14"/>
                <w:szCs w:val="14"/>
                <w:lang w:val="en-US"/>
              </w:rPr>
            </w:pPr>
            <w:r w:rsidRPr="00A4272B">
              <w:rPr>
                <w:color w:val="000000"/>
                <w:sz w:val="14"/>
                <w:szCs w:val="14"/>
                <w:lang w:val="en-US"/>
              </w:rPr>
              <w:t>DAR</w:t>
            </w:r>
          </w:p>
        </w:tc>
        <w:tc>
          <w:tcPr>
            <w:tcW w:w="1342" w:type="dxa"/>
            <w:noWrap/>
            <w:vAlign w:val="center"/>
            <w:hideMark/>
          </w:tcPr>
          <w:p w14:paraId="6AD2A70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E5DAFED" w14:textId="77777777" w:rsidR="00F3536C" w:rsidRPr="00A4272B" w:rsidRDefault="00F3536C" w:rsidP="00A41632">
            <w:pPr>
              <w:jc w:val="right"/>
              <w:rPr>
                <w:color w:val="000000"/>
                <w:sz w:val="14"/>
                <w:szCs w:val="14"/>
                <w:lang w:val="en-US"/>
              </w:rPr>
            </w:pPr>
            <w:r w:rsidRPr="00A4272B">
              <w:rPr>
                <w:color w:val="000000"/>
                <w:sz w:val="14"/>
                <w:szCs w:val="14"/>
                <w:lang w:val="en-US"/>
              </w:rPr>
              <w:t>-12.412600</w:t>
            </w:r>
          </w:p>
        </w:tc>
        <w:tc>
          <w:tcPr>
            <w:tcW w:w="998" w:type="dxa"/>
            <w:noWrap/>
            <w:vAlign w:val="center"/>
            <w:hideMark/>
          </w:tcPr>
          <w:p w14:paraId="5B32D390" w14:textId="77777777" w:rsidR="00F3536C" w:rsidRPr="00A4272B" w:rsidRDefault="00F3536C" w:rsidP="00A41632">
            <w:pPr>
              <w:jc w:val="right"/>
              <w:rPr>
                <w:color w:val="000000"/>
                <w:sz w:val="14"/>
                <w:szCs w:val="14"/>
                <w:lang w:val="en-US"/>
              </w:rPr>
            </w:pPr>
            <w:r w:rsidRPr="00A4272B">
              <w:rPr>
                <w:color w:val="000000"/>
                <w:sz w:val="14"/>
                <w:szCs w:val="14"/>
                <w:lang w:val="en-US"/>
              </w:rPr>
              <w:t>130.920200</w:t>
            </w:r>
          </w:p>
        </w:tc>
        <w:tc>
          <w:tcPr>
            <w:tcW w:w="859" w:type="dxa"/>
            <w:tcBorders>
              <w:top w:val="nil"/>
              <w:left w:val="nil"/>
              <w:bottom w:val="nil"/>
              <w:right w:val="single" w:sz="8" w:space="0" w:color="auto"/>
            </w:tcBorders>
            <w:noWrap/>
            <w:vAlign w:val="center"/>
            <w:hideMark/>
          </w:tcPr>
          <w:p w14:paraId="47EB2B8E" w14:textId="77777777" w:rsidR="00F3536C" w:rsidRPr="00A4272B" w:rsidRDefault="00F3536C" w:rsidP="00A41632">
            <w:pPr>
              <w:jc w:val="center"/>
              <w:rPr>
                <w:color w:val="000000"/>
                <w:sz w:val="14"/>
                <w:szCs w:val="14"/>
                <w:lang w:val="en-US"/>
              </w:rPr>
            </w:pPr>
            <w:r w:rsidRPr="00A4272B">
              <w:rPr>
                <w:color w:val="000000"/>
                <w:sz w:val="14"/>
                <w:szCs w:val="14"/>
                <w:lang w:val="en-US"/>
              </w:rPr>
              <w:t>43</w:t>
            </w:r>
          </w:p>
        </w:tc>
        <w:tc>
          <w:tcPr>
            <w:tcW w:w="792" w:type="dxa"/>
            <w:noWrap/>
            <w:vAlign w:val="center"/>
            <w:hideMark/>
          </w:tcPr>
          <w:p w14:paraId="23F2C42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35CA0CE"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0391C9F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AFECFD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C79532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577373E"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B42A4C9" w14:textId="77777777" w:rsidTr="00A41632">
        <w:trPr>
          <w:trHeight w:val="276"/>
          <w:jc w:val="center"/>
        </w:trPr>
        <w:tc>
          <w:tcPr>
            <w:tcW w:w="955" w:type="dxa"/>
            <w:tcBorders>
              <w:top w:val="nil"/>
              <w:left w:val="single" w:sz="8" w:space="0" w:color="auto"/>
              <w:bottom w:val="nil"/>
              <w:right w:val="nil"/>
            </w:tcBorders>
            <w:noWrap/>
            <w:vAlign w:val="center"/>
            <w:hideMark/>
          </w:tcPr>
          <w:p w14:paraId="0ACB5F82"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71BA2DE"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3A43F1AB" w14:textId="77777777" w:rsidR="00F3536C" w:rsidRPr="00A4272B" w:rsidRDefault="00F3536C" w:rsidP="00A41632">
            <w:pPr>
              <w:rPr>
                <w:color w:val="000000"/>
                <w:sz w:val="14"/>
                <w:szCs w:val="14"/>
                <w:lang w:val="en-US"/>
              </w:rPr>
            </w:pPr>
            <w:r w:rsidRPr="00A4272B">
              <w:rPr>
                <w:color w:val="000000"/>
                <w:sz w:val="14"/>
                <w:szCs w:val="14"/>
                <w:lang w:val="en-US"/>
              </w:rPr>
              <w:t>Dunk Island, QLD</w:t>
            </w:r>
          </w:p>
        </w:tc>
        <w:tc>
          <w:tcPr>
            <w:tcW w:w="998" w:type="dxa"/>
            <w:noWrap/>
            <w:vAlign w:val="center"/>
            <w:hideMark/>
          </w:tcPr>
          <w:p w14:paraId="5B9B10D9" w14:textId="77777777" w:rsidR="00F3536C" w:rsidRPr="00A4272B" w:rsidRDefault="00F3536C" w:rsidP="00A41632">
            <w:pPr>
              <w:jc w:val="center"/>
              <w:rPr>
                <w:color w:val="000000"/>
                <w:sz w:val="14"/>
                <w:szCs w:val="14"/>
                <w:lang w:val="en-US"/>
              </w:rPr>
            </w:pPr>
            <w:r w:rsidRPr="00A4272B">
              <w:rPr>
                <w:color w:val="000000"/>
                <w:sz w:val="14"/>
                <w:szCs w:val="14"/>
                <w:lang w:val="en-US"/>
              </w:rPr>
              <w:t>DUN</w:t>
            </w:r>
          </w:p>
        </w:tc>
        <w:tc>
          <w:tcPr>
            <w:tcW w:w="1342" w:type="dxa"/>
            <w:noWrap/>
            <w:vAlign w:val="center"/>
            <w:hideMark/>
          </w:tcPr>
          <w:p w14:paraId="66E24BF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2893B98" w14:textId="77777777" w:rsidR="00F3536C" w:rsidRPr="00A4272B" w:rsidRDefault="00F3536C" w:rsidP="00A41632">
            <w:pPr>
              <w:jc w:val="right"/>
              <w:rPr>
                <w:color w:val="000000"/>
                <w:sz w:val="14"/>
                <w:szCs w:val="14"/>
                <w:lang w:val="en-US"/>
              </w:rPr>
            </w:pPr>
            <w:r w:rsidRPr="00A4272B">
              <w:rPr>
                <w:color w:val="000000"/>
                <w:sz w:val="14"/>
                <w:szCs w:val="14"/>
                <w:lang w:val="en-US"/>
              </w:rPr>
              <w:t>-17.936431</w:t>
            </w:r>
          </w:p>
        </w:tc>
        <w:tc>
          <w:tcPr>
            <w:tcW w:w="998" w:type="dxa"/>
            <w:noWrap/>
            <w:vAlign w:val="center"/>
            <w:hideMark/>
          </w:tcPr>
          <w:p w14:paraId="35BFE92C" w14:textId="77777777" w:rsidR="00F3536C" w:rsidRPr="00A4272B" w:rsidRDefault="00F3536C" w:rsidP="00A41632">
            <w:pPr>
              <w:jc w:val="right"/>
              <w:rPr>
                <w:color w:val="000000"/>
                <w:sz w:val="14"/>
                <w:szCs w:val="14"/>
                <w:lang w:val="en-US"/>
              </w:rPr>
            </w:pPr>
            <w:r w:rsidRPr="00A4272B">
              <w:rPr>
                <w:color w:val="000000"/>
                <w:sz w:val="14"/>
                <w:szCs w:val="14"/>
                <w:lang w:val="en-US"/>
              </w:rPr>
              <w:t>146.137049</w:t>
            </w:r>
          </w:p>
        </w:tc>
        <w:tc>
          <w:tcPr>
            <w:tcW w:w="859" w:type="dxa"/>
            <w:tcBorders>
              <w:top w:val="nil"/>
              <w:left w:val="nil"/>
              <w:bottom w:val="nil"/>
              <w:right w:val="single" w:sz="8" w:space="0" w:color="auto"/>
            </w:tcBorders>
            <w:noWrap/>
            <w:vAlign w:val="center"/>
            <w:hideMark/>
          </w:tcPr>
          <w:p w14:paraId="1E61043E" w14:textId="77777777" w:rsidR="00F3536C" w:rsidRPr="00A4272B" w:rsidRDefault="00F3536C" w:rsidP="00A41632">
            <w:pPr>
              <w:jc w:val="center"/>
              <w:rPr>
                <w:color w:val="000000"/>
                <w:sz w:val="14"/>
                <w:szCs w:val="14"/>
                <w:lang w:val="en-US"/>
              </w:rPr>
            </w:pPr>
            <w:r w:rsidRPr="00A4272B">
              <w:rPr>
                <w:color w:val="000000"/>
                <w:sz w:val="14"/>
                <w:szCs w:val="14"/>
                <w:lang w:val="en-US"/>
              </w:rPr>
              <w:t>15</w:t>
            </w:r>
          </w:p>
        </w:tc>
        <w:tc>
          <w:tcPr>
            <w:tcW w:w="792" w:type="dxa"/>
            <w:noWrap/>
            <w:vAlign w:val="center"/>
            <w:hideMark/>
          </w:tcPr>
          <w:p w14:paraId="0AEC8E6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01FAAA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9E2D36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DD6327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D5A398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95E8C8C"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21E45D75" w14:textId="77777777" w:rsidTr="00A41632">
        <w:trPr>
          <w:trHeight w:val="276"/>
          <w:jc w:val="center"/>
        </w:trPr>
        <w:tc>
          <w:tcPr>
            <w:tcW w:w="955" w:type="dxa"/>
            <w:tcBorders>
              <w:top w:val="nil"/>
              <w:left w:val="single" w:sz="8" w:space="0" w:color="auto"/>
              <w:bottom w:val="nil"/>
              <w:right w:val="nil"/>
            </w:tcBorders>
            <w:noWrap/>
            <w:vAlign w:val="center"/>
            <w:hideMark/>
          </w:tcPr>
          <w:p w14:paraId="56B88943"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0076ABCE"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3A9B6DB" w14:textId="77777777" w:rsidR="00F3536C" w:rsidRPr="00A4272B" w:rsidRDefault="00F3536C" w:rsidP="00A41632">
            <w:pPr>
              <w:rPr>
                <w:color w:val="000000"/>
                <w:sz w:val="14"/>
                <w:szCs w:val="14"/>
                <w:lang w:val="en-US"/>
              </w:rPr>
            </w:pPr>
            <w:r w:rsidRPr="00A4272B">
              <w:rPr>
                <w:color w:val="000000"/>
                <w:sz w:val="14"/>
                <w:szCs w:val="14"/>
                <w:lang w:val="en-US"/>
              </w:rPr>
              <w:t>Giles, WA</w:t>
            </w:r>
          </w:p>
        </w:tc>
        <w:tc>
          <w:tcPr>
            <w:tcW w:w="998" w:type="dxa"/>
            <w:noWrap/>
            <w:vAlign w:val="center"/>
            <w:hideMark/>
          </w:tcPr>
          <w:p w14:paraId="00D8D22B" w14:textId="77777777" w:rsidR="00F3536C" w:rsidRPr="00A4272B" w:rsidRDefault="00F3536C" w:rsidP="00A41632">
            <w:pPr>
              <w:jc w:val="center"/>
              <w:rPr>
                <w:color w:val="000000"/>
                <w:sz w:val="14"/>
                <w:szCs w:val="14"/>
                <w:lang w:val="en-US"/>
              </w:rPr>
            </w:pPr>
            <w:r w:rsidRPr="00A4272B">
              <w:rPr>
                <w:color w:val="000000"/>
                <w:sz w:val="14"/>
                <w:szCs w:val="14"/>
                <w:lang w:val="en-US"/>
              </w:rPr>
              <w:t>GIL</w:t>
            </w:r>
          </w:p>
        </w:tc>
        <w:tc>
          <w:tcPr>
            <w:tcW w:w="1342" w:type="dxa"/>
            <w:noWrap/>
            <w:vAlign w:val="center"/>
            <w:hideMark/>
          </w:tcPr>
          <w:p w14:paraId="19037C1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5BB2D62" w14:textId="77777777" w:rsidR="00F3536C" w:rsidRPr="00A4272B" w:rsidRDefault="00F3536C" w:rsidP="00A41632">
            <w:pPr>
              <w:jc w:val="right"/>
              <w:rPr>
                <w:color w:val="000000"/>
                <w:sz w:val="14"/>
                <w:szCs w:val="14"/>
                <w:lang w:val="en-US"/>
              </w:rPr>
            </w:pPr>
            <w:r w:rsidRPr="00A4272B">
              <w:rPr>
                <w:color w:val="000000"/>
                <w:sz w:val="14"/>
                <w:szCs w:val="14"/>
                <w:lang w:val="en-US"/>
              </w:rPr>
              <w:t>-25.033818</w:t>
            </w:r>
          </w:p>
        </w:tc>
        <w:tc>
          <w:tcPr>
            <w:tcW w:w="998" w:type="dxa"/>
            <w:noWrap/>
            <w:vAlign w:val="center"/>
            <w:hideMark/>
          </w:tcPr>
          <w:p w14:paraId="68C8D716" w14:textId="77777777" w:rsidR="00F3536C" w:rsidRPr="00A4272B" w:rsidRDefault="00F3536C" w:rsidP="00A41632">
            <w:pPr>
              <w:jc w:val="right"/>
              <w:rPr>
                <w:color w:val="000000"/>
                <w:sz w:val="14"/>
                <w:szCs w:val="14"/>
                <w:lang w:val="en-US"/>
              </w:rPr>
            </w:pPr>
            <w:r w:rsidRPr="00A4272B">
              <w:rPr>
                <w:color w:val="000000"/>
                <w:sz w:val="14"/>
                <w:szCs w:val="14"/>
                <w:lang w:val="en-US"/>
              </w:rPr>
              <w:t>128.302543</w:t>
            </w:r>
          </w:p>
        </w:tc>
        <w:tc>
          <w:tcPr>
            <w:tcW w:w="859" w:type="dxa"/>
            <w:tcBorders>
              <w:top w:val="nil"/>
              <w:left w:val="nil"/>
              <w:bottom w:val="nil"/>
              <w:right w:val="single" w:sz="8" w:space="0" w:color="auto"/>
            </w:tcBorders>
            <w:noWrap/>
            <w:vAlign w:val="center"/>
            <w:hideMark/>
          </w:tcPr>
          <w:p w14:paraId="7BF05E46" w14:textId="77777777" w:rsidR="00F3536C" w:rsidRPr="00A4272B" w:rsidRDefault="00F3536C" w:rsidP="00A41632">
            <w:pPr>
              <w:jc w:val="center"/>
              <w:rPr>
                <w:color w:val="000000"/>
                <w:sz w:val="14"/>
                <w:szCs w:val="14"/>
                <w:lang w:val="en-US"/>
              </w:rPr>
            </w:pPr>
            <w:r w:rsidRPr="00A4272B">
              <w:rPr>
                <w:color w:val="000000"/>
                <w:sz w:val="14"/>
                <w:szCs w:val="14"/>
                <w:lang w:val="en-US"/>
              </w:rPr>
              <w:t>599</w:t>
            </w:r>
          </w:p>
        </w:tc>
        <w:tc>
          <w:tcPr>
            <w:tcW w:w="792" w:type="dxa"/>
            <w:noWrap/>
            <w:vAlign w:val="center"/>
            <w:hideMark/>
          </w:tcPr>
          <w:p w14:paraId="4F5DAA3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758443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03DE75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1DFF98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8736CB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F1E20FC"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6DED8662" w14:textId="77777777" w:rsidTr="00A41632">
        <w:trPr>
          <w:trHeight w:val="276"/>
          <w:jc w:val="center"/>
        </w:trPr>
        <w:tc>
          <w:tcPr>
            <w:tcW w:w="955" w:type="dxa"/>
            <w:tcBorders>
              <w:top w:val="nil"/>
              <w:left w:val="single" w:sz="8" w:space="0" w:color="auto"/>
              <w:bottom w:val="nil"/>
              <w:right w:val="nil"/>
            </w:tcBorders>
            <w:noWrap/>
            <w:vAlign w:val="center"/>
            <w:hideMark/>
          </w:tcPr>
          <w:p w14:paraId="50E2194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0CF0DFD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0FC6DD52" w14:textId="77777777" w:rsidR="00F3536C" w:rsidRPr="00A4272B" w:rsidRDefault="00F3536C" w:rsidP="00A41632">
            <w:pPr>
              <w:rPr>
                <w:color w:val="000000"/>
                <w:sz w:val="14"/>
                <w:szCs w:val="14"/>
                <w:lang w:val="en-US"/>
              </w:rPr>
            </w:pPr>
            <w:r w:rsidRPr="00A4272B">
              <w:rPr>
                <w:color w:val="000000"/>
                <w:sz w:val="14"/>
                <w:szCs w:val="14"/>
                <w:lang w:val="en-US"/>
              </w:rPr>
              <w:t>Gladstone, QLD</w:t>
            </w:r>
          </w:p>
        </w:tc>
        <w:tc>
          <w:tcPr>
            <w:tcW w:w="998" w:type="dxa"/>
            <w:noWrap/>
            <w:vAlign w:val="center"/>
            <w:hideMark/>
          </w:tcPr>
          <w:p w14:paraId="5B255373" w14:textId="77777777" w:rsidR="00F3536C" w:rsidRPr="00A4272B" w:rsidRDefault="00F3536C" w:rsidP="00A41632">
            <w:pPr>
              <w:jc w:val="center"/>
              <w:rPr>
                <w:color w:val="000000"/>
                <w:sz w:val="14"/>
                <w:szCs w:val="14"/>
                <w:lang w:val="en-US"/>
              </w:rPr>
            </w:pPr>
            <w:r w:rsidRPr="00A4272B">
              <w:rPr>
                <w:color w:val="000000"/>
                <w:sz w:val="14"/>
                <w:szCs w:val="14"/>
                <w:lang w:val="en-US"/>
              </w:rPr>
              <w:t>GLA</w:t>
            </w:r>
          </w:p>
        </w:tc>
        <w:tc>
          <w:tcPr>
            <w:tcW w:w="1342" w:type="dxa"/>
            <w:noWrap/>
            <w:vAlign w:val="center"/>
            <w:hideMark/>
          </w:tcPr>
          <w:p w14:paraId="41FF599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C1DB905" w14:textId="77777777" w:rsidR="00F3536C" w:rsidRPr="00A4272B" w:rsidRDefault="00F3536C" w:rsidP="00A41632">
            <w:pPr>
              <w:jc w:val="right"/>
              <w:rPr>
                <w:color w:val="000000"/>
                <w:sz w:val="14"/>
                <w:szCs w:val="14"/>
                <w:lang w:val="en-US"/>
              </w:rPr>
            </w:pPr>
            <w:r w:rsidRPr="00A4272B">
              <w:rPr>
                <w:color w:val="000000"/>
                <w:sz w:val="14"/>
                <w:szCs w:val="14"/>
                <w:lang w:val="en-US"/>
              </w:rPr>
              <w:t>-23.857391</w:t>
            </w:r>
          </w:p>
        </w:tc>
        <w:tc>
          <w:tcPr>
            <w:tcW w:w="998" w:type="dxa"/>
            <w:noWrap/>
            <w:vAlign w:val="center"/>
            <w:hideMark/>
          </w:tcPr>
          <w:p w14:paraId="1B4FDE9E" w14:textId="77777777" w:rsidR="00F3536C" w:rsidRPr="00A4272B" w:rsidRDefault="00F3536C" w:rsidP="00A41632">
            <w:pPr>
              <w:jc w:val="right"/>
              <w:rPr>
                <w:color w:val="000000"/>
                <w:sz w:val="14"/>
                <w:szCs w:val="14"/>
                <w:lang w:val="en-US"/>
              </w:rPr>
            </w:pPr>
            <w:r w:rsidRPr="00A4272B">
              <w:rPr>
                <w:color w:val="000000"/>
                <w:sz w:val="14"/>
                <w:szCs w:val="14"/>
                <w:lang w:val="en-US"/>
              </w:rPr>
              <w:t>151.269755</w:t>
            </w:r>
          </w:p>
        </w:tc>
        <w:tc>
          <w:tcPr>
            <w:tcW w:w="859" w:type="dxa"/>
            <w:tcBorders>
              <w:top w:val="nil"/>
              <w:left w:val="nil"/>
              <w:bottom w:val="nil"/>
              <w:right w:val="single" w:sz="8" w:space="0" w:color="auto"/>
            </w:tcBorders>
            <w:noWrap/>
            <w:vAlign w:val="center"/>
            <w:hideMark/>
          </w:tcPr>
          <w:p w14:paraId="621C1928" w14:textId="77777777" w:rsidR="00F3536C" w:rsidRPr="00A4272B" w:rsidRDefault="00F3536C" w:rsidP="00A41632">
            <w:pPr>
              <w:jc w:val="center"/>
              <w:rPr>
                <w:color w:val="000000"/>
                <w:sz w:val="14"/>
                <w:szCs w:val="14"/>
                <w:lang w:val="en-US"/>
              </w:rPr>
            </w:pPr>
            <w:r w:rsidRPr="00A4272B">
              <w:rPr>
                <w:color w:val="000000"/>
                <w:sz w:val="14"/>
                <w:szCs w:val="14"/>
                <w:lang w:val="en-US"/>
              </w:rPr>
              <w:t>12</w:t>
            </w:r>
          </w:p>
        </w:tc>
        <w:tc>
          <w:tcPr>
            <w:tcW w:w="792" w:type="dxa"/>
            <w:noWrap/>
            <w:vAlign w:val="center"/>
            <w:hideMark/>
          </w:tcPr>
          <w:p w14:paraId="6AFDF17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B264012"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574CF8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D4A317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259017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B992A02"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3ACE9304" w14:textId="77777777" w:rsidTr="00A41632">
        <w:trPr>
          <w:trHeight w:val="276"/>
          <w:jc w:val="center"/>
        </w:trPr>
        <w:tc>
          <w:tcPr>
            <w:tcW w:w="955" w:type="dxa"/>
            <w:tcBorders>
              <w:top w:val="nil"/>
              <w:left w:val="single" w:sz="8" w:space="0" w:color="auto"/>
              <w:bottom w:val="nil"/>
              <w:right w:val="nil"/>
            </w:tcBorders>
            <w:noWrap/>
            <w:vAlign w:val="center"/>
            <w:hideMark/>
          </w:tcPr>
          <w:p w14:paraId="4C4960F3"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619342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7FF288E4" w14:textId="77777777" w:rsidR="00F3536C" w:rsidRPr="00A4272B" w:rsidRDefault="00F3536C" w:rsidP="00A41632">
            <w:pPr>
              <w:rPr>
                <w:color w:val="000000"/>
                <w:sz w:val="14"/>
                <w:szCs w:val="14"/>
                <w:lang w:val="en-US"/>
              </w:rPr>
            </w:pPr>
            <w:r w:rsidRPr="00A4272B">
              <w:rPr>
                <w:color w:val="000000"/>
                <w:sz w:val="14"/>
                <w:szCs w:val="14"/>
                <w:lang w:val="en-US"/>
              </w:rPr>
              <w:t>Gunn Point, NT</w:t>
            </w:r>
          </w:p>
        </w:tc>
        <w:tc>
          <w:tcPr>
            <w:tcW w:w="998" w:type="dxa"/>
            <w:noWrap/>
            <w:vAlign w:val="center"/>
            <w:hideMark/>
          </w:tcPr>
          <w:p w14:paraId="167A9309" w14:textId="77777777" w:rsidR="00F3536C" w:rsidRPr="00A4272B" w:rsidRDefault="00F3536C" w:rsidP="00A41632">
            <w:pPr>
              <w:jc w:val="center"/>
              <w:rPr>
                <w:color w:val="000000"/>
                <w:sz w:val="14"/>
                <w:szCs w:val="14"/>
                <w:lang w:val="en-US"/>
              </w:rPr>
            </w:pPr>
            <w:r w:rsidRPr="00A4272B">
              <w:rPr>
                <w:color w:val="000000"/>
                <w:sz w:val="14"/>
                <w:szCs w:val="14"/>
                <w:lang w:val="en-US"/>
              </w:rPr>
              <w:t>GPO</w:t>
            </w:r>
          </w:p>
        </w:tc>
        <w:tc>
          <w:tcPr>
            <w:tcW w:w="1342" w:type="dxa"/>
            <w:noWrap/>
            <w:vAlign w:val="center"/>
            <w:hideMark/>
          </w:tcPr>
          <w:p w14:paraId="77676BA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599C606" w14:textId="77777777" w:rsidR="00F3536C" w:rsidRPr="00A4272B" w:rsidRDefault="00F3536C" w:rsidP="00A41632">
            <w:pPr>
              <w:jc w:val="right"/>
              <w:rPr>
                <w:color w:val="000000"/>
                <w:sz w:val="14"/>
                <w:szCs w:val="14"/>
                <w:lang w:val="en-US"/>
              </w:rPr>
            </w:pPr>
            <w:r w:rsidRPr="00A4272B">
              <w:rPr>
                <w:color w:val="000000"/>
                <w:sz w:val="14"/>
                <w:szCs w:val="14"/>
                <w:lang w:val="en-US"/>
              </w:rPr>
              <w:t>-12.249128</w:t>
            </w:r>
          </w:p>
        </w:tc>
        <w:tc>
          <w:tcPr>
            <w:tcW w:w="998" w:type="dxa"/>
            <w:noWrap/>
            <w:vAlign w:val="center"/>
            <w:hideMark/>
          </w:tcPr>
          <w:p w14:paraId="074EC4CD" w14:textId="77777777" w:rsidR="00F3536C" w:rsidRPr="00A4272B" w:rsidRDefault="00F3536C" w:rsidP="00A41632">
            <w:pPr>
              <w:jc w:val="right"/>
              <w:rPr>
                <w:color w:val="000000"/>
                <w:sz w:val="14"/>
                <w:szCs w:val="14"/>
                <w:lang w:val="en-US"/>
              </w:rPr>
            </w:pPr>
            <w:r w:rsidRPr="00A4272B">
              <w:rPr>
                <w:color w:val="000000"/>
                <w:sz w:val="14"/>
                <w:szCs w:val="14"/>
                <w:lang w:val="en-US"/>
              </w:rPr>
              <w:t>131.044433</w:t>
            </w:r>
          </w:p>
        </w:tc>
        <w:tc>
          <w:tcPr>
            <w:tcW w:w="859" w:type="dxa"/>
            <w:tcBorders>
              <w:top w:val="nil"/>
              <w:left w:val="nil"/>
              <w:bottom w:val="nil"/>
              <w:right w:val="single" w:sz="8" w:space="0" w:color="auto"/>
            </w:tcBorders>
            <w:noWrap/>
            <w:vAlign w:val="center"/>
            <w:hideMark/>
          </w:tcPr>
          <w:p w14:paraId="73E0A02C" w14:textId="77777777" w:rsidR="00F3536C" w:rsidRPr="00A4272B" w:rsidRDefault="00F3536C" w:rsidP="00A41632">
            <w:pPr>
              <w:jc w:val="center"/>
              <w:rPr>
                <w:color w:val="000000"/>
                <w:sz w:val="14"/>
                <w:szCs w:val="14"/>
                <w:lang w:val="en-US"/>
              </w:rPr>
            </w:pPr>
            <w:r w:rsidRPr="00A4272B">
              <w:rPr>
                <w:color w:val="000000"/>
                <w:sz w:val="14"/>
                <w:szCs w:val="14"/>
                <w:lang w:val="en-US"/>
              </w:rPr>
              <w:t>28</w:t>
            </w:r>
          </w:p>
        </w:tc>
        <w:tc>
          <w:tcPr>
            <w:tcW w:w="792" w:type="dxa"/>
            <w:noWrap/>
            <w:vAlign w:val="center"/>
            <w:hideMark/>
          </w:tcPr>
          <w:p w14:paraId="0B6D9E9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768C76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9B703D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D1A991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06F95E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3D62ECF" w14:textId="77777777" w:rsidR="00F3536C" w:rsidRPr="00A4272B" w:rsidRDefault="00F3536C" w:rsidP="00A41632">
            <w:pPr>
              <w:jc w:val="center"/>
              <w:rPr>
                <w:sz w:val="14"/>
                <w:szCs w:val="14"/>
                <w:lang w:val="en-US"/>
              </w:rPr>
            </w:pPr>
            <w:r w:rsidRPr="00A4272B">
              <w:rPr>
                <w:sz w:val="14"/>
                <w:szCs w:val="14"/>
                <w:lang w:val="en-US"/>
              </w:rPr>
              <w:t>2014</w:t>
            </w:r>
          </w:p>
        </w:tc>
      </w:tr>
      <w:tr w:rsidR="00F3536C" w:rsidRPr="00A4272B" w14:paraId="604C46B4" w14:textId="77777777" w:rsidTr="00A41632">
        <w:trPr>
          <w:trHeight w:val="276"/>
          <w:jc w:val="center"/>
        </w:trPr>
        <w:tc>
          <w:tcPr>
            <w:tcW w:w="955" w:type="dxa"/>
            <w:tcBorders>
              <w:top w:val="nil"/>
              <w:left w:val="single" w:sz="8" w:space="0" w:color="auto"/>
              <w:bottom w:val="nil"/>
              <w:right w:val="nil"/>
            </w:tcBorders>
            <w:noWrap/>
            <w:vAlign w:val="center"/>
            <w:hideMark/>
          </w:tcPr>
          <w:p w14:paraId="21EAD5CC"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4918C8AD"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6D77F52" w14:textId="77777777" w:rsidR="00F3536C" w:rsidRPr="00A4272B" w:rsidRDefault="00F3536C" w:rsidP="00A41632">
            <w:pPr>
              <w:rPr>
                <w:color w:val="000000"/>
                <w:sz w:val="14"/>
                <w:szCs w:val="14"/>
                <w:lang w:val="en-US"/>
              </w:rPr>
            </w:pPr>
            <w:r w:rsidRPr="00A4272B">
              <w:rPr>
                <w:color w:val="000000"/>
                <w:sz w:val="14"/>
                <w:szCs w:val="14"/>
                <w:lang w:val="en-US"/>
              </w:rPr>
              <w:t>Gunnedah, NSW</w:t>
            </w:r>
          </w:p>
        </w:tc>
        <w:tc>
          <w:tcPr>
            <w:tcW w:w="998" w:type="dxa"/>
            <w:noWrap/>
            <w:vAlign w:val="center"/>
            <w:hideMark/>
          </w:tcPr>
          <w:p w14:paraId="243C4AE7" w14:textId="77777777" w:rsidR="00F3536C" w:rsidRPr="00A4272B" w:rsidRDefault="00F3536C" w:rsidP="00A41632">
            <w:pPr>
              <w:jc w:val="center"/>
              <w:rPr>
                <w:color w:val="000000"/>
                <w:sz w:val="14"/>
                <w:szCs w:val="14"/>
                <w:lang w:val="en-US"/>
              </w:rPr>
            </w:pPr>
            <w:r w:rsidRPr="00A4272B">
              <w:rPr>
                <w:color w:val="000000"/>
                <w:sz w:val="14"/>
                <w:szCs w:val="14"/>
                <w:lang w:val="en-US"/>
              </w:rPr>
              <w:t>GUN</w:t>
            </w:r>
          </w:p>
        </w:tc>
        <w:tc>
          <w:tcPr>
            <w:tcW w:w="1342" w:type="dxa"/>
            <w:noWrap/>
            <w:vAlign w:val="center"/>
            <w:hideMark/>
          </w:tcPr>
          <w:p w14:paraId="381238C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E19720E" w14:textId="77777777" w:rsidR="00F3536C" w:rsidRPr="00A4272B" w:rsidRDefault="00F3536C" w:rsidP="00A41632">
            <w:pPr>
              <w:jc w:val="right"/>
              <w:rPr>
                <w:color w:val="000000"/>
                <w:sz w:val="14"/>
                <w:szCs w:val="14"/>
                <w:lang w:val="en-US"/>
              </w:rPr>
            </w:pPr>
            <w:r w:rsidRPr="00A4272B">
              <w:rPr>
                <w:color w:val="000000"/>
                <w:sz w:val="14"/>
                <w:szCs w:val="14"/>
                <w:lang w:val="en-US"/>
              </w:rPr>
              <w:t>-31.026064</w:t>
            </w:r>
          </w:p>
        </w:tc>
        <w:tc>
          <w:tcPr>
            <w:tcW w:w="998" w:type="dxa"/>
            <w:noWrap/>
            <w:vAlign w:val="center"/>
            <w:hideMark/>
          </w:tcPr>
          <w:p w14:paraId="2139404E" w14:textId="77777777" w:rsidR="00F3536C" w:rsidRPr="00A4272B" w:rsidRDefault="00F3536C" w:rsidP="00A41632">
            <w:pPr>
              <w:jc w:val="right"/>
              <w:rPr>
                <w:color w:val="000000"/>
                <w:sz w:val="14"/>
                <w:szCs w:val="14"/>
                <w:lang w:val="en-US"/>
              </w:rPr>
            </w:pPr>
            <w:r w:rsidRPr="00A4272B">
              <w:rPr>
                <w:color w:val="000000"/>
                <w:sz w:val="14"/>
                <w:szCs w:val="14"/>
                <w:lang w:val="en-US"/>
              </w:rPr>
              <w:t>150.273329</w:t>
            </w:r>
          </w:p>
        </w:tc>
        <w:tc>
          <w:tcPr>
            <w:tcW w:w="859" w:type="dxa"/>
            <w:tcBorders>
              <w:top w:val="nil"/>
              <w:left w:val="nil"/>
              <w:bottom w:val="nil"/>
              <w:right w:val="single" w:sz="8" w:space="0" w:color="auto"/>
            </w:tcBorders>
            <w:noWrap/>
            <w:vAlign w:val="center"/>
            <w:hideMark/>
          </w:tcPr>
          <w:p w14:paraId="2C64B32C" w14:textId="77777777" w:rsidR="00F3536C" w:rsidRPr="00A4272B" w:rsidRDefault="00F3536C" w:rsidP="00A41632">
            <w:pPr>
              <w:jc w:val="center"/>
              <w:rPr>
                <w:color w:val="000000"/>
                <w:sz w:val="14"/>
                <w:szCs w:val="14"/>
                <w:lang w:val="en-US"/>
              </w:rPr>
            </w:pPr>
            <w:r w:rsidRPr="00A4272B">
              <w:rPr>
                <w:color w:val="000000"/>
                <w:sz w:val="14"/>
                <w:szCs w:val="14"/>
                <w:lang w:val="en-US"/>
              </w:rPr>
              <w:t>287</w:t>
            </w:r>
          </w:p>
        </w:tc>
        <w:tc>
          <w:tcPr>
            <w:tcW w:w="792" w:type="dxa"/>
            <w:noWrap/>
            <w:vAlign w:val="center"/>
            <w:hideMark/>
          </w:tcPr>
          <w:p w14:paraId="2E3A79B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45C86C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CAB283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D33322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017F06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16DE739"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F243145" w14:textId="77777777" w:rsidTr="00A41632">
        <w:trPr>
          <w:trHeight w:val="276"/>
          <w:jc w:val="center"/>
        </w:trPr>
        <w:tc>
          <w:tcPr>
            <w:tcW w:w="955" w:type="dxa"/>
            <w:tcBorders>
              <w:top w:val="nil"/>
              <w:left w:val="single" w:sz="8" w:space="0" w:color="auto"/>
              <w:bottom w:val="nil"/>
              <w:right w:val="nil"/>
            </w:tcBorders>
            <w:noWrap/>
            <w:vAlign w:val="center"/>
            <w:hideMark/>
          </w:tcPr>
          <w:p w14:paraId="69415C6D"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0B83B72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7167982" w14:textId="77777777" w:rsidR="00F3536C" w:rsidRPr="00A4272B" w:rsidRDefault="00F3536C" w:rsidP="00A41632">
            <w:pPr>
              <w:rPr>
                <w:color w:val="000000"/>
                <w:sz w:val="14"/>
                <w:szCs w:val="14"/>
                <w:lang w:val="en-US"/>
              </w:rPr>
            </w:pPr>
            <w:r w:rsidRPr="00A4272B">
              <w:rPr>
                <w:color w:val="000000"/>
                <w:sz w:val="14"/>
                <w:szCs w:val="14"/>
                <w:lang w:val="en-US"/>
              </w:rPr>
              <w:t>Halls Creek, WA</w:t>
            </w:r>
          </w:p>
        </w:tc>
        <w:tc>
          <w:tcPr>
            <w:tcW w:w="998" w:type="dxa"/>
            <w:noWrap/>
            <w:vAlign w:val="center"/>
            <w:hideMark/>
          </w:tcPr>
          <w:p w14:paraId="1440535C" w14:textId="77777777" w:rsidR="00F3536C" w:rsidRPr="00A4272B" w:rsidRDefault="00F3536C" w:rsidP="00A41632">
            <w:pPr>
              <w:jc w:val="center"/>
              <w:rPr>
                <w:color w:val="000000"/>
                <w:sz w:val="14"/>
                <w:szCs w:val="14"/>
                <w:lang w:val="en-US"/>
              </w:rPr>
            </w:pPr>
            <w:r w:rsidRPr="00A4272B">
              <w:rPr>
                <w:color w:val="000000"/>
                <w:sz w:val="14"/>
                <w:szCs w:val="14"/>
                <w:lang w:val="en-US"/>
              </w:rPr>
              <w:t>HAL</w:t>
            </w:r>
          </w:p>
        </w:tc>
        <w:tc>
          <w:tcPr>
            <w:tcW w:w="1342" w:type="dxa"/>
            <w:noWrap/>
            <w:vAlign w:val="center"/>
            <w:hideMark/>
          </w:tcPr>
          <w:p w14:paraId="02CAAFD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4C78BAA" w14:textId="77777777" w:rsidR="00F3536C" w:rsidRPr="00A4272B" w:rsidRDefault="00F3536C" w:rsidP="00A41632">
            <w:pPr>
              <w:jc w:val="right"/>
              <w:rPr>
                <w:color w:val="000000"/>
                <w:sz w:val="14"/>
                <w:szCs w:val="14"/>
                <w:lang w:val="en-US"/>
              </w:rPr>
            </w:pPr>
            <w:r w:rsidRPr="00A4272B">
              <w:rPr>
                <w:color w:val="000000"/>
                <w:sz w:val="14"/>
                <w:szCs w:val="14"/>
                <w:lang w:val="en-US"/>
              </w:rPr>
              <w:t>-18.229200</w:t>
            </w:r>
          </w:p>
        </w:tc>
        <w:tc>
          <w:tcPr>
            <w:tcW w:w="998" w:type="dxa"/>
            <w:noWrap/>
            <w:vAlign w:val="center"/>
            <w:hideMark/>
          </w:tcPr>
          <w:p w14:paraId="6645CF13" w14:textId="77777777" w:rsidR="00F3536C" w:rsidRPr="00A4272B" w:rsidRDefault="00F3536C" w:rsidP="00A41632">
            <w:pPr>
              <w:jc w:val="right"/>
              <w:rPr>
                <w:color w:val="000000"/>
                <w:sz w:val="14"/>
                <w:szCs w:val="14"/>
                <w:lang w:val="en-US"/>
              </w:rPr>
            </w:pPr>
            <w:r w:rsidRPr="00A4272B">
              <w:rPr>
                <w:color w:val="000000"/>
                <w:sz w:val="14"/>
                <w:szCs w:val="14"/>
                <w:lang w:val="en-US"/>
              </w:rPr>
              <w:t>127.663600</w:t>
            </w:r>
          </w:p>
        </w:tc>
        <w:tc>
          <w:tcPr>
            <w:tcW w:w="859" w:type="dxa"/>
            <w:tcBorders>
              <w:top w:val="nil"/>
              <w:left w:val="nil"/>
              <w:bottom w:val="nil"/>
              <w:right w:val="single" w:sz="8" w:space="0" w:color="auto"/>
            </w:tcBorders>
            <w:noWrap/>
            <w:vAlign w:val="center"/>
            <w:hideMark/>
          </w:tcPr>
          <w:p w14:paraId="1F260656" w14:textId="77777777" w:rsidR="00F3536C" w:rsidRPr="00A4272B" w:rsidRDefault="00F3536C" w:rsidP="00A41632">
            <w:pPr>
              <w:jc w:val="center"/>
              <w:rPr>
                <w:color w:val="000000"/>
                <w:sz w:val="14"/>
                <w:szCs w:val="14"/>
                <w:lang w:val="en-US"/>
              </w:rPr>
            </w:pPr>
            <w:r w:rsidRPr="00A4272B">
              <w:rPr>
                <w:color w:val="000000"/>
                <w:sz w:val="14"/>
                <w:szCs w:val="14"/>
                <w:lang w:val="en-US"/>
              </w:rPr>
              <w:t>425</w:t>
            </w:r>
          </w:p>
        </w:tc>
        <w:tc>
          <w:tcPr>
            <w:tcW w:w="792" w:type="dxa"/>
            <w:noWrap/>
            <w:vAlign w:val="center"/>
            <w:hideMark/>
          </w:tcPr>
          <w:p w14:paraId="10CDE37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59B237E"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BAD708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7C2465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310DE5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92F1ACE"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0470BDC6" w14:textId="77777777" w:rsidTr="00A41632">
        <w:trPr>
          <w:trHeight w:val="276"/>
          <w:jc w:val="center"/>
        </w:trPr>
        <w:tc>
          <w:tcPr>
            <w:tcW w:w="955" w:type="dxa"/>
            <w:tcBorders>
              <w:top w:val="nil"/>
              <w:left w:val="single" w:sz="8" w:space="0" w:color="auto"/>
              <w:bottom w:val="nil"/>
              <w:right w:val="nil"/>
            </w:tcBorders>
            <w:noWrap/>
            <w:vAlign w:val="center"/>
            <w:hideMark/>
          </w:tcPr>
          <w:p w14:paraId="3A82F524"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4D032E15"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0E0BCAD3" w14:textId="77777777" w:rsidR="00F3536C" w:rsidRPr="00A4272B" w:rsidRDefault="00F3536C" w:rsidP="00A41632">
            <w:pPr>
              <w:rPr>
                <w:color w:val="000000"/>
                <w:sz w:val="14"/>
                <w:szCs w:val="14"/>
                <w:lang w:val="en-US"/>
              </w:rPr>
            </w:pPr>
            <w:r w:rsidRPr="00A4272B">
              <w:rPr>
                <w:color w:val="000000"/>
                <w:sz w:val="14"/>
                <w:szCs w:val="14"/>
                <w:lang w:val="en-US"/>
              </w:rPr>
              <w:t>Heron Island, QLD</w:t>
            </w:r>
          </w:p>
        </w:tc>
        <w:tc>
          <w:tcPr>
            <w:tcW w:w="998" w:type="dxa"/>
            <w:noWrap/>
            <w:vAlign w:val="center"/>
            <w:hideMark/>
          </w:tcPr>
          <w:p w14:paraId="7570C968" w14:textId="77777777" w:rsidR="00F3536C" w:rsidRPr="00A4272B" w:rsidRDefault="00F3536C" w:rsidP="00A41632">
            <w:pPr>
              <w:jc w:val="center"/>
              <w:rPr>
                <w:color w:val="000000"/>
                <w:sz w:val="14"/>
                <w:szCs w:val="14"/>
                <w:lang w:val="en-US"/>
              </w:rPr>
            </w:pPr>
            <w:r w:rsidRPr="00A4272B">
              <w:rPr>
                <w:color w:val="000000"/>
                <w:sz w:val="14"/>
                <w:szCs w:val="14"/>
                <w:lang w:val="en-US"/>
              </w:rPr>
              <w:t>HER</w:t>
            </w:r>
          </w:p>
        </w:tc>
        <w:tc>
          <w:tcPr>
            <w:tcW w:w="1342" w:type="dxa"/>
            <w:noWrap/>
            <w:vAlign w:val="center"/>
            <w:hideMark/>
          </w:tcPr>
          <w:p w14:paraId="02EB82F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00AD0E2" w14:textId="77777777" w:rsidR="00F3536C" w:rsidRPr="00A4272B" w:rsidRDefault="00F3536C" w:rsidP="00A41632">
            <w:pPr>
              <w:jc w:val="right"/>
              <w:rPr>
                <w:color w:val="000000"/>
                <w:sz w:val="14"/>
                <w:szCs w:val="14"/>
                <w:lang w:val="en-US"/>
              </w:rPr>
            </w:pPr>
            <w:r w:rsidRPr="00A4272B">
              <w:rPr>
                <w:color w:val="000000"/>
                <w:sz w:val="14"/>
                <w:szCs w:val="14"/>
                <w:lang w:val="en-US"/>
              </w:rPr>
              <w:t>-23.443058</w:t>
            </w:r>
          </w:p>
        </w:tc>
        <w:tc>
          <w:tcPr>
            <w:tcW w:w="998" w:type="dxa"/>
            <w:noWrap/>
            <w:vAlign w:val="center"/>
            <w:hideMark/>
          </w:tcPr>
          <w:p w14:paraId="59FC4193" w14:textId="77777777" w:rsidR="00F3536C" w:rsidRPr="00A4272B" w:rsidRDefault="00F3536C" w:rsidP="00A41632">
            <w:pPr>
              <w:jc w:val="right"/>
              <w:rPr>
                <w:color w:val="000000"/>
                <w:sz w:val="14"/>
                <w:szCs w:val="14"/>
                <w:lang w:val="en-US"/>
              </w:rPr>
            </w:pPr>
            <w:r w:rsidRPr="00A4272B">
              <w:rPr>
                <w:color w:val="000000"/>
                <w:sz w:val="14"/>
                <w:szCs w:val="14"/>
                <w:lang w:val="en-US"/>
              </w:rPr>
              <w:t>151.914130</w:t>
            </w:r>
          </w:p>
        </w:tc>
        <w:tc>
          <w:tcPr>
            <w:tcW w:w="859" w:type="dxa"/>
            <w:tcBorders>
              <w:top w:val="nil"/>
              <w:left w:val="nil"/>
              <w:bottom w:val="nil"/>
              <w:right w:val="single" w:sz="8" w:space="0" w:color="auto"/>
            </w:tcBorders>
            <w:noWrap/>
            <w:vAlign w:val="center"/>
            <w:hideMark/>
          </w:tcPr>
          <w:p w14:paraId="3D6C7C38" w14:textId="77777777" w:rsidR="00F3536C" w:rsidRPr="00A4272B" w:rsidRDefault="00F3536C" w:rsidP="00A41632">
            <w:pPr>
              <w:jc w:val="center"/>
              <w:rPr>
                <w:color w:val="000000"/>
                <w:sz w:val="14"/>
                <w:szCs w:val="14"/>
                <w:lang w:val="en-US"/>
              </w:rPr>
            </w:pPr>
            <w:r w:rsidRPr="00A4272B">
              <w:rPr>
                <w:color w:val="000000"/>
                <w:sz w:val="14"/>
                <w:szCs w:val="14"/>
                <w:lang w:val="en-US"/>
              </w:rPr>
              <w:t>8</w:t>
            </w:r>
          </w:p>
        </w:tc>
        <w:tc>
          <w:tcPr>
            <w:tcW w:w="792" w:type="dxa"/>
            <w:noWrap/>
            <w:vAlign w:val="center"/>
            <w:hideMark/>
          </w:tcPr>
          <w:p w14:paraId="05E645B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E0C4681"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7F9AD5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07B9A6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0E02DC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349E205" w14:textId="77777777" w:rsidR="00F3536C" w:rsidRPr="00A4272B" w:rsidRDefault="00F3536C" w:rsidP="00A41632">
            <w:pPr>
              <w:jc w:val="center"/>
              <w:rPr>
                <w:sz w:val="14"/>
                <w:szCs w:val="14"/>
                <w:lang w:val="en-US"/>
              </w:rPr>
            </w:pPr>
            <w:r w:rsidRPr="00A4272B">
              <w:rPr>
                <w:sz w:val="14"/>
                <w:szCs w:val="14"/>
                <w:lang w:val="en-US"/>
              </w:rPr>
              <w:t>2012</w:t>
            </w:r>
          </w:p>
        </w:tc>
      </w:tr>
      <w:tr w:rsidR="00F3536C" w:rsidRPr="00A4272B" w14:paraId="7F41535A" w14:textId="77777777" w:rsidTr="00A41632">
        <w:trPr>
          <w:trHeight w:val="276"/>
          <w:jc w:val="center"/>
        </w:trPr>
        <w:tc>
          <w:tcPr>
            <w:tcW w:w="955" w:type="dxa"/>
            <w:tcBorders>
              <w:top w:val="nil"/>
              <w:left w:val="single" w:sz="8" w:space="0" w:color="auto"/>
              <w:bottom w:val="nil"/>
              <w:right w:val="nil"/>
            </w:tcBorders>
            <w:noWrap/>
            <w:vAlign w:val="center"/>
            <w:hideMark/>
          </w:tcPr>
          <w:p w14:paraId="742D143E"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006E7B06"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29724942" w14:textId="77777777" w:rsidR="00F3536C" w:rsidRPr="00A4272B" w:rsidRDefault="00F3536C" w:rsidP="00A41632">
            <w:pPr>
              <w:rPr>
                <w:color w:val="000000"/>
                <w:sz w:val="14"/>
                <w:szCs w:val="14"/>
                <w:lang w:val="en-US"/>
              </w:rPr>
            </w:pPr>
            <w:r w:rsidRPr="00A4272B">
              <w:rPr>
                <w:color w:val="000000"/>
                <w:sz w:val="14"/>
                <w:szCs w:val="14"/>
                <w:lang w:val="en-US"/>
              </w:rPr>
              <w:t>Idalia National Park, QLD</w:t>
            </w:r>
          </w:p>
        </w:tc>
        <w:tc>
          <w:tcPr>
            <w:tcW w:w="998" w:type="dxa"/>
            <w:noWrap/>
            <w:vAlign w:val="center"/>
            <w:hideMark/>
          </w:tcPr>
          <w:p w14:paraId="207125AC" w14:textId="77777777" w:rsidR="00F3536C" w:rsidRPr="00A4272B" w:rsidRDefault="00F3536C" w:rsidP="00A41632">
            <w:pPr>
              <w:jc w:val="center"/>
              <w:rPr>
                <w:color w:val="000000"/>
                <w:sz w:val="14"/>
                <w:szCs w:val="14"/>
                <w:lang w:val="en-US"/>
              </w:rPr>
            </w:pPr>
            <w:r w:rsidRPr="00A4272B">
              <w:rPr>
                <w:color w:val="000000"/>
                <w:sz w:val="14"/>
                <w:szCs w:val="14"/>
                <w:lang w:val="en-US"/>
              </w:rPr>
              <w:t>IDA</w:t>
            </w:r>
          </w:p>
        </w:tc>
        <w:tc>
          <w:tcPr>
            <w:tcW w:w="1342" w:type="dxa"/>
            <w:noWrap/>
            <w:vAlign w:val="center"/>
            <w:hideMark/>
          </w:tcPr>
          <w:p w14:paraId="2FBEFB6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CBFA4A7" w14:textId="77777777" w:rsidR="00F3536C" w:rsidRPr="00A4272B" w:rsidRDefault="00F3536C" w:rsidP="00A41632">
            <w:pPr>
              <w:jc w:val="right"/>
              <w:rPr>
                <w:color w:val="000000"/>
                <w:sz w:val="14"/>
                <w:szCs w:val="14"/>
                <w:lang w:val="en-US"/>
              </w:rPr>
            </w:pPr>
            <w:r w:rsidRPr="00A4272B">
              <w:rPr>
                <w:color w:val="000000"/>
                <w:sz w:val="14"/>
                <w:szCs w:val="14"/>
                <w:lang w:val="en-US"/>
              </w:rPr>
              <w:t>-24.891205</w:t>
            </w:r>
          </w:p>
        </w:tc>
        <w:tc>
          <w:tcPr>
            <w:tcW w:w="998" w:type="dxa"/>
            <w:noWrap/>
            <w:vAlign w:val="center"/>
            <w:hideMark/>
          </w:tcPr>
          <w:p w14:paraId="6F1C7105" w14:textId="77777777" w:rsidR="00F3536C" w:rsidRPr="00A4272B" w:rsidRDefault="00F3536C" w:rsidP="00A41632">
            <w:pPr>
              <w:jc w:val="right"/>
              <w:rPr>
                <w:color w:val="000000"/>
                <w:sz w:val="14"/>
                <w:szCs w:val="14"/>
                <w:lang w:val="en-US"/>
              </w:rPr>
            </w:pPr>
            <w:r w:rsidRPr="00A4272B">
              <w:rPr>
                <w:color w:val="000000"/>
                <w:sz w:val="14"/>
                <w:szCs w:val="14"/>
                <w:lang w:val="en-US"/>
              </w:rPr>
              <w:t>144.684637</w:t>
            </w:r>
          </w:p>
        </w:tc>
        <w:tc>
          <w:tcPr>
            <w:tcW w:w="859" w:type="dxa"/>
            <w:tcBorders>
              <w:top w:val="nil"/>
              <w:left w:val="nil"/>
              <w:bottom w:val="nil"/>
              <w:right w:val="single" w:sz="8" w:space="0" w:color="auto"/>
            </w:tcBorders>
            <w:noWrap/>
            <w:vAlign w:val="center"/>
            <w:hideMark/>
          </w:tcPr>
          <w:p w14:paraId="3128C6F3" w14:textId="77777777" w:rsidR="00F3536C" w:rsidRPr="00A4272B" w:rsidRDefault="00F3536C" w:rsidP="00A41632">
            <w:pPr>
              <w:jc w:val="center"/>
              <w:rPr>
                <w:color w:val="000000"/>
                <w:sz w:val="14"/>
                <w:szCs w:val="14"/>
                <w:lang w:val="en-US"/>
              </w:rPr>
            </w:pPr>
            <w:r w:rsidRPr="00A4272B">
              <w:rPr>
                <w:color w:val="000000"/>
                <w:sz w:val="14"/>
                <w:szCs w:val="14"/>
                <w:lang w:val="en-US"/>
              </w:rPr>
              <w:t>379</w:t>
            </w:r>
          </w:p>
        </w:tc>
        <w:tc>
          <w:tcPr>
            <w:tcW w:w="792" w:type="dxa"/>
            <w:noWrap/>
            <w:vAlign w:val="center"/>
            <w:hideMark/>
          </w:tcPr>
          <w:p w14:paraId="0465351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9B3756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4AB980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5F52E4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9FDF1F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E37D709"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7D6E4018" w14:textId="77777777" w:rsidTr="00A41632">
        <w:trPr>
          <w:trHeight w:val="276"/>
          <w:jc w:val="center"/>
        </w:trPr>
        <w:tc>
          <w:tcPr>
            <w:tcW w:w="955" w:type="dxa"/>
            <w:tcBorders>
              <w:top w:val="nil"/>
              <w:left w:val="single" w:sz="8" w:space="0" w:color="auto"/>
              <w:bottom w:val="nil"/>
              <w:right w:val="nil"/>
            </w:tcBorders>
            <w:noWrap/>
            <w:vAlign w:val="center"/>
            <w:hideMark/>
          </w:tcPr>
          <w:p w14:paraId="082790CB"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70EA8134"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F6B9057" w14:textId="77777777" w:rsidR="00F3536C" w:rsidRPr="00A4272B" w:rsidRDefault="00F3536C" w:rsidP="00A41632">
            <w:pPr>
              <w:rPr>
                <w:color w:val="000000"/>
                <w:sz w:val="14"/>
                <w:szCs w:val="14"/>
                <w:lang w:val="en-US"/>
              </w:rPr>
            </w:pPr>
            <w:r w:rsidRPr="00A4272B">
              <w:rPr>
                <w:color w:val="000000"/>
                <w:sz w:val="14"/>
                <w:szCs w:val="14"/>
                <w:lang w:val="en-US"/>
              </w:rPr>
              <w:t>Kakadu - East Alligator, NT</w:t>
            </w:r>
          </w:p>
        </w:tc>
        <w:tc>
          <w:tcPr>
            <w:tcW w:w="998" w:type="dxa"/>
            <w:noWrap/>
            <w:vAlign w:val="center"/>
            <w:hideMark/>
          </w:tcPr>
          <w:p w14:paraId="0C8D3B8A" w14:textId="77777777" w:rsidR="00F3536C" w:rsidRPr="00A4272B" w:rsidRDefault="00F3536C" w:rsidP="00A41632">
            <w:pPr>
              <w:jc w:val="center"/>
              <w:rPr>
                <w:color w:val="000000"/>
                <w:sz w:val="14"/>
                <w:szCs w:val="14"/>
                <w:lang w:val="en-US"/>
              </w:rPr>
            </w:pPr>
            <w:r w:rsidRPr="00A4272B">
              <w:rPr>
                <w:color w:val="000000"/>
                <w:sz w:val="14"/>
                <w:szCs w:val="14"/>
                <w:lang w:val="en-US"/>
              </w:rPr>
              <w:t>KEA</w:t>
            </w:r>
          </w:p>
        </w:tc>
        <w:tc>
          <w:tcPr>
            <w:tcW w:w="1342" w:type="dxa"/>
            <w:noWrap/>
            <w:vAlign w:val="center"/>
            <w:hideMark/>
          </w:tcPr>
          <w:p w14:paraId="2131E03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172A772" w14:textId="77777777" w:rsidR="00F3536C" w:rsidRPr="00A4272B" w:rsidRDefault="00F3536C" w:rsidP="00A41632">
            <w:pPr>
              <w:jc w:val="right"/>
              <w:rPr>
                <w:color w:val="000000"/>
                <w:sz w:val="14"/>
                <w:szCs w:val="14"/>
                <w:lang w:val="en-US"/>
              </w:rPr>
            </w:pPr>
            <w:r w:rsidRPr="00A4272B">
              <w:rPr>
                <w:color w:val="000000"/>
                <w:sz w:val="14"/>
                <w:szCs w:val="14"/>
                <w:lang w:val="en-US"/>
              </w:rPr>
              <w:t>-12.493074</w:t>
            </w:r>
          </w:p>
        </w:tc>
        <w:tc>
          <w:tcPr>
            <w:tcW w:w="998" w:type="dxa"/>
            <w:noWrap/>
            <w:vAlign w:val="center"/>
            <w:hideMark/>
          </w:tcPr>
          <w:p w14:paraId="768E8C9D" w14:textId="77777777" w:rsidR="00F3536C" w:rsidRPr="00A4272B" w:rsidRDefault="00F3536C" w:rsidP="00A41632">
            <w:pPr>
              <w:jc w:val="right"/>
              <w:rPr>
                <w:color w:val="000000"/>
                <w:sz w:val="14"/>
                <w:szCs w:val="14"/>
                <w:lang w:val="en-US"/>
              </w:rPr>
            </w:pPr>
            <w:r w:rsidRPr="00A4272B">
              <w:rPr>
                <w:color w:val="000000"/>
                <w:sz w:val="14"/>
                <w:szCs w:val="14"/>
                <w:lang w:val="en-US"/>
              </w:rPr>
              <w:t>132.982979</w:t>
            </w:r>
          </w:p>
        </w:tc>
        <w:tc>
          <w:tcPr>
            <w:tcW w:w="859" w:type="dxa"/>
            <w:tcBorders>
              <w:top w:val="nil"/>
              <w:left w:val="nil"/>
              <w:bottom w:val="nil"/>
              <w:right w:val="single" w:sz="8" w:space="0" w:color="auto"/>
            </w:tcBorders>
            <w:noWrap/>
            <w:vAlign w:val="center"/>
            <w:hideMark/>
          </w:tcPr>
          <w:p w14:paraId="55B558D2" w14:textId="77777777" w:rsidR="00F3536C" w:rsidRPr="00A4272B" w:rsidRDefault="00F3536C" w:rsidP="00A41632">
            <w:pPr>
              <w:jc w:val="center"/>
              <w:rPr>
                <w:color w:val="000000"/>
                <w:sz w:val="14"/>
                <w:szCs w:val="14"/>
                <w:lang w:val="en-US"/>
              </w:rPr>
            </w:pPr>
            <w:r w:rsidRPr="00A4272B">
              <w:rPr>
                <w:color w:val="000000"/>
                <w:sz w:val="14"/>
                <w:szCs w:val="14"/>
                <w:lang w:val="en-US"/>
              </w:rPr>
              <w:t>128</w:t>
            </w:r>
          </w:p>
        </w:tc>
        <w:tc>
          <w:tcPr>
            <w:tcW w:w="792" w:type="dxa"/>
            <w:noWrap/>
            <w:vAlign w:val="center"/>
            <w:hideMark/>
          </w:tcPr>
          <w:p w14:paraId="291D5EC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6CB01F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517479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922EE3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C194C7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197F3BC"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3345E7FD" w14:textId="77777777" w:rsidTr="00A41632">
        <w:trPr>
          <w:trHeight w:val="276"/>
          <w:jc w:val="center"/>
        </w:trPr>
        <w:tc>
          <w:tcPr>
            <w:tcW w:w="955" w:type="dxa"/>
            <w:tcBorders>
              <w:top w:val="nil"/>
              <w:left w:val="single" w:sz="8" w:space="0" w:color="auto"/>
              <w:bottom w:val="nil"/>
              <w:right w:val="nil"/>
            </w:tcBorders>
            <w:noWrap/>
            <w:vAlign w:val="center"/>
            <w:hideMark/>
          </w:tcPr>
          <w:p w14:paraId="099DDFE5"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08A2FB62"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F929200" w14:textId="77777777" w:rsidR="00F3536C" w:rsidRPr="00A4272B" w:rsidRDefault="00F3536C" w:rsidP="00A41632">
            <w:pPr>
              <w:rPr>
                <w:color w:val="000000"/>
                <w:sz w:val="14"/>
                <w:szCs w:val="14"/>
                <w:lang w:val="en-US"/>
              </w:rPr>
            </w:pPr>
            <w:r w:rsidRPr="00A4272B">
              <w:rPr>
                <w:color w:val="000000"/>
                <w:sz w:val="14"/>
                <w:szCs w:val="14"/>
                <w:lang w:val="en-US"/>
              </w:rPr>
              <w:t>Kakadu - Mary River, NT</w:t>
            </w:r>
          </w:p>
        </w:tc>
        <w:tc>
          <w:tcPr>
            <w:tcW w:w="998" w:type="dxa"/>
            <w:noWrap/>
            <w:vAlign w:val="center"/>
            <w:hideMark/>
          </w:tcPr>
          <w:p w14:paraId="64F7FB11" w14:textId="77777777" w:rsidR="00F3536C" w:rsidRPr="00A4272B" w:rsidRDefault="00F3536C" w:rsidP="00A41632">
            <w:pPr>
              <w:jc w:val="center"/>
              <w:rPr>
                <w:color w:val="000000"/>
                <w:sz w:val="14"/>
                <w:szCs w:val="14"/>
                <w:lang w:val="en-US"/>
              </w:rPr>
            </w:pPr>
            <w:r w:rsidRPr="00A4272B">
              <w:rPr>
                <w:color w:val="000000"/>
                <w:sz w:val="14"/>
                <w:szCs w:val="14"/>
                <w:lang w:val="en-US"/>
              </w:rPr>
              <w:t>KMR</w:t>
            </w:r>
          </w:p>
        </w:tc>
        <w:tc>
          <w:tcPr>
            <w:tcW w:w="1342" w:type="dxa"/>
            <w:noWrap/>
            <w:vAlign w:val="center"/>
            <w:hideMark/>
          </w:tcPr>
          <w:p w14:paraId="186798C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95C45A8" w14:textId="77777777" w:rsidR="00F3536C" w:rsidRPr="00A4272B" w:rsidRDefault="00F3536C" w:rsidP="00A41632">
            <w:pPr>
              <w:jc w:val="right"/>
              <w:rPr>
                <w:color w:val="000000"/>
                <w:sz w:val="14"/>
                <w:szCs w:val="14"/>
                <w:lang w:val="en-US"/>
              </w:rPr>
            </w:pPr>
            <w:r w:rsidRPr="00A4272B">
              <w:rPr>
                <w:color w:val="000000"/>
                <w:sz w:val="14"/>
                <w:szCs w:val="14"/>
                <w:lang w:val="en-US"/>
              </w:rPr>
              <w:t>-13.778912</w:t>
            </w:r>
          </w:p>
        </w:tc>
        <w:tc>
          <w:tcPr>
            <w:tcW w:w="998" w:type="dxa"/>
            <w:noWrap/>
            <w:vAlign w:val="center"/>
            <w:hideMark/>
          </w:tcPr>
          <w:p w14:paraId="43E92F8C" w14:textId="77777777" w:rsidR="00F3536C" w:rsidRPr="00A4272B" w:rsidRDefault="00F3536C" w:rsidP="00A41632">
            <w:pPr>
              <w:jc w:val="right"/>
              <w:rPr>
                <w:color w:val="000000"/>
                <w:sz w:val="14"/>
                <w:szCs w:val="14"/>
                <w:lang w:val="en-US"/>
              </w:rPr>
            </w:pPr>
            <w:r w:rsidRPr="00A4272B">
              <w:rPr>
                <w:color w:val="000000"/>
                <w:sz w:val="14"/>
                <w:szCs w:val="14"/>
                <w:lang w:val="en-US"/>
              </w:rPr>
              <w:t>131.870613</w:t>
            </w:r>
          </w:p>
        </w:tc>
        <w:tc>
          <w:tcPr>
            <w:tcW w:w="859" w:type="dxa"/>
            <w:tcBorders>
              <w:top w:val="nil"/>
              <w:left w:val="nil"/>
              <w:bottom w:val="nil"/>
              <w:right w:val="single" w:sz="8" w:space="0" w:color="auto"/>
            </w:tcBorders>
            <w:noWrap/>
            <w:vAlign w:val="center"/>
            <w:hideMark/>
          </w:tcPr>
          <w:p w14:paraId="63D1EED1" w14:textId="77777777" w:rsidR="00F3536C" w:rsidRPr="00A4272B" w:rsidRDefault="00F3536C" w:rsidP="00A41632">
            <w:pPr>
              <w:jc w:val="center"/>
              <w:rPr>
                <w:color w:val="000000"/>
                <w:sz w:val="14"/>
                <w:szCs w:val="14"/>
                <w:lang w:val="en-US"/>
              </w:rPr>
            </w:pPr>
            <w:r w:rsidRPr="00A4272B">
              <w:rPr>
                <w:color w:val="000000"/>
                <w:sz w:val="14"/>
                <w:szCs w:val="14"/>
                <w:lang w:val="en-US"/>
              </w:rPr>
              <w:t>190</w:t>
            </w:r>
          </w:p>
        </w:tc>
        <w:tc>
          <w:tcPr>
            <w:tcW w:w="792" w:type="dxa"/>
            <w:noWrap/>
            <w:vAlign w:val="center"/>
            <w:hideMark/>
          </w:tcPr>
          <w:p w14:paraId="07C3A36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760EB0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C255D5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07B68F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9769DB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68CD14B"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531476BD" w14:textId="77777777" w:rsidTr="00A41632">
        <w:trPr>
          <w:trHeight w:val="276"/>
          <w:jc w:val="center"/>
        </w:trPr>
        <w:tc>
          <w:tcPr>
            <w:tcW w:w="955" w:type="dxa"/>
            <w:tcBorders>
              <w:top w:val="nil"/>
              <w:left w:val="single" w:sz="8" w:space="0" w:color="auto"/>
              <w:bottom w:val="nil"/>
              <w:right w:val="nil"/>
            </w:tcBorders>
            <w:noWrap/>
            <w:vAlign w:val="center"/>
            <w:hideMark/>
          </w:tcPr>
          <w:p w14:paraId="1BE1A22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A16E326"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1B1503FF" w14:textId="77777777" w:rsidR="00F3536C" w:rsidRPr="00A4272B" w:rsidRDefault="00F3536C" w:rsidP="00A41632">
            <w:pPr>
              <w:rPr>
                <w:color w:val="000000"/>
                <w:sz w:val="14"/>
                <w:szCs w:val="14"/>
                <w:lang w:val="en-US"/>
              </w:rPr>
            </w:pPr>
            <w:r w:rsidRPr="00A4272B">
              <w:rPr>
                <w:color w:val="000000"/>
                <w:sz w:val="14"/>
                <w:szCs w:val="14"/>
                <w:lang w:val="en-US"/>
              </w:rPr>
              <w:t>Kalbarri - National Park, WA</w:t>
            </w:r>
          </w:p>
        </w:tc>
        <w:tc>
          <w:tcPr>
            <w:tcW w:w="998" w:type="dxa"/>
            <w:noWrap/>
            <w:vAlign w:val="center"/>
            <w:hideMark/>
          </w:tcPr>
          <w:p w14:paraId="1047034A" w14:textId="77777777" w:rsidR="00F3536C" w:rsidRPr="00A4272B" w:rsidRDefault="00F3536C" w:rsidP="00A41632">
            <w:pPr>
              <w:jc w:val="center"/>
              <w:rPr>
                <w:color w:val="000000"/>
                <w:sz w:val="14"/>
                <w:szCs w:val="14"/>
                <w:lang w:val="en-US"/>
              </w:rPr>
            </w:pPr>
            <w:r w:rsidRPr="00A4272B">
              <w:rPr>
                <w:color w:val="000000"/>
                <w:sz w:val="14"/>
                <w:szCs w:val="14"/>
                <w:lang w:val="en-US"/>
              </w:rPr>
              <w:t>KLB</w:t>
            </w:r>
          </w:p>
        </w:tc>
        <w:tc>
          <w:tcPr>
            <w:tcW w:w="1342" w:type="dxa"/>
            <w:noWrap/>
            <w:vAlign w:val="center"/>
            <w:hideMark/>
          </w:tcPr>
          <w:p w14:paraId="0F55E37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D03D478" w14:textId="77777777" w:rsidR="00F3536C" w:rsidRPr="00A4272B" w:rsidRDefault="00F3536C" w:rsidP="00A41632">
            <w:pPr>
              <w:jc w:val="right"/>
              <w:rPr>
                <w:color w:val="000000"/>
                <w:sz w:val="14"/>
                <w:szCs w:val="14"/>
                <w:lang w:val="en-US"/>
              </w:rPr>
            </w:pPr>
            <w:r w:rsidRPr="00A4272B">
              <w:rPr>
                <w:color w:val="000000"/>
                <w:sz w:val="14"/>
                <w:szCs w:val="14"/>
                <w:lang w:val="en-US"/>
              </w:rPr>
              <w:t>-27.810367</w:t>
            </w:r>
          </w:p>
        </w:tc>
        <w:tc>
          <w:tcPr>
            <w:tcW w:w="998" w:type="dxa"/>
            <w:noWrap/>
            <w:vAlign w:val="center"/>
            <w:hideMark/>
          </w:tcPr>
          <w:p w14:paraId="46FAFF0C" w14:textId="77777777" w:rsidR="00F3536C" w:rsidRPr="00A4272B" w:rsidRDefault="00F3536C" w:rsidP="00A41632">
            <w:pPr>
              <w:jc w:val="right"/>
              <w:rPr>
                <w:color w:val="000000"/>
                <w:sz w:val="14"/>
                <w:szCs w:val="14"/>
                <w:lang w:val="en-US"/>
              </w:rPr>
            </w:pPr>
            <w:r w:rsidRPr="00A4272B">
              <w:rPr>
                <w:color w:val="000000"/>
                <w:sz w:val="14"/>
                <w:szCs w:val="14"/>
                <w:lang w:val="en-US"/>
              </w:rPr>
              <w:t>114.464558</w:t>
            </w:r>
          </w:p>
        </w:tc>
        <w:tc>
          <w:tcPr>
            <w:tcW w:w="859" w:type="dxa"/>
            <w:tcBorders>
              <w:top w:val="nil"/>
              <w:left w:val="nil"/>
              <w:bottom w:val="nil"/>
              <w:right w:val="single" w:sz="8" w:space="0" w:color="auto"/>
            </w:tcBorders>
            <w:noWrap/>
            <w:vAlign w:val="center"/>
            <w:hideMark/>
          </w:tcPr>
          <w:p w14:paraId="26174827" w14:textId="77777777" w:rsidR="00F3536C" w:rsidRPr="00A4272B" w:rsidRDefault="00F3536C" w:rsidP="00A41632">
            <w:pPr>
              <w:jc w:val="center"/>
              <w:rPr>
                <w:color w:val="000000"/>
                <w:sz w:val="14"/>
                <w:szCs w:val="14"/>
                <w:lang w:val="en-US"/>
              </w:rPr>
            </w:pPr>
            <w:r w:rsidRPr="00A4272B">
              <w:rPr>
                <w:color w:val="000000"/>
                <w:sz w:val="14"/>
                <w:szCs w:val="14"/>
                <w:lang w:val="en-US"/>
              </w:rPr>
              <w:t>206</w:t>
            </w:r>
          </w:p>
        </w:tc>
        <w:tc>
          <w:tcPr>
            <w:tcW w:w="792" w:type="dxa"/>
            <w:noWrap/>
            <w:vAlign w:val="center"/>
            <w:hideMark/>
          </w:tcPr>
          <w:p w14:paraId="6637BD0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35AE27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0AE1EC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2DECF2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8BE848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FEF1C10"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B6093D2" w14:textId="77777777" w:rsidTr="00A41632">
        <w:trPr>
          <w:trHeight w:val="276"/>
          <w:jc w:val="center"/>
        </w:trPr>
        <w:tc>
          <w:tcPr>
            <w:tcW w:w="955" w:type="dxa"/>
            <w:tcBorders>
              <w:top w:val="nil"/>
              <w:left w:val="single" w:sz="8" w:space="0" w:color="auto"/>
              <w:bottom w:val="nil"/>
              <w:right w:val="nil"/>
            </w:tcBorders>
            <w:noWrap/>
            <w:vAlign w:val="center"/>
            <w:hideMark/>
          </w:tcPr>
          <w:p w14:paraId="531C2433"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79A595CF"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0712BDF" w14:textId="77777777" w:rsidR="00F3536C" w:rsidRPr="00A4272B" w:rsidRDefault="00F3536C" w:rsidP="00A41632">
            <w:pPr>
              <w:rPr>
                <w:color w:val="000000"/>
                <w:sz w:val="14"/>
                <w:szCs w:val="14"/>
                <w:lang w:val="en-US"/>
              </w:rPr>
            </w:pPr>
            <w:r w:rsidRPr="00A4272B">
              <w:rPr>
                <w:color w:val="000000"/>
                <w:sz w:val="14"/>
                <w:szCs w:val="14"/>
                <w:lang w:val="en-US"/>
              </w:rPr>
              <w:t>Kalbarri - Park HQ, WA</w:t>
            </w:r>
          </w:p>
        </w:tc>
        <w:tc>
          <w:tcPr>
            <w:tcW w:w="998" w:type="dxa"/>
            <w:noWrap/>
            <w:vAlign w:val="center"/>
            <w:hideMark/>
          </w:tcPr>
          <w:p w14:paraId="70ACE5A5" w14:textId="77777777" w:rsidR="00F3536C" w:rsidRPr="00A4272B" w:rsidRDefault="00F3536C" w:rsidP="00A41632">
            <w:pPr>
              <w:jc w:val="center"/>
              <w:rPr>
                <w:color w:val="000000"/>
                <w:sz w:val="14"/>
                <w:szCs w:val="14"/>
                <w:lang w:val="en-US"/>
              </w:rPr>
            </w:pPr>
            <w:r w:rsidRPr="00A4272B">
              <w:rPr>
                <w:color w:val="000000"/>
                <w:sz w:val="14"/>
                <w:szCs w:val="14"/>
                <w:lang w:val="en-US"/>
              </w:rPr>
              <w:t>KLB</w:t>
            </w:r>
          </w:p>
        </w:tc>
        <w:tc>
          <w:tcPr>
            <w:tcW w:w="1342" w:type="dxa"/>
            <w:noWrap/>
            <w:vAlign w:val="center"/>
            <w:hideMark/>
          </w:tcPr>
          <w:p w14:paraId="33F2F0C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A0B5291" w14:textId="77777777" w:rsidR="00F3536C" w:rsidRPr="00A4272B" w:rsidRDefault="00F3536C" w:rsidP="00A41632">
            <w:pPr>
              <w:jc w:val="right"/>
              <w:rPr>
                <w:color w:val="000000"/>
                <w:sz w:val="14"/>
                <w:szCs w:val="14"/>
                <w:lang w:val="en-US"/>
              </w:rPr>
            </w:pPr>
            <w:r w:rsidRPr="00A4272B">
              <w:rPr>
                <w:color w:val="000000"/>
                <w:sz w:val="14"/>
                <w:szCs w:val="14"/>
                <w:lang w:val="en-US"/>
              </w:rPr>
              <w:t>-27.695068</w:t>
            </w:r>
          </w:p>
        </w:tc>
        <w:tc>
          <w:tcPr>
            <w:tcW w:w="998" w:type="dxa"/>
            <w:noWrap/>
            <w:vAlign w:val="center"/>
            <w:hideMark/>
          </w:tcPr>
          <w:p w14:paraId="6F6B4377" w14:textId="77777777" w:rsidR="00F3536C" w:rsidRPr="00A4272B" w:rsidRDefault="00F3536C" w:rsidP="00A41632">
            <w:pPr>
              <w:jc w:val="right"/>
              <w:rPr>
                <w:color w:val="000000"/>
                <w:sz w:val="14"/>
                <w:szCs w:val="14"/>
                <w:lang w:val="en-US"/>
              </w:rPr>
            </w:pPr>
            <w:r w:rsidRPr="00A4272B">
              <w:rPr>
                <w:color w:val="000000"/>
                <w:sz w:val="14"/>
                <w:szCs w:val="14"/>
                <w:lang w:val="en-US"/>
              </w:rPr>
              <w:t>114.182195</w:t>
            </w:r>
          </w:p>
        </w:tc>
        <w:tc>
          <w:tcPr>
            <w:tcW w:w="859" w:type="dxa"/>
            <w:tcBorders>
              <w:top w:val="nil"/>
              <w:left w:val="nil"/>
              <w:bottom w:val="nil"/>
              <w:right w:val="single" w:sz="8" w:space="0" w:color="auto"/>
            </w:tcBorders>
            <w:noWrap/>
            <w:vAlign w:val="center"/>
            <w:hideMark/>
          </w:tcPr>
          <w:p w14:paraId="01080E51" w14:textId="77777777" w:rsidR="00F3536C" w:rsidRPr="00A4272B" w:rsidRDefault="00F3536C" w:rsidP="00A41632">
            <w:pPr>
              <w:jc w:val="center"/>
              <w:rPr>
                <w:color w:val="000000"/>
                <w:sz w:val="14"/>
                <w:szCs w:val="14"/>
                <w:lang w:val="en-US"/>
              </w:rPr>
            </w:pPr>
            <w:r w:rsidRPr="00A4272B">
              <w:rPr>
                <w:color w:val="000000"/>
                <w:sz w:val="14"/>
                <w:szCs w:val="14"/>
                <w:lang w:val="en-US"/>
              </w:rPr>
              <w:t>19</w:t>
            </w:r>
          </w:p>
        </w:tc>
        <w:tc>
          <w:tcPr>
            <w:tcW w:w="792" w:type="dxa"/>
            <w:noWrap/>
            <w:vAlign w:val="center"/>
            <w:hideMark/>
          </w:tcPr>
          <w:p w14:paraId="2D19E41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54EFADA"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1FA55A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BB4986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A4650E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69A5FF8"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103B73AA" w14:textId="77777777" w:rsidTr="00A41632">
        <w:trPr>
          <w:trHeight w:val="276"/>
          <w:jc w:val="center"/>
        </w:trPr>
        <w:tc>
          <w:tcPr>
            <w:tcW w:w="955" w:type="dxa"/>
            <w:tcBorders>
              <w:top w:val="nil"/>
              <w:left w:val="single" w:sz="8" w:space="0" w:color="auto"/>
              <w:bottom w:val="nil"/>
              <w:right w:val="nil"/>
            </w:tcBorders>
            <w:noWrap/>
            <w:vAlign w:val="center"/>
            <w:hideMark/>
          </w:tcPr>
          <w:p w14:paraId="5313BA4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6DD16B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ABD7925" w14:textId="77777777" w:rsidR="00F3536C" w:rsidRPr="00A4272B" w:rsidRDefault="00F3536C" w:rsidP="00A41632">
            <w:pPr>
              <w:rPr>
                <w:color w:val="000000"/>
                <w:sz w:val="14"/>
                <w:szCs w:val="14"/>
                <w:lang w:val="en-US"/>
              </w:rPr>
            </w:pPr>
            <w:r w:rsidRPr="00A4272B">
              <w:rPr>
                <w:color w:val="000000"/>
                <w:sz w:val="14"/>
                <w:szCs w:val="14"/>
                <w:lang w:val="en-US"/>
              </w:rPr>
              <w:t>Kalgoorlie, WA</w:t>
            </w:r>
          </w:p>
        </w:tc>
        <w:tc>
          <w:tcPr>
            <w:tcW w:w="998" w:type="dxa"/>
            <w:noWrap/>
            <w:vAlign w:val="center"/>
            <w:hideMark/>
          </w:tcPr>
          <w:p w14:paraId="31DD544A" w14:textId="77777777" w:rsidR="00F3536C" w:rsidRPr="00A4272B" w:rsidRDefault="00F3536C" w:rsidP="00A41632">
            <w:pPr>
              <w:jc w:val="center"/>
              <w:rPr>
                <w:color w:val="000000"/>
                <w:sz w:val="14"/>
                <w:szCs w:val="14"/>
                <w:lang w:val="en-US"/>
              </w:rPr>
            </w:pPr>
            <w:r w:rsidRPr="00A4272B">
              <w:rPr>
                <w:color w:val="000000"/>
                <w:sz w:val="14"/>
                <w:szCs w:val="14"/>
                <w:lang w:val="en-US"/>
              </w:rPr>
              <w:t>KLG</w:t>
            </w:r>
          </w:p>
        </w:tc>
        <w:tc>
          <w:tcPr>
            <w:tcW w:w="1342" w:type="dxa"/>
            <w:noWrap/>
            <w:vAlign w:val="center"/>
            <w:hideMark/>
          </w:tcPr>
          <w:p w14:paraId="12F7582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5FE8027" w14:textId="77777777" w:rsidR="00F3536C" w:rsidRPr="00A4272B" w:rsidRDefault="00F3536C" w:rsidP="00A41632">
            <w:pPr>
              <w:jc w:val="right"/>
              <w:rPr>
                <w:color w:val="000000"/>
                <w:sz w:val="14"/>
                <w:szCs w:val="14"/>
                <w:lang w:val="en-US"/>
              </w:rPr>
            </w:pPr>
            <w:r w:rsidRPr="00A4272B">
              <w:rPr>
                <w:color w:val="000000"/>
                <w:sz w:val="14"/>
                <w:szCs w:val="14"/>
                <w:lang w:val="en-US"/>
              </w:rPr>
              <w:t>-30.750840</w:t>
            </w:r>
          </w:p>
        </w:tc>
        <w:tc>
          <w:tcPr>
            <w:tcW w:w="998" w:type="dxa"/>
            <w:noWrap/>
            <w:vAlign w:val="center"/>
            <w:hideMark/>
          </w:tcPr>
          <w:p w14:paraId="7F872EC8" w14:textId="77777777" w:rsidR="00F3536C" w:rsidRPr="00A4272B" w:rsidRDefault="00F3536C" w:rsidP="00A41632">
            <w:pPr>
              <w:jc w:val="right"/>
              <w:rPr>
                <w:color w:val="000000"/>
                <w:sz w:val="14"/>
                <w:szCs w:val="14"/>
                <w:lang w:val="en-US"/>
              </w:rPr>
            </w:pPr>
            <w:r w:rsidRPr="00A4272B">
              <w:rPr>
                <w:color w:val="000000"/>
                <w:sz w:val="14"/>
                <w:szCs w:val="14"/>
                <w:lang w:val="en-US"/>
              </w:rPr>
              <w:t>121.463050</w:t>
            </w:r>
          </w:p>
        </w:tc>
        <w:tc>
          <w:tcPr>
            <w:tcW w:w="859" w:type="dxa"/>
            <w:tcBorders>
              <w:top w:val="nil"/>
              <w:left w:val="nil"/>
              <w:bottom w:val="nil"/>
              <w:right w:val="single" w:sz="8" w:space="0" w:color="auto"/>
            </w:tcBorders>
            <w:noWrap/>
            <w:vAlign w:val="center"/>
            <w:hideMark/>
          </w:tcPr>
          <w:p w14:paraId="001AADF7" w14:textId="77777777" w:rsidR="00F3536C" w:rsidRPr="00A4272B" w:rsidRDefault="00F3536C" w:rsidP="00A41632">
            <w:pPr>
              <w:jc w:val="center"/>
              <w:rPr>
                <w:color w:val="000000"/>
                <w:sz w:val="14"/>
                <w:szCs w:val="14"/>
                <w:lang w:val="en-US"/>
              </w:rPr>
            </w:pPr>
            <w:r w:rsidRPr="00A4272B">
              <w:rPr>
                <w:color w:val="000000"/>
                <w:sz w:val="14"/>
                <w:szCs w:val="14"/>
                <w:lang w:val="en-US"/>
              </w:rPr>
              <w:t>367</w:t>
            </w:r>
          </w:p>
        </w:tc>
        <w:tc>
          <w:tcPr>
            <w:tcW w:w="792" w:type="dxa"/>
            <w:noWrap/>
            <w:vAlign w:val="center"/>
            <w:hideMark/>
          </w:tcPr>
          <w:p w14:paraId="1A90813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4BA2CC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5553BB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1E0FB4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F15A3A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C34CA22"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56E10C14" w14:textId="77777777" w:rsidTr="00A41632">
        <w:trPr>
          <w:trHeight w:val="276"/>
          <w:jc w:val="center"/>
        </w:trPr>
        <w:tc>
          <w:tcPr>
            <w:tcW w:w="955" w:type="dxa"/>
            <w:tcBorders>
              <w:top w:val="nil"/>
              <w:left w:val="single" w:sz="8" w:space="0" w:color="auto"/>
              <w:bottom w:val="nil"/>
              <w:right w:val="nil"/>
            </w:tcBorders>
            <w:noWrap/>
            <w:vAlign w:val="center"/>
            <w:hideMark/>
          </w:tcPr>
          <w:p w14:paraId="53D0F73B"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12A96E4C"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08F9279D" w14:textId="77777777" w:rsidR="00F3536C" w:rsidRPr="00A4272B" w:rsidRDefault="00F3536C" w:rsidP="00A41632">
            <w:pPr>
              <w:rPr>
                <w:color w:val="000000"/>
                <w:sz w:val="14"/>
                <w:szCs w:val="14"/>
                <w:lang w:val="en-US"/>
              </w:rPr>
            </w:pPr>
            <w:r w:rsidRPr="00A4272B">
              <w:rPr>
                <w:color w:val="000000"/>
                <w:sz w:val="14"/>
                <w:szCs w:val="14"/>
                <w:lang w:val="en-US"/>
              </w:rPr>
              <w:t>Karratha - Airport, WA</w:t>
            </w:r>
          </w:p>
        </w:tc>
        <w:tc>
          <w:tcPr>
            <w:tcW w:w="998" w:type="dxa"/>
            <w:noWrap/>
            <w:vAlign w:val="center"/>
            <w:hideMark/>
          </w:tcPr>
          <w:p w14:paraId="597168E2" w14:textId="77777777" w:rsidR="00F3536C" w:rsidRPr="00A4272B" w:rsidRDefault="00F3536C" w:rsidP="00A41632">
            <w:pPr>
              <w:jc w:val="center"/>
              <w:rPr>
                <w:color w:val="000000"/>
                <w:sz w:val="14"/>
                <w:szCs w:val="14"/>
                <w:lang w:val="en-US"/>
              </w:rPr>
            </w:pPr>
            <w:r w:rsidRPr="00A4272B">
              <w:rPr>
                <w:color w:val="000000"/>
                <w:sz w:val="14"/>
                <w:szCs w:val="14"/>
                <w:lang w:val="en-US"/>
              </w:rPr>
              <w:t>KAR</w:t>
            </w:r>
          </w:p>
        </w:tc>
        <w:tc>
          <w:tcPr>
            <w:tcW w:w="1342" w:type="dxa"/>
            <w:noWrap/>
            <w:vAlign w:val="center"/>
            <w:hideMark/>
          </w:tcPr>
          <w:p w14:paraId="6ED17E7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5EC94CE" w14:textId="77777777" w:rsidR="00F3536C" w:rsidRPr="00A4272B" w:rsidRDefault="00F3536C" w:rsidP="00A41632">
            <w:pPr>
              <w:jc w:val="right"/>
              <w:rPr>
                <w:color w:val="000000"/>
                <w:sz w:val="14"/>
                <w:szCs w:val="14"/>
                <w:lang w:val="en-US"/>
              </w:rPr>
            </w:pPr>
            <w:r w:rsidRPr="00A4272B">
              <w:rPr>
                <w:color w:val="000000"/>
                <w:sz w:val="14"/>
                <w:szCs w:val="14"/>
                <w:lang w:val="en-US"/>
              </w:rPr>
              <w:t>-20.708558</w:t>
            </w:r>
          </w:p>
        </w:tc>
        <w:tc>
          <w:tcPr>
            <w:tcW w:w="998" w:type="dxa"/>
            <w:noWrap/>
            <w:vAlign w:val="center"/>
            <w:hideMark/>
          </w:tcPr>
          <w:p w14:paraId="1015A870" w14:textId="77777777" w:rsidR="00F3536C" w:rsidRPr="00A4272B" w:rsidRDefault="00F3536C" w:rsidP="00A41632">
            <w:pPr>
              <w:jc w:val="right"/>
              <w:rPr>
                <w:color w:val="000000"/>
                <w:sz w:val="14"/>
                <w:szCs w:val="14"/>
                <w:lang w:val="en-US"/>
              </w:rPr>
            </w:pPr>
            <w:r w:rsidRPr="00A4272B">
              <w:rPr>
                <w:color w:val="000000"/>
                <w:sz w:val="14"/>
                <w:szCs w:val="14"/>
                <w:lang w:val="en-US"/>
              </w:rPr>
              <w:t>116.774347</w:t>
            </w:r>
          </w:p>
        </w:tc>
        <w:tc>
          <w:tcPr>
            <w:tcW w:w="859" w:type="dxa"/>
            <w:tcBorders>
              <w:top w:val="nil"/>
              <w:left w:val="nil"/>
              <w:bottom w:val="nil"/>
              <w:right w:val="single" w:sz="8" w:space="0" w:color="auto"/>
            </w:tcBorders>
            <w:noWrap/>
            <w:vAlign w:val="center"/>
            <w:hideMark/>
          </w:tcPr>
          <w:p w14:paraId="29EB7F12" w14:textId="77777777" w:rsidR="00F3536C" w:rsidRPr="00A4272B" w:rsidRDefault="00F3536C" w:rsidP="00A41632">
            <w:pPr>
              <w:jc w:val="center"/>
              <w:rPr>
                <w:color w:val="000000"/>
                <w:sz w:val="14"/>
                <w:szCs w:val="14"/>
                <w:lang w:val="en-US"/>
              </w:rPr>
            </w:pPr>
            <w:r w:rsidRPr="00A4272B">
              <w:rPr>
                <w:color w:val="000000"/>
                <w:sz w:val="14"/>
                <w:szCs w:val="14"/>
                <w:lang w:val="en-US"/>
              </w:rPr>
              <w:t>8</w:t>
            </w:r>
          </w:p>
        </w:tc>
        <w:tc>
          <w:tcPr>
            <w:tcW w:w="792" w:type="dxa"/>
            <w:noWrap/>
            <w:vAlign w:val="center"/>
            <w:hideMark/>
          </w:tcPr>
          <w:p w14:paraId="4A7699B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2F4334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D6052A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34EE5E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4D6623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F8405D9"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210BF84" w14:textId="77777777" w:rsidTr="00A41632">
        <w:trPr>
          <w:trHeight w:val="276"/>
          <w:jc w:val="center"/>
        </w:trPr>
        <w:tc>
          <w:tcPr>
            <w:tcW w:w="955" w:type="dxa"/>
            <w:tcBorders>
              <w:top w:val="nil"/>
              <w:left w:val="single" w:sz="8" w:space="0" w:color="auto"/>
              <w:bottom w:val="nil"/>
              <w:right w:val="nil"/>
            </w:tcBorders>
            <w:noWrap/>
            <w:vAlign w:val="center"/>
            <w:hideMark/>
          </w:tcPr>
          <w:p w14:paraId="1299489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1D827CDC"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31FCB9A6" w14:textId="77777777" w:rsidR="00F3536C" w:rsidRPr="00A4272B" w:rsidRDefault="00F3536C" w:rsidP="00A41632">
            <w:pPr>
              <w:rPr>
                <w:color w:val="000000"/>
                <w:sz w:val="14"/>
                <w:szCs w:val="14"/>
                <w:lang w:val="en-US"/>
              </w:rPr>
            </w:pPr>
            <w:r w:rsidRPr="00A4272B">
              <w:rPr>
                <w:color w:val="000000"/>
                <w:sz w:val="14"/>
                <w:szCs w:val="14"/>
                <w:lang w:val="en-US"/>
              </w:rPr>
              <w:t>Karratha - Office/Town, WA</w:t>
            </w:r>
          </w:p>
        </w:tc>
        <w:tc>
          <w:tcPr>
            <w:tcW w:w="998" w:type="dxa"/>
            <w:noWrap/>
            <w:vAlign w:val="center"/>
            <w:hideMark/>
          </w:tcPr>
          <w:p w14:paraId="476AD1D9" w14:textId="77777777" w:rsidR="00F3536C" w:rsidRPr="00A4272B" w:rsidRDefault="00F3536C" w:rsidP="00A41632">
            <w:pPr>
              <w:jc w:val="center"/>
              <w:rPr>
                <w:color w:val="000000"/>
                <w:sz w:val="14"/>
                <w:szCs w:val="14"/>
                <w:lang w:val="en-US"/>
              </w:rPr>
            </w:pPr>
            <w:r w:rsidRPr="00A4272B">
              <w:rPr>
                <w:color w:val="000000"/>
                <w:sz w:val="14"/>
                <w:szCs w:val="14"/>
                <w:lang w:val="en-US"/>
              </w:rPr>
              <w:t>KAR</w:t>
            </w:r>
          </w:p>
        </w:tc>
        <w:tc>
          <w:tcPr>
            <w:tcW w:w="1342" w:type="dxa"/>
            <w:noWrap/>
            <w:vAlign w:val="center"/>
            <w:hideMark/>
          </w:tcPr>
          <w:p w14:paraId="680142A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367E6AE" w14:textId="77777777" w:rsidR="00F3536C" w:rsidRPr="00A4272B" w:rsidRDefault="00F3536C" w:rsidP="00A41632">
            <w:pPr>
              <w:jc w:val="right"/>
              <w:rPr>
                <w:color w:val="000000"/>
                <w:sz w:val="14"/>
                <w:szCs w:val="14"/>
                <w:lang w:val="en-US"/>
              </w:rPr>
            </w:pPr>
            <w:r w:rsidRPr="00A4272B">
              <w:rPr>
                <w:color w:val="000000"/>
                <w:sz w:val="14"/>
                <w:szCs w:val="14"/>
                <w:lang w:val="en-US"/>
              </w:rPr>
              <w:t>-20.737036</w:t>
            </w:r>
          </w:p>
        </w:tc>
        <w:tc>
          <w:tcPr>
            <w:tcW w:w="998" w:type="dxa"/>
            <w:noWrap/>
            <w:vAlign w:val="center"/>
            <w:hideMark/>
          </w:tcPr>
          <w:p w14:paraId="1409500B" w14:textId="77777777" w:rsidR="00F3536C" w:rsidRPr="00A4272B" w:rsidRDefault="00F3536C" w:rsidP="00A41632">
            <w:pPr>
              <w:jc w:val="right"/>
              <w:rPr>
                <w:color w:val="000000"/>
                <w:sz w:val="14"/>
                <w:szCs w:val="14"/>
                <w:lang w:val="en-US"/>
              </w:rPr>
            </w:pPr>
            <w:r w:rsidRPr="00A4272B">
              <w:rPr>
                <w:color w:val="000000"/>
                <w:sz w:val="14"/>
                <w:szCs w:val="14"/>
                <w:lang w:val="en-US"/>
              </w:rPr>
              <w:t>116.845720</w:t>
            </w:r>
          </w:p>
        </w:tc>
        <w:tc>
          <w:tcPr>
            <w:tcW w:w="859" w:type="dxa"/>
            <w:tcBorders>
              <w:top w:val="nil"/>
              <w:left w:val="nil"/>
              <w:bottom w:val="nil"/>
              <w:right w:val="single" w:sz="8" w:space="0" w:color="auto"/>
            </w:tcBorders>
            <w:noWrap/>
            <w:vAlign w:val="center"/>
            <w:hideMark/>
          </w:tcPr>
          <w:p w14:paraId="44507DA1" w14:textId="77777777" w:rsidR="00F3536C" w:rsidRPr="00A4272B" w:rsidRDefault="00F3536C" w:rsidP="00A41632">
            <w:pPr>
              <w:jc w:val="center"/>
              <w:rPr>
                <w:color w:val="000000"/>
                <w:sz w:val="14"/>
                <w:szCs w:val="14"/>
                <w:lang w:val="en-US"/>
              </w:rPr>
            </w:pPr>
            <w:r w:rsidRPr="00A4272B">
              <w:rPr>
                <w:color w:val="000000"/>
                <w:sz w:val="14"/>
                <w:szCs w:val="14"/>
                <w:lang w:val="en-US"/>
              </w:rPr>
              <w:t>17</w:t>
            </w:r>
          </w:p>
        </w:tc>
        <w:tc>
          <w:tcPr>
            <w:tcW w:w="792" w:type="dxa"/>
            <w:noWrap/>
            <w:vAlign w:val="center"/>
            <w:hideMark/>
          </w:tcPr>
          <w:p w14:paraId="5EF055D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519F67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011198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B0C67B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5F4C3D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A0A8EB0"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62E43ADE" w14:textId="77777777" w:rsidTr="00A41632">
        <w:trPr>
          <w:trHeight w:val="276"/>
          <w:jc w:val="center"/>
        </w:trPr>
        <w:tc>
          <w:tcPr>
            <w:tcW w:w="955" w:type="dxa"/>
            <w:tcBorders>
              <w:top w:val="nil"/>
              <w:left w:val="single" w:sz="8" w:space="0" w:color="auto"/>
              <w:bottom w:val="nil"/>
              <w:right w:val="nil"/>
            </w:tcBorders>
            <w:noWrap/>
            <w:vAlign w:val="center"/>
            <w:hideMark/>
          </w:tcPr>
          <w:p w14:paraId="17901308"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0D36D8D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0C29C67D" w14:textId="77777777" w:rsidR="00F3536C" w:rsidRPr="00A4272B" w:rsidRDefault="00F3536C" w:rsidP="00A41632">
            <w:pPr>
              <w:rPr>
                <w:color w:val="000000"/>
                <w:sz w:val="14"/>
                <w:szCs w:val="14"/>
                <w:lang w:val="en-US"/>
              </w:rPr>
            </w:pPr>
            <w:r w:rsidRPr="00A4272B">
              <w:rPr>
                <w:color w:val="000000"/>
                <w:sz w:val="14"/>
                <w:szCs w:val="14"/>
                <w:lang w:val="en-US"/>
              </w:rPr>
              <w:t>Kununurra - Middle Springs, WA</w:t>
            </w:r>
          </w:p>
        </w:tc>
        <w:tc>
          <w:tcPr>
            <w:tcW w:w="998" w:type="dxa"/>
            <w:noWrap/>
            <w:vAlign w:val="center"/>
            <w:hideMark/>
          </w:tcPr>
          <w:p w14:paraId="39B07217" w14:textId="77777777" w:rsidR="00F3536C" w:rsidRPr="00A4272B" w:rsidRDefault="00F3536C" w:rsidP="00A41632">
            <w:pPr>
              <w:jc w:val="center"/>
              <w:rPr>
                <w:color w:val="000000"/>
                <w:sz w:val="14"/>
                <w:szCs w:val="14"/>
                <w:lang w:val="en-US"/>
              </w:rPr>
            </w:pPr>
            <w:r w:rsidRPr="00A4272B">
              <w:rPr>
                <w:color w:val="000000"/>
                <w:sz w:val="14"/>
                <w:szCs w:val="14"/>
                <w:lang w:val="en-US"/>
              </w:rPr>
              <w:t>KUN</w:t>
            </w:r>
          </w:p>
        </w:tc>
        <w:tc>
          <w:tcPr>
            <w:tcW w:w="1342" w:type="dxa"/>
            <w:noWrap/>
            <w:vAlign w:val="center"/>
            <w:hideMark/>
          </w:tcPr>
          <w:p w14:paraId="4115BD8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A152129" w14:textId="77777777" w:rsidR="00F3536C" w:rsidRPr="00A4272B" w:rsidRDefault="00F3536C" w:rsidP="00A41632">
            <w:pPr>
              <w:jc w:val="right"/>
              <w:rPr>
                <w:color w:val="000000"/>
                <w:sz w:val="14"/>
                <w:szCs w:val="14"/>
                <w:lang w:val="en-US"/>
              </w:rPr>
            </w:pPr>
            <w:r w:rsidRPr="00A4272B">
              <w:rPr>
                <w:color w:val="000000"/>
                <w:sz w:val="14"/>
                <w:szCs w:val="14"/>
                <w:lang w:val="en-US"/>
              </w:rPr>
              <w:t>-15.633765</w:t>
            </w:r>
          </w:p>
        </w:tc>
        <w:tc>
          <w:tcPr>
            <w:tcW w:w="998" w:type="dxa"/>
            <w:noWrap/>
            <w:vAlign w:val="center"/>
            <w:hideMark/>
          </w:tcPr>
          <w:p w14:paraId="17A60D6B" w14:textId="77777777" w:rsidR="00F3536C" w:rsidRPr="00A4272B" w:rsidRDefault="00F3536C" w:rsidP="00A41632">
            <w:pPr>
              <w:jc w:val="right"/>
              <w:rPr>
                <w:color w:val="000000"/>
                <w:sz w:val="14"/>
                <w:szCs w:val="14"/>
                <w:lang w:val="en-US"/>
              </w:rPr>
            </w:pPr>
            <w:r w:rsidRPr="00A4272B">
              <w:rPr>
                <w:color w:val="000000"/>
                <w:sz w:val="14"/>
                <w:szCs w:val="14"/>
                <w:lang w:val="en-US"/>
              </w:rPr>
              <w:t>128.669735</w:t>
            </w:r>
          </w:p>
        </w:tc>
        <w:tc>
          <w:tcPr>
            <w:tcW w:w="859" w:type="dxa"/>
            <w:tcBorders>
              <w:top w:val="nil"/>
              <w:left w:val="nil"/>
              <w:bottom w:val="nil"/>
              <w:right w:val="single" w:sz="8" w:space="0" w:color="auto"/>
            </w:tcBorders>
            <w:noWrap/>
            <w:vAlign w:val="center"/>
            <w:hideMark/>
          </w:tcPr>
          <w:p w14:paraId="585D8E86" w14:textId="77777777" w:rsidR="00F3536C" w:rsidRPr="00A4272B" w:rsidRDefault="00F3536C" w:rsidP="00A41632">
            <w:pPr>
              <w:jc w:val="center"/>
              <w:rPr>
                <w:color w:val="000000"/>
                <w:sz w:val="14"/>
                <w:szCs w:val="14"/>
                <w:lang w:val="en-US"/>
              </w:rPr>
            </w:pPr>
            <w:r w:rsidRPr="00A4272B">
              <w:rPr>
                <w:color w:val="000000"/>
                <w:sz w:val="14"/>
                <w:szCs w:val="14"/>
                <w:lang w:val="en-US"/>
              </w:rPr>
              <w:t>61</w:t>
            </w:r>
          </w:p>
        </w:tc>
        <w:tc>
          <w:tcPr>
            <w:tcW w:w="792" w:type="dxa"/>
            <w:noWrap/>
            <w:vAlign w:val="center"/>
            <w:hideMark/>
          </w:tcPr>
          <w:p w14:paraId="18317D8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DAA600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C32527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192975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FC4C4F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AC501D6"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3E59EB62" w14:textId="77777777" w:rsidTr="00A41632">
        <w:trPr>
          <w:trHeight w:val="276"/>
          <w:jc w:val="center"/>
        </w:trPr>
        <w:tc>
          <w:tcPr>
            <w:tcW w:w="955" w:type="dxa"/>
            <w:tcBorders>
              <w:top w:val="nil"/>
              <w:left w:val="single" w:sz="8" w:space="0" w:color="auto"/>
              <w:bottom w:val="nil"/>
              <w:right w:val="nil"/>
            </w:tcBorders>
            <w:noWrap/>
            <w:vAlign w:val="center"/>
            <w:hideMark/>
          </w:tcPr>
          <w:p w14:paraId="68B3457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407CD8DF"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1098B968" w14:textId="77777777" w:rsidR="00F3536C" w:rsidRPr="00A4272B" w:rsidRDefault="00F3536C" w:rsidP="00A41632">
            <w:pPr>
              <w:rPr>
                <w:color w:val="000000"/>
                <w:sz w:val="14"/>
                <w:szCs w:val="14"/>
                <w:lang w:val="en-US"/>
              </w:rPr>
            </w:pPr>
            <w:r w:rsidRPr="00A4272B">
              <w:rPr>
                <w:color w:val="000000"/>
                <w:sz w:val="14"/>
                <w:szCs w:val="14"/>
                <w:lang w:val="en-US"/>
              </w:rPr>
              <w:t>Kununurra - Town Centre, WA</w:t>
            </w:r>
          </w:p>
        </w:tc>
        <w:tc>
          <w:tcPr>
            <w:tcW w:w="998" w:type="dxa"/>
            <w:noWrap/>
            <w:vAlign w:val="center"/>
            <w:hideMark/>
          </w:tcPr>
          <w:p w14:paraId="4E0D8ED1" w14:textId="77777777" w:rsidR="00F3536C" w:rsidRPr="00A4272B" w:rsidRDefault="00F3536C" w:rsidP="00A41632">
            <w:pPr>
              <w:jc w:val="center"/>
              <w:rPr>
                <w:color w:val="000000"/>
                <w:sz w:val="14"/>
                <w:szCs w:val="14"/>
                <w:lang w:val="en-US"/>
              </w:rPr>
            </w:pPr>
            <w:r w:rsidRPr="00A4272B">
              <w:rPr>
                <w:color w:val="000000"/>
                <w:sz w:val="14"/>
                <w:szCs w:val="14"/>
                <w:lang w:val="en-US"/>
              </w:rPr>
              <w:t>KUN</w:t>
            </w:r>
          </w:p>
        </w:tc>
        <w:tc>
          <w:tcPr>
            <w:tcW w:w="1342" w:type="dxa"/>
            <w:noWrap/>
            <w:vAlign w:val="center"/>
            <w:hideMark/>
          </w:tcPr>
          <w:p w14:paraId="792CBF1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4AAD288" w14:textId="77777777" w:rsidR="00F3536C" w:rsidRPr="00A4272B" w:rsidRDefault="00F3536C" w:rsidP="00A41632">
            <w:pPr>
              <w:jc w:val="right"/>
              <w:rPr>
                <w:color w:val="000000"/>
                <w:sz w:val="14"/>
                <w:szCs w:val="14"/>
                <w:lang w:val="en-US"/>
              </w:rPr>
            </w:pPr>
            <w:r w:rsidRPr="00A4272B">
              <w:rPr>
                <w:color w:val="000000"/>
                <w:sz w:val="14"/>
                <w:szCs w:val="14"/>
                <w:lang w:val="en-US"/>
              </w:rPr>
              <w:t>-15.653384</w:t>
            </w:r>
          </w:p>
        </w:tc>
        <w:tc>
          <w:tcPr>
            <w:tcW w:w="998" w:type="dxa"/>
            <w:noWrap/>
            <w:vAlign w:val="center"/>
            <w:hideMark/>
          </w:tcPr>
          <w:p w14:paraId="685B7FD9" w14:textId="77777777" w:rsidR="00F3536C" w:rsidRPr="00A4272B" w:rsidRDefault="00F3536C" w:rsidP="00A41632">
            <w:pPr>
              <w:jc w:val="right"/>
              <w:rPr>
                <w:color w:val="000000"/>
                <w:sz w:val="14"/>
                <w:szCs w:val="14"/>
                <w:lang w:val="en-US"/>
              </w:rPr>
            </w:pPr>
            <w:r w:rsidRPr="00A4272B">
              <w:rPr>
                <w:color w:val="000000"/>
                <w:sz w:val="14"/>
                <w:szCs w:val="14"/>
                <w:lang w:val="en-US"/>
              </w:rPr>
              <w:t>128.706960</w:t>
            </w:r>
          </w:p>
        </w:tc>
        <w:tc>
          <w:tcPr>
            <w:tcW w:w="859" w:type="dxa"/>
            <w:tcBorders>
              <w:top w:val="nil"/>
              <w:left w:val="nil"/>
              <w:bottom w:val="nil"/>
              <w:right w:val="single" w:sz="8" w:space="0" w:color="auto"/>
            </w:tcBorders>
            <w:noWrap/>
            <w:vAlign w:val="center"/>
            <w:hideMark/>
          </w:tcPr>
          <w:p w14:paraId="19449CDF" w14:textId="77777777" w:rsidR="00F3536C" w:rsidRPr="00A4272B" w:rsidRDefault="00F3536C" w:rsidP="00A41632">
            <w:pPr>
              <w:jc w:val="center"/>
              <w:rPr>
                <w:color w:val="000000"/>
                <w:sz w:val="14"/>
                <w:szCs w:val="14"/>
                <w:lang w:val="en-US"/>
              </w:rPr>
            </w:pPr>
            <w:r w:rsidRPr="00A4272B">
              <w:rPr>
                <w:color w:val="000000"/>
                <w:sz w:val="14"/>
                <w:szCs w:val="14"/>
                <w:lang w:val="en-US"/>
              </w:rPr>
              <w:t>37</w:t>
            </w:r>
          </w:p>
        </w:tc>
        <w:tc>
          <w:tcPr>
            <w:tcW w:w="792" w:type="dxa"/>
            <w:noWrap/>
            <w:vAlign w:val="center"/>
            <w:hideMark/>
          </w:tcPr>
          <w:p w14:paraId="7842E63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9867F3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7CBDD9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2FFC31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8EB306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1ADA9DA"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7E558A76" w14:textId="77777777" w:rsidTr="00A41632">
        <w:trPr>
          <w:trHeight w:val="276"/>
          <w:jc w:val="center"/>
        </w:trPr>
        <w:tc>
          <w:tcPr>
            <w:tcW w:w="955" w:type="dxa"/>
            <w:tcBorders>
              <w:top w:val="nil"/>
              <w:left w:val="single" w:sz="8" w:space="0" w:color="auto"/>
              <w:bottom w:val="nil"/>
              <w:right w:val="nil"/>
            </w:tcBorders>
            <w:noWrap/>
            <w:vAlign w:val="center"/>
            <w:hideMark/>
          </w:tcPr>
          <w:p w14:paraId="1AA7EA9E"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6E064F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98E796D" w14:textId="77777777" w:rsidR="00F3536C" w:rsidRPr="00A4272B" w:rsidRDefault="00F3536C" w:rsidP="00A41632">
            <w:pPr>
              <w:rPr>
                <w:color w:val="000000"/>
                <w:sz w:val="14"/>
                <w:szCs w:val="14"/>
                <w:lang w:val="en-US"/>
              </w:rPr>
            </w:pPr>
            <w:r w:rsidRPr="00A4272B">
              <w:rPr>
                <w:color w:val="000000"/>
                <w:sz w:val="14"/>
                <w:szCs w:val="14"/>
                <w:lang w:val="en-US"/>
              </w:rPr>
              <w:t>Lockyer Valley - Gatton, QLD</w:t>
            </w:r>
          </w:p>
        </w:tc>
        <w:tc>
          <w:tcPr>
            <w:tcW w:w="998" w:type="dxa"/>
            <w:noWrap/>
            <w:vAlign w:val="center"/>
            <w:hideMark/>
          </w:tcPr>
          <w:p w14:paraId="49D523B0" w14:textId="77777777" w:rsidR="00F3536C" w:rsidRPr="00A4272B" w:rsidRDefault="00F3536C" w:rsidP="00A41632">
            <w:pPr>
              <w:jc w:val="center"/>
              <w:rPr>
                <w:color w:val="000000"/>
                <w:sz w:val="14"/>
                <w:szCs w:val="14"/>
                <w:lang w:val="en-US"/>
              </w:rPr>
            </w:pPr>
            <w:r w:rsidRPr="00A4272B">
              <w:rPr>
                <w:color w:val="000000"/>
                <w:sz w:val="14"/>
                <w:szCs w:val="14"/>
                <w:lang w:val="en-US"/>
              </w:rPr>
              <w:t>LKV</w:t>
            </w:r>
          </w:p>
        </w:tc>
        <w:tc>
          <w:tcPr>
            <w:tcW w:w="1342" w:type="dxa"/>
            <w:noWrap/>
            <w:vAlign w:val="center"/>
            <w:hideMark/>
          </w:tcPr>
          <w:p w14:paraId="10C6EFA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AE4B5E8" w14:textId="77777777" w:rsidR="00F3536C" w:rsidRPr="00A4272B" w:rsidRDefault="00F3536C" w:rsidP="00A41632">
            <w:pPr>
              <w:jc w:val="right"/>
              <w:rPr>
                <w:color w:val="000000"/>
                <w:sz w:val="14"/>
                <w:szCs w:val="14"/>
                <w:lang w:val="en-US"/>
              </w:rPr>
            </w:pPr>
            <w:r w:rsidRPr="00A4272B">
              <w:rPr>
                <w:color w:val="000000"/>
                <w:sz w:val="14"/>
                <w:szCs w:val="14"/>
                <w:lang w:val="en-US"/>
              </w:rPr>
              <w:t>-27.544028</w:t>
            </w:r>
          </w:p>
        </w:tc>
        <w:tc>
          <w:tcPr>
            <w:tcW w:w="998" w:type="dxa"/>
            <w:noWrap/>
            <w:vAlign w:val="center"/>
            <w:hideMark/>
          </w:tcPr>
          <w:p w14:paraId="73234FC2" w14:textId="77777777" w:rsidR="00F3536C" w:rsidRPr="00A4272B" w:rsidRDefault="00F3536C" w:rsidP="00A41632">
            <w:pPr>
              <w:jc w:val="right"/>
              <w:rPr>
                <w:color w:val="000000"/>
                <w:sz w:val="14"/>
                <w:szCs w:val="14"/>
                <w:lang w:val="en-US"/>
              </w:rPr>
            </w:pPr>
            <w:r w:rsidRPr="00A4272B">
              <w:rPr>
                <w:color w:val="000000"/>
                <w:sz w:val="14"/>
                <w:szCs w:val="14"/>
                <w:lang w:val="en-US"/>
              </w:rPr>
              <w:t>152.330053</w:t>
            </w:r>
          </w:p>
        </w:tc>
        <w:tc>
          <w:tcPr>
            <w:tcW w:w="859" w:type="dxa"/>
            <w:tcBorders>
              <w:top w:val="nil"/>
              <w:left w:val="nil"/>
              <w:bottom w:val="nil"/>
              <w:right w:val="single" w:sz="8" w:space="0" w:color="auto"/>
            </w:tcBorders>
            <w:noWrap/>
            <w:vAlign w:val="center"/>
            <w:hideMark/>
          </w:tcPr>
          <w:p w14:paraId="2CB7B472" w14:textId="77777777" w:rsidR="00F3536C" w:rsidRPr="00A4272B" w:rsidRDefault="00F3536C" w:rsidP="00A41632">
            <w:pPr>
              <w:jc w:val="center"/>
              <w:rPr>
                <w:color w:val="000000"/>
                <w:sz w:val="14"/>
                <w:szCs w:val="14"/>
                <w:lang w:val="en-US"/>
              </w:rPr>
            </w:pPr>
            <w:r w:rsidRPr="00A4272B">
              <w:rPr>
                <w:color w:val="000000"/>
                <w:sz w:val="14"/>
                <w:szCs w:val="14"/>
                <w:lang w:val="en-US"/>
              </w:rPr>
              <w:t>94</w:t>
            </w:r>
          </w:p>
        </w:tc>
        <w:tc>
          <w:tcPr>
            <w:tcW w:w="792" w:type="dxa"/>
            <w:noWrap/>
            <w:vAlign w:val="center"/>
            <w:hideMark/>
          </w:tcPr>
          <w:p w14:paraId="1E9253B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EA1F582"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654634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E70852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DB159D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7D0BFA9"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0FA132F8" w14:textId="77777777" w:rsidTr="00A41632">
        <w:trPr>
          <w:trHeight w:val="276"/>
          <w:jc w:val="center"/>
        </w:trPr>
        <w:tc>
          <w:tcPr>
            <w:tcW w:w="955" w:type="dxa"/>
            <w:tcBorders>
              <w:top w:val="nil"/>
              <w:left w:val="single" w:sz="8" w:space="0" w:color="auto"/>
              <w:bottom w:val="nil"/>
              <w:right w:val="nil"/>
            </w:tcBorders>
            <w:noWrap/>
            <w:vAlign w:val="center"/>
            <w:hideMark/>
          </w:tcPr>
          <w:p w14:paraId="32ADC96E"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50153E7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A0AAD07" w14:textId="77777777" w:rsidR="00F3536C" w:rsidRPr="00A4272B" w:rsidRDefault="00F3536C" w:rsidP="00A41632">
            <w:pPr>
              <w:rPr>
                <w:color w:val="000000"/>
                <w:sz w:val="14"/>
                <w:szCs w:val="14"/>
                <w:lang w:val="en-US"/>
              </w:rPr>
            </w:pPr>
            <w:r w:rsidRPr="00A4272B">
              <w:rPr>
                <w:color w:val="000000"/>
                <w:sz w:val="14"/>
                <w:szCs w:val="14"/>
                <w:lang w:val="en-US"/>
              </w:rPr>
              <w:t>Mackay - Cannonvale, QLD</w:t>
            </w:r>
          </w:p>
        </w:tc>
        <w:tc>
          <w:tcPr>
            <w:tcW w:w="998" w:type="dxa"/>
            <w:noWrap/>
            <w:vAlign w:val="center"/>
            <w:hideMark/>
          </w:tcPr>
          <w:p w14:paraId="669CD628" w14:textId="77777777" w:rsidR="00F3536C" w:rsidRPr="00A4272B" w:rsidRDefault="00F3536C" w:rsidP="00A41632">
            <w:pPr>
              <w:jc w:val="center"/>
              <w:rPr>
                <w:color w:val="000000"/>
                <w:sz w:val="14"/>
                <w:szCs w:val="14"/>
                <w:lang w:val="en-US"/>
              </w:rPr>
            </w:pPr>
            <w:r w:rsidRPr="00A4272B">
              <w:rPr>
                <w:color w:val="000000"/>
                <w:sz w:val="14"/>
                <w:szCs w:val="14"/>
                <w:lang w:val="en-US"/>
              </w:rPr>
              <w:t>CAN</w:t>
            </w:r>
          </w:p>
        </w:tc>
        <w:tc>
          <w:tcPr>
            <w:tcW w:w="1342" w:type="dxa"/>
            <w:noWrap/>
            <w:vAlign w:val="center"/>
            <w:hideMark/>
          </w:tcPr>
          <w:p w14:paraId="29D0BCF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7EDE995" w14:textId="77777777" w:rsidR="00F3536C" w:rsidRPr="00A4272B" w:rsidRDefault="00F3536C" w:rsidP="00A41632">
            <w:pPr>
              <w:jc w:val="right"/>
              <w:rPr>
                <w:color w:val="000000"/>
                <w:sz w:val="14"/>
                <w:szCs w:val="14"/>
                <w:lang w:val="en-US"/>
              </w:rPr>
            </w:pPr>
            <w:r w:rsidRPr="00A4272B">
              <w:rPr>
                <w:color w:val="000000"/>
                <w:sz w:val="14"/>
                <w:szCs w:val="14"/>
                <w:lang w:val="en-US"/>
              </w:rPr>
              <w:t>-20.279770</w:t>
            </w:r>
          </w:p>
        </w:tc>
        <w:tc>
          <w:tcPr>
            <w:tcW w:w="998" w:type="dxa"/>
            <w:noWrap/>
            <w:vAlign w:val="center"/>
            <w:hideMark/>
          </w:tcPr>
          <w:p w14:paraId="0D26C629" w14:textId="77777777" w:rsidR="00F3536C" w:rsidRPr="00A4272B" w:rsidRDefault="00F3536C" w:rsidP="00A41632">
            <w:pPr>
              <w:jc w:val="right"/>
              <w:rPr>
                <w:color w:val="000000"/>
                <w:sz w:val="14"/>
                <w:szCs w:val="14"/>
                <w:lang w:val="en-US"/>
              </w:rPr>
            </w:pPr>
            <w:r w:rsidRPr="00A4272B">
              <w:rPr>
                <w:color w:val="000000"/>
                <w:sz w:val="14"/>
                <w:szCs w:val="14"/>
                <w:lang w:val="en-US"/>
              </w:rPr>
              <w:t>148.692450</w:t>
            </w:r>
          </w:p>
        </w:tc>
        <w:tc>
          <w:tcPr>
            <w:tcW w:w="859" w:type="dxa"/>
            <w:tcBorders>
              <w:top w:val="nil"/>
              <w:left w:val="nil"/>
              <w:bottom w:val="nil"/>
              <w:right w:val="single" w:sz="8" w:space="0" w:color="auto"/>
            </w:tcBorders>
            <w:noWrap/>
            <w:vAlign w:val="center"/>
            <w:hideMark/>
          </w:tcPr>
          <w:p w14:paraId="238CBBE2" w14:textId="77777777" w:rsidR="00F3536C" w:rsidRPr="00A4272B" w:rsidRDefault="00F3536C" w:rsidP="00A41632">
            <w:pPr>
              <w:jc w:val="center"/>
              <w:rPr>
                <w:color w:val="000000"/>
                <w:sz w:val="14"/>
                <w:szCs w:val="14"/>
                <w:lang w:val="en-US"/>
              </w:rPr>
            </w:pPr>
            <w:r w:rsidRPr="00A4272B">
              <w:rPr>
                <w:color w:val="000000"/>
                <w:sz w:val="14"/>
                <w:szCs w:val="14"/>
                <w:lang w:val="en-US"/>
              </w:rPr>
              <w:t>24</w:t>
            </w:r>
          </w:p>
        </w:tc>
        <w:tc>
          <w:tcPr>
            <w:tcW w:w="792" w:type="dxa"/>
            <w:noWrap/>
            <w:vAlign w:val="center"/>
            <w:hideMark/>
          </w:tcPr>
          <w:p w14:paraId="69108E4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B2F87C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978771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D7CB39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402C80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9C181E5" w14:textId="77777777" w:rsidR="00F3536C" w:rsidRPr="00A4272B" w:rsidRDefault="00F3536C" w:rsidP="00A41632">
            <w:pPr>
              <w:jc w:val="center"/>
              <w:rPr>
                <w:sz w:val="14"/>
                <w:szCs w:val="14"/>
                <w:lang w:val="en-US"/>
              </w:rPr>
            </w:pPr>
            <w:r w:rsidRPr="00A4272B">
              <w:rPr>
                <w:sz w:val="14"/>
                <w:szCs w:val="14"/>
                <w:lang w:val="en-US"/>
              </w:rPr>
              <w:t>2016</w:t>
            </w:r>
          </w:p>
        </w:tc>
      </w:tr>
      <w:tr w:rsidR="00F3536C" w:rsidRPr="00A4272B" w14:paraId="3E7488AD" w14:textId="77777777" w:rsidTr="00A41632">
        <w:trPr>
          <w:trHeight w:val="276"/>
          <w:jc w:val="center"/>
        </w:trPr>
        <w:tc>
          <w:tcPr>
            <w:tcW w:w="955" w:type="dxa"/>
            <w:tcBorders>
              <w:top w:val="nil"/>
              <w:left w:val="single" w:sz="8" w:space="0" w:color="auto"/>
              <w:bottom w:val="nil"/>
              <w:right w:val="nil"/>
            </w:tcBorders>
            <w:noWrap/>
            <w:vAlign w:val="center"/>
            <w:hideMark/>
          </w:tcPr>
          <w:p w14:paraId="362D027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77C4C681"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30027F1" w14:textId="77777777" w:rsidR="00F3536C" w:rsidRPr="00A4272B" w:rsidRDefault="00F3536C" w:rsidP="00A41632">
            <w:pPr>
              <w:rPr>
                <w:color w:val="000000"/>
                <w:sz w:val="14"/>
                <w:szCs w:val="14"/>
                <w:lang w:val="en-US"/>
              </w:rPr>
            </w:pPr>
            <w:r w:rsidRPr="00A4272B">
              <w:rPr>
                <w:color w:val="000000"/>
                <w:sz w:val="14"/>
                <w:szCs w:val="14"/>
                <w:lang w:val="en-US"/>
              </w:rPr>
              <w:t>Mackay - Eungella, QLD</w:t>
            </w:r>
          </w:p>
        </w:tc>
        <w:tc>
          <w:tcPr>
            <w:tcW w:w="998" w:type="dxa"/>
            <w:noWrap/>
            <w:vAlign w:val="center"/>
            <w:hideMark/>
          </w:tcPr>
          <w:p w14:paraId="480923BD" w14:textId="77777777" w:rsidR="00F3536C" w:rsidRPr="00A4272B" w:rsidRDefault="00F3536C" w:rsidP="00A41632">
            <w:pPr>
              <w:jc w:val="center"/>
              <w:rPr>
                <w:color w:val="000000"/>
                <w:sz w:val="14"/>
                <w:szCs w:val="14"/>
                <w:lang w:val="en-US"/>
              </w:rPr>
            </w:pPr>
            <w:r w:rsidRPr="00A4272B">
              <w:rPr>
                <w:color w:val="000000"/>
                <w:sz w:val="14"/>
                <w:szCs w:val="14"/>
                <w:lang w:val="en-US"/>
              </w:rPr>
              <w:t>EUN</w:t>
            </w:r>
          </w:p>
        </w:tc>
        <w:tc>
          <w:tcPr>
            <w:tcW w:w="1342" w:type="dxa"/>
            <w:noWrap/>
            <w:vAlign w:val="center"/>
            <w:hideMark/>
          </w:tcPr>
          <w:p w14:paraId="21ACE5A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0F3D36D" w14:textId="77777777" w:rsidR="00F3536C" w:rsidRPr="00A4272B" w:rsidRDefault="00F3536C" w:rsidP="00A41632">
            <w:pPr>
              <w:jc w:val="right"/>
              <w:rPr>
                <w:color w:val="000000"/>
                <w:sz w:val="14"/>
                <w:szCs w:val="14"/>
                <w:lang w:val="en-US"/>
              </w:rPr>
            </w:pPr>
            <w:r w:rsidRPr="00A4272B">
              <w:rPr>
                <w:color w:val="000000"/>
                <w:sz w:val="14"/>
                <w:szCs w:val="14"/>
                <w:lang w:val="en-US"/>
              </w:rPr>
              <w:t>-21.145467</w:t>
            </w:r>
          </w:p>
        </w:tc>
        <w:tc>
          <w:tcPr>
            <w:tcW w:w="998" w:type="dxa"/>
            <w:noWrap/>
            <w:vAlign w:val="center"/>
            <w:hideMark/>
          </w:tcPr>
          <w:p w14:paraId="2502AB34" w14:textId="77777777" w:rsidR="00F3536C" w:rsidRPr="00A4272B" w:rsidRDefault="00F3536C" w:rsidP="00A41632">
            <w:pPr>
              <w:jc w:val="right"/>
              <w:rPr>
                <w:color w:val="000000"/>
                <w:sz w:val="14"/>
                <w:szCs w:val="14"/>
                <w:lang w:val="en-US"/>
              </w:rPr>
            </w:pPr>
            <w:r w:rsidRPr="00A4272B">
              <w:rPr>
                <w:color w:val="000000"/>
                <w:sz w:val="14"/>
                <w:szCs w:val="14"/>
                <w:lang w:val="en-US"/>
              </w:rPr>
              <w:t>148.499132</w:t>
            </w:r>
          </w:p>
        </w:tc>
        <w:tc>
          <w:tcPr>
            <w:tcW w:w="859" w:type="dxa"/>
            <w:tcBorders>
              <w:top w:val="nil"/>
              <w:left w:val="nil"/>
              <w:bottom w:val="nil"/>
              <w:right w:val="single" w:sz="8" w:space="0" w:color="auto"/>
            </w:tcBorders>
            <w:noWrap/>
            <w:vAlign w:val="center"/>
            <w:hideMark/>
          </w:tcPr>
          <w:p w14:paraId="726EC2FB" w14:textId="77777777" w:rsidR="00F3536C" w:rsidRPr="00A4272B" w:rsidRDefault="00F3536C" w:rsidP="00A41632">
            <w:pPr>
              <w:jc w:val="center"/>
              <w:rPr>
                <w:color w:val="000000"/>
                <w:sz w:val="14"/>
                <w:szCs w:val="14"/>
                <w:lang w:val="en-US"/>
              </w:rPr>
            </w:pPr>
            <w:r w:rsidRPr="00A4272B">
              <w:rPr>
                <w:color w:val="000000"/>
                <w:sz w:val="14"/>
                <w:szCs w:val="14"/>
                <w:lang w:val="en-US"/>
              </w:rPr>
              <w:t>772</w:t>
            </w:r>
          </w:p>
        </w:tc>
        <w:tc>
          <w:tcPr>
            <w:tcW w:w="792" w:type="dxa"/>
            <w:noWrap/>
            <w:vAlign w:val="center"/>
            <w:hideMark/>
          </w:tcPr>
          <w:p w14:paraId="1E3AFB6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7CB62FA"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0A0F26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97F39B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0D72B4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9A51DCA"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3A67E3E4" w14:textId="77777777" w:rsidTr="00A41632">
        <w:trPr>
          <w:trHeight w:val="276"/>
          <w:jc w:val="center"/>
        </w:trPr>
        <w:tc>
          <w:tcPr>
            <w:tcW w:w="955" w:type="dxa"/>
            <w:tcBorders>
              <w:top w:val="nil"/>
              <w:left w:val="single" w:sz="8" w:space="0" w:color="auto"/>
              <w:bottom w:val="nil"/>
              <w:right w:val="nil"/>
            </w:tcBorders>
            <w:noWrap/>
            <w:vAlign w:val="center"/>
            <w:hideMark/>
          </w:tcPr>
          <w:p w14:paraId="17AC3AD4" w14:textId="77777777" w:rsidR="00F3536C" w:rsidRPr="00A4272B" w:rsidRDefault="00F3536C" w:rsidP="00A41632">
            <w:pPr>
              <w:rPr>
                <w:color w:val="000000"/>
                <w:sz w:val="14"/>
                <w:szCs w:val="14"/>
                <w:lang w:val="en-US"/>
              </w:rPr>
            </w:pPr>
            <w:r w:rsidRPr="00A4272B">
              <w:rPr>
                <w:color w:val="000000"/>
                <w:sz w:val="14"/>
                <w:szCs w:val="14"/>
                <w:lang w:val="en-US"/>
              </w:rPr>
              <w:lastRenderedPageBreak/>
              <w:t>Australia</w:t>
            </w:r>
          </w:p>
        </w:tc>
        <w:tc>
          <w:tcPr>
            <w:tcW w:w="1391" w:type="dxa"/>
            <w:noWrap/>
            <w:vAlign w:val="center"/>
            <w:hideMark/>
          </w:tcPr>
          <w:p w14:paraId="455992A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185C275A" w14:textId="77777777" w:rsidR="00F3536C" w:rsidRPr="00A4272B" w:rsidRDefault="00F3536C" w:rsidP="00A41632">
            <w:pPr>
              <w:rPr>
                <w:color w:val="000000"/>
                <w:sz w:val="14"/>
                <w:szCs w:val="14"/>
                <w:lang w:val="en-US"/>
              </w:rPr>
            </w:pPr>
            <w:r w:rsidRPr="00A4272B">
              <w:rPr>
                <w:color w:val="000000"/>
                <w:sz w:val="14"/>
                <w:szCs w:val="14"/>
                <w:lang w:val="en-US"/>
              </w:rPr>
              <w:t>McLaren Vale, SA</w:t>
            </w:r>
          </w:p>
        </w:tc>
        <w:tc>
          <w:tcPr>
            <w:tcW w:w="998" w:type="dxa"/>
            <w:noWrap/>
            <w:vAlign w:val="center"/>
            <w:hideMark/>
          </w:tcPr>
          <w:p w14:paraId="225E65E3" w14:textId="77777777" w:rsidR="00F3536C" w:rsidRPr="00A4272B" w:rsidRDefault="00F3536C" w:rsidP="00A41632">
            <w:pPr>
              <w:jc w:val="center"/>
              <w:rPr>
                <w:color w:val="000000"/>
                <w:sz w:val="14"/>
                <w:szCs w:val="14"/>
                <w:lang w:val="en-US"/>
              </w:rPr>
            </w:pPr>
            <w:r w:rsidRPr="00A4272B">
              <w:rPr>
                <w:color w:val="000000"/>
                <w:sz w:val="14"/>
                <w:szCs w:val="14"/>
                <w:lang w:val="en-US"/>
              </w:rPr>
              <w:t>MCV</w:t>
            </w:r>
          </w:p>
        </w:tc>
        <w:tc>
          <w:tcPr>
            <w:tcW w:w="1342" w:type="dxa"/>
            <w:noWrap/>
            <w:vAlign w:val="center"/>
            <w:hideMark/>
          </w:tcPr>
          <w:p w14:paraId="1A77862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662C4C8" w14:textId="77777777" w:rsidR="00F3536C" w:rsidRPr="00A4272B" w:rsidRDefault="00F3536C" w:rsidP="00A41632">
            <w:pPr>
              <w:jc w:val="right"/>
              <w:rPr>
                <w:color w:val="000000"/>
                <w:sz w:val="14"/>
                <w:szCs w:val="14"/>
                <w:lang w:val="en-US"/>
              </w:rPr>
            </w:pPr>
            <w:r w:rsidRPr="00A4272B">
              <w:rPr>
                <w:color w:val="000000"/>
                <w:sz w:val="14"/>
                <w:szCs w:val="14"/>
                <w:lang w:val="en-US"/>
              </w:rPr>
              <w:t>-35.177022</w:t>
            </w:r>
          </w:p>
        </w:tc>
        <w:tc>
          <w:tcPr>
            <w:tcW w:w="998" w:type="dxa"/>
            <w:noWrap/>
            <w:vAlign w:val="center"/>
            <w:hideMark/>
          </w:tcPr>
          <w:p w14:paraId="46243074" w14:textId="77777777" w:rsidR="00F3536C" w:rsidRPr="00A4272B" w:rsidRDefault="00F3536C" w:rsidP="00A41632">
            <w:pPr>
              <w:jc w:val="right"/>
              <w:rPr>
                <w:color w:val="000000"/>
                <w:sz w:val="14"/>
                <w:szCs w:val="14"/>
                <w:lang w:val="en-US"/>
              </w:rPr>
            </w:pPr>
            <w:r w:rsidRPr="00A4272B">
              <w:rPr>
                <w:color w:val="000000"/>
                <w:sz w:val="14"/>
                <w:szCs w:val="14"/>
                <w:lang w:val="en-US"/>
              </w:rPr>
              <w:t>138.543055</w:t>
            </w:r>
          </w:p>
        </w:tc>
        <w:tc>
          <w:tcPr>
            <w:tcW w:w="859" w:type="dxa"/>
            <w:tcBorders>
              <w:top w:val="nil"/>
              <w:left w:val="nil"/>
              <w:bottom w:val="nil"/>
              <w:right w:val="single" w:sz="8" w:space="0" w:color="auto"/>
            </w:tcBorders>
            <w:noWrap/>
            <w:vAlign w:val="center"/>
            <w:hideMark/>
          </w:tcPr>
          <w:p w14:paraId="7563BF75" w14:textId="77777777" w:rsidR="00F3536C" w:rsidRPr="00A4272B" w:rsidRDefault="00F3536C" w:rsidP="00A41632">
            <w:pPr>
              <w:jc w:val="center"/>
              <w:rPr>
                <w:color w:val="000000"/>
                <w:sz w:val="14"/>
                <w:szCs w:val="14"/>
                <w:lang w:val="en-US"/>
              </w:rPr>
            </w:pPr>
            <w:r w:rsidRPr="00A4272B">
              <w:rPr>
                <w:color w:val="000000"/>
                <w:sz w:val="14"/>
                <w:szCs w:val="14"/>
                <w:lang w:val="en-US"/>
              </w:rPr>
              <w:t>139</w:t>
            </w:r>
          </w:p>
        </w:tc>
        <w:tc>
          <w:tcPr>
            <w:tcW w:w="792" w:type="dxa"/>
            <w:noWrap/>
            <w:vAlign w:val="center"/>
            <w:hideMark/>
          </w:tcPr>
          <w:p w14:paraId="0EB4EC3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DD76FA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CE3E3F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DAD435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AFD147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A069AA8"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5B07B830" w14:textId="77777777" w:rsidTr="00F006B1">
        <w:trPr>
          <w:trHeight w:val="276"/>
          <w:jc w:val="center"/>
        </w:trPr>
        <w:tc>
          <w:tcPr>
            <w:tcW w:w="955" w:type="dxa"/>
            <w:tcBorders>
              <w:top w:val="nil"/>
              <w:left w:val="single" w:sz="8" w:space="0" w:color="auto"/>
              <w:right w:val="nil"/>
            </w:tcBorders>
            <w:noWrap/>
            <w:vAlign w:val="center"/>
            <w:hideMark/>
          </w:tcPr>
          <w:p w14:paraId="3E9E78E5"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6090C594"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2CF8972F" w14:textId="77777777" w:rsidR="00F3536C" w:rsidRPr="00A4272B" w:rsidRDefault="00F3536C" w:rsidP="00A41632">
            <w:pPr>
              <w:rPr>
                <w:color w:val="000000"/>
                <w:sz w:val="14"/>
                <w:szCs w:val="14"/>
                <w:lang w:val="en-US"/>
              </w:rPr>
            </w:pPr>
            <w:r w:rsidRPr="00A4272B">
              <w:rPr>
                <w:color w:val="000000"/>
                <w:sz w:val="14"/>
                <w:szCs w:val="14"/>
                <w:lang w:val="en-US"/>
              </w:rPr>
              <w:t>Melbourne, VIC</w:t>
            </w:r>
          </w:p>
        </w:tc>
        <w:tc>
          <w:tcPr>
            <w:tcW w:w="998" w:type="dxa"/>
            <w:noWrap/>
            <w:vAlign w:val="center"/>
            <w:hideMark/>
          </w:tcPr>
          <w:p w14:paraId="57CCA670" w14:textId="77777777" w:rsidR="00F3536C" w:rsidRPr="00A4272B" w:rsidRDefault="00F3536C" w:rsidP="00A41632">
            <w:pPr>
              <w:jc w:val="center"/>
              <w:rPr>
                <w:color w:val="000000"/>
                <w:sz w:val="14"/>
                <w:szCs w:val="14"/>
                <w:lang w:val="en-US"/>
              </w:rPr>
            </w:pPr>
            <w:r w:rsidRPr="00A4272B">
              <w:rPr>
                <w:color w:val="000000"/>
                <w:sz w:val="14"/>
                <w:szCs w:val="14"/>
                <w:lang w:val="en-US"/>
              </w:rPr>
              <w:t>MEL</w:t>
            </w:r>
          </w:p>
        </w:tc>
        <w:tc>
          <w:tcPr>
            <w:tcW w:w="1342" w:type="dxa"/>
            <w:noWrap/>
            <w:vAlign w:val="center"/>
            <w:hideMark/>
          </w:tcPr>
          <w:p w14:paraId="6119F1A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B585AC7" w14:textId="77777777" w:rsidR="00F3536C" w:rsidRPr="00A4272B" w:rsidRDefault="00F3536C" w:rsidP="00A41632">
            <w:pPr>
              <w:jc w:val="right"/>
              <w:rPr>
                <w:color w:val="000000"/>
                <w:sz w:val="14"/>
                <w:szCs w:val="14"/>
                <w:lang w:val="en-US"/>
              </w:rPr>
            </w:pPr>
            <w:r w:rsidRPr="00A4272B">
              <w:rPr>
                <w:color w:val="000000"/>
                <w:sz w:val="14"/>
                <w:szCs w:val="14"/>
                <w:lang w:val="en-US"/>
              </w:rPr>
              <w:t>-37.808717</w:t>
            </w:r>
          </w:p>
        </w:tc>
        <w:tc>
          <w:tcPr>
            <w:tcW w:w="998" w:type="dxa"/>
            <w:noWrap/>
            <w:vAlign w:val="center"/>
            <w:hideMark/>
          </w:tcPr>
          <w:p w14:paraId="479F463B" w14:textId="77777777" w:rsidR="00F3536C" w:rsidRPr="00A4272B" w:rsidRDefault="00F3536C" w:rsidP="00A41632">
            <w:pPr>
              <w:jc w:val="right"/>
              <w:rPr>
                <w:color w:val="000000"/>
                <w:sz w:val="14"/>
                <w:szCs w:val="14"/>
                <w:lang w:val="en-US"/>
              </w:rPr>
            </w:pPr>
            <w:r w:rsidRPr="00A4272B">
              <w:rPr>
                <w:color w:val="000000"/>
                <w:sz w:val="14"/>
                <w:szCs w:val="14"/>
                <w:lang w:val="en-US"/>
              </w:rPr>
              <w:t>144.965045</w:t>
            </w:r>
          </w:p>
        </w:tc>
        <w:tc>
          <w:tcPr>
            <w:tcW w:w="859" w:type="dxa"/>
            <w:tcBorders>
              <w:top w:val="nil"/>
              <w:left w:val="nil"/>
              <w:right w:val="single" w:sz="8" w:space="0" w:color="auto"/>
            </w:tcBorders>
            <w:noWrap/>
            <w:vAlign w:val="center"/>
            <w:hideMark/>
          </w:tcPr>
          <w:p w14:paraId="44561947" w14:textId="77777777" w:rsidR="00F3536C" w:rsidRPr="00A4272B" w:rsidRDefault="00F3536C" w:rsidP="00A41632">
            <w:pPr>
              <w:jc w:val="center"/>
              <w:rPr>
                <w:color w:val="000000"/>
                <w:sz w:val="14"/>
                <w:szCs w:val="14"/>
                <w:lang w:val="en-US"/>
              </w:rPr>
            </w:pPr>
            <w:r w:rsidRPr="00A4272B">
              <w:rPr>
                <w:color w:val="000000"/>
                <w:sz w:val="14"/>
                <w:szCs w:val="14"/>
                <w:lang w:val="en-US"/>
              </w:rPr>
              <w:t>44</w:t>
            </w:r>
          </w:p>
        </w:tc>
        <w:tc>
          <w:tcPr>
            <w:tcW w:w="792" w:type="dxa"/>
            <w:noWrap/>
            <w:vAlign w:val="center"/>
            <w:hideMark/>
          </w:tcPr>
          <w:p w14:paraId="36149C7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FC2B19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B2377B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AB5B35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7AD685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right w:val="single" w:sz="8" w:space="0" w:color="auto"/>
            </w:tcBorders>
            <w:noWrap/>
            <w:vAlign w:val="center"/>
            <w:hideMark/>
          </w:tcPr>
          <w:p w14:paraId="6289C998"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0EFF92AC"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5231FFD3"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tcBorders>
              <w:bottom w:val="single" w:sz="4" w:space="0" w:color="auto"/>
            </w:tcBorders>
            <w:noWrap/>
            <w:vAlign w:val="center"/>
            <w:hideMark/>
          </w:tcPr>
          <w:p w14:paraId="63301B31"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tcBorders>
              <w:bottom w:val="single" w:sz="4" w:space="0" w:color="auto"/>
            </w:tcBorders>
            <w:noWrap/>
            <w:vAlign w:val="center"/>
            <w:hideMark/>
          </w:tcPr>
          <w:p w14:paraId="479002F6" w14:textId="77777777" w:rsidR="00F3536C" w:rsidRPr="00A4272B" w:rsidRDefault="00F3536C" w:rsidP="00A41632">
            <w:pPr>
              <w:rPr>
                <w:color w:val="000000"/>
                <w:sz w:val="14"/>
                <w:szCs w:val="14"/>
                <w:lang w:val="en-US"/>
              </w:rPr>
            </w:pPr>
            <w:r w:rsidRPr="00A4272B">
              <w:rPr>
                <w:color w:val="000000"/>
                <w:sz w:val="14"/>
                <w:szCs w:val="14"/>
                <w:lang w:val="en-US"/>
              </w:rPr>
              <w:t>Merredin, WA</w:t>
            </w:r>
          </w:p>
        </w:tc>
        <w:tc>
          <w:tcPr>
            <w:tcW w:w="998" w:type="dxa"/>
            <w:tcBorders>
              <w:bottom w:val="single" w:sz="4" w:space="0" w:color="auto"/>
            </w:tcBorders>
            <w:noWrap/>
            <w:vAlign w:val="center"/>
            <w:hideMark/>
          </w:tcPr>
          <w:p w14:paraId="7ACE813D" w14:textId="77777777" w:rsidR="00F3536C" w:rsidRPr="00A4272B" w:rsidRDefault="00F3536C" w:rsidP="00A41632">
            <w:pPr>
              <w:jc w:val="center"/>
              <w:rPr>
                <w:color w:val="000000"/>
                <w:sz w:val="14"/>
                <w:szCs w:val="14"/>
                <w:lang w:val="en-US"/>
              </w:rPr>
            </w:pPr>
            <w:r w:rsidRPr="00A4272B">
              <w:rPr>
                <w:color w:val="000000"/>
                <w:sz w:val="14"/>
                <w:szCs w:val="14"/>
                <w:lang w:val="en-US"/>
              </w:rPr>
              <w:t>MER</w:t>
            </w:r>
          </w:p>
        </w:tc>
        <w:tc>
          <w:tcPr>
            <w:tcW w:w="1342" w:type="dxa"/>
            <w:tcBorders>
              <w:bottom w:val="single" w:sz="4" w:space="0" w:color="auto"/>
            </w:tcBorders>
            <w:noWrap/>
            <w:vAlign w:val="center"/>
            <w:hideMark/>
          </w:tcPr>
          <w:p w14:paraId="5F40F44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bottom w:val="single" w:sz="4" w:space="0" w:color="auto"/>
            </w:tcBorders>
            <w:noWrap/>
            <w:vAlign w:val="center"/>
            <w:hideMark/>
          </w:tcPr>
          <w:p w14:paraId="59E71516" w14:textId="77777777" w:rsidR="00F3536C" w:rsidRPr="00A4272B" w:rsidRDefault="00F3536C" w:rsidP="00A41632">
            <w:pPr>
              <w:jc w:val="right"/>
              <w:rPr>
                <w:color w:val="000000"/>
                <w:sz w:val="14"/>
                <w:szCs w:val="14"/>
                <w:lang w:val="en-US"/>
              </w:rPr>
            </w:pPr>
            <w:r w:rsidRPr="00A4272B">
              <w:rPr>
                <w:color w:val="000000"/>
                <w:sz w:val="14"/>
                <w:szCs w:val="14"/>
                <w:lang w:val="en-US"/>
              </w:rPr>
              <w:t>-31.481244</w:t>
            </w:r>
          </w:p>
        </w:tc>
        <w:tc>
          <w:tcPr>
            <w:tcW w:w="998" w:type="dxa"/>
            <w:tcBorders>
              <w:bottom w:val="single" w:sz="4" w:space="0" w:color="auto"/>
            </w:tcBorders>
            <w:noWrap/>
            <w:vAlign w:val="center"/>
            <w:hideMark/>
          </w:tcPr>
          <w:p w14:paraId="1120E508" w14:textId="77777777" w:rsidR="00F3536C" w:rsidRPr="00A4272B" w:rsidRDefault="00F3536C" w:rsidP="00A41632">
            <w:pPr>
              <w:jc w:val="right"/>
              <w:rPr>
                <w:color w:val="000000"/>
                <w:sz w:val="14"/>
                <w:szCs w:val="14"/>
                <w:lang w:val="en-US"/>
              </w:rPr>
            </w:pPr>
            <w:r w:rsidRPr="00A4272B">
              <w:rPr>
                <w:color w:val="000000"/>
                <w:sz w:val="14"/>
                <w:szCs w:val="14"/>
                <w:lang w:val="en-US"/>
              </w:rPr>
              <w:t>118.276466</w:t>
            </w:r>
          </w:p>
        </w:tc>
        <w:tc>
          <w:tcPr>
            <w:tcW w:w="859" w:type="dxa"/>
            <w:tcBorders>
              <w:top w:val="nil"/>
              <w:left w:val="nil"/>
              <w:bottom w:val="single" w:sz="4" w:space="0" w:color="auto"/>
              <w:right w:val="single" w:sz="8" w:space="0" w:color="auto"/>
            </w:tcBorders>
            <w:noWrap/>
            <w:vAlign w:val="center"/>
            <w:hideMark/>
          </w:tcPr>
          <w:p w14:paraId="35FF16EF" w14:textId="77777777" w:rsidR="00F3536C" w:rsidRPr="00A4272B" w:rsidRDefault="00F3536C" w:rsidP="00A41632">
            <w:pPr>
              <w:jc w:val="center"/>
              <w:rPr>
                <w:color w:val="000000"/>
                <w:sz w:val="14"/>
                <w:szCs w:val="14"/>
                <w:lang w:val="en-US"/>
              </w:rPr>
            </w:pPr>
            <w:r w:rsidRPr="00A4272B">
              <w:rPr>
                <w:color w:val="000000"/>
                <w:sz w:val="14"/>
                <w:szCs w:val="14"/>
                <w:lang w:val="en-US"/>
              </w:rPr>
              <w:t>322</w:t>
            </w:r>
          </w:p>
        </w:tc>
        <w:tc>
          <w:tcPr>
            <w:tcW w:w="792" w:type="dxa"/>
            <w:tcBorders>
              <w:bottom w:val="single" w:sz="4" w:space="0" w:color="auto"/>
            </w:tcBorders>
            <w:noWrap/>
            <w:vAlign w:val="center"/>
            <w:hideMark/>
          </w:tcPr>
          <w:p w14:paraId="161F9D0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bottom w:val="single" w:sz="4" w:space="0" w:color="auto"/>
            </w:tcBorders>
            <w:noWrap/>
            <w:vAlign w:val="center"/>
            <w:hideMark/>
          </w:tcPr>
          <w:p w14:paraId="55D8C77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bottom w:val="single" w:sz="4" w:space="0" w:color="auto"/>
            </w:tcBorders>
            <w:noWrap/>
            <w:vAlign w:val="center"/>
            <w:hideMark/>
          </w:tcPr>
          <w:p w14:paraId="78695F4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bottom w:val="single" w:sz="4" w:space="0" w:color="auto"/>
            </w:tcBorders>
            <w:noWrap/>
            <w:vAlign w:val="center"/>
            <w:hideMark/>
          </w:tcPr>
          <w:p w14:paraId="7D79C77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bottom w:val="single" w:sz="4" w:space="0" w:color="auto"/>
            </w:tcBorders>
            <w:noWrap/>
            <w:vAlign w:val="center"/>
            <w:hideMark/>
          </w:tcPr>
          <w:p w14:paraId="43E7015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single" w:sz="4" w:space="0" w:color="auto"/>
              <w:right w:val="single" w:sz="8" w:space="0" w:color="auto"/>
            </w:tcBorders>
            <w:noWrap/>
            <w:vAlign w:val="center"/>
            <w:hideMark/>
          </w:tcPr>
          <w:p w14:paraId="102C4FD7"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CF64244"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7DAA805C"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tcBorders>
              <w:top w:val="single" w:sz="4" w:space="0" w:color="auto"/>
            </w:tcBorders>
            <w:noWrap/>
            <w:vAlign w:val="center"/>
            <w:hideMark/>
          </w:tcPr>
          <w:p w14:paraId="110B4C4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tcBorders>
              <w:top w:val="single" w:sz="4" w:space="0" w:color="auto"/>
            </w:tcBorders>
            <w:noWrap/>
            <w:vAlign w:val="center"/>
            <w:hideMark/>
          </w:tcPr>
          <w:p w14:paraId="7978EC6B" w14:textId="77777777" w:rsidR="00F3536C" w:rsidRPr="00A4272B" w:rsidRDefault="00F3536C" w:rsidP="00A41632">
            <w:pPr>
              <w:rPr>
                <w:color w:val="000000"/>
                <w:sz w:val="14"/>
                <w:szCs w:val="14"/>
                <w:lang w:val="en-US"/>
              </w:rPr>
            </w:pPr>
            <w:r w:rsidRPr="00A4272B">
              <w:rPr>
                <w:color w:val="000000"/>
                <w:sz w:val="14"/>
                <w:szCs w:val="14"/>
                <w:lang w:val="en-US"/>
              </w:rPr>
              <w:t>Mildura, VIC</w:t>
            </w:r>
          </w:p>
        </w:tc>
        <w:tc>
          <w:tcPr>
            <w:tcW w:w="998" w:type="dxa"/>
            <w:tcBorders>
              <w:top w:val="single" w:sz="4" w:space="0" w:color="auto"/>
            </w:tcBorders>
            <w:noWrap/>
            <w:vAlign w:val="center"/>
            <w:hideMark/>
          </w:tcPr>
          <w:p w14:paraId="2F12B56A" w14:textId="77777777" w:rsidR="00F3536C" w:rsidRPr="00A4272B" w:rsidRDefault="00F3536C" w:rsidP="00A41632">
            <w:pPr>
              <w:jc w:val="center"/>
              <w:rPr>
                <w:color w:val="000000"/>
                <w:sz w:val="14"/>
                <w:szCs w:val="14"/>
                <w:lang w:val="en-US"/>
              </w:rPr>
            </w:pPr>
            <w:r w:rsidRPr="00A4272B">
              <w:rPr>
                <w:color w:val="000000"/>
                <w:sz w:val="14"/>
                <w:szCs w:val="14"/>
                <w:lang w:val="en-US"/>
              </w:rPr>
              <w:t>MIL</w:t>
            </w:r>
          </w:p>
        </w:tc>
        <w:tc>
          <w:tcPr>
            <w:tcW w:w="1342" w:type="dxa"/>
            <w:tcBorders>
              <w:top w:val="single" w:sz="4" w:space="0" w:color="auto"/>
            </w:tcBorders>
            <w:noWrap/>
            <w:vAlign w:val="center"/>
            <w:hideMark/>
          </w:tcPr>
          <w:p w14:paraId="7BC676C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single" w:sz="4" w:space="0" w:color="auto"/>
            </w:tcBorders>
            <w:noWrap/>
            <w:vAlign w:val="center"/>
            <w:hideMark/>
          </w:tcPr>
          <w:p w14:paraId="07C69C63" w14:textId="77777777" w:rsidR="00F3536C" w:rsidRPr="00A4272B" w:rsidRDefault="00F3536C" w:rsidP="00A41632">
            <w:pPr>
              <w:jc w:val="right"/>
              <w:rPr>
                <w:color w:val="000000"/>
                <w:sz w:val="14"/>
                <w:szCs w:val="14"/>
                <w:lang w:val="en-US"/>
              </w:rPr>
            </w:pPr>
            <w:r w:rsidRPr="00A4272B">
              <w:rPr>
                <w:color w:val="000000"/>
                <w:sz w:val="14"/>
                <w:szCs w:val="14"/>
                <w:lang w:val="en-US"/>
              </w:rPr>
              <w:t>-34.219114</w:t>
            </w:r>
          </w:p>
        </w:tc>
        <w:tc>
          <w:tcPr>
            <w:tcW w:w="998" w:type="dxa"/>
            <w:tcBorders>
              <w:top w:val="single" w:sz="4" w:space="0" w:color="auto"/>
            </w:tcBorders>
            <w:noWrap/>
            <w:vAlign w:val="center"/>
            <w:hideMark/>
          </w:tcPr>
          <w:p w14:paraId="696A4686" w14:textId="77777777" w:rsidR="00F3536C" w:rsidRPr="00A4272B" w:rsidRDefault="00F3536C" w:rsidP="00A41632">
            <w:pPr>
              <w:jc w:val="right"/>
              <w:rPr>
                <w:color w:val="000000"/>
                <w:sz w:val="14"/>
                <w:szCs w:val="14"/>
                <w:lang w:val="en-US"/>
              </w:rPr>
            </w:pPr>
            <w:r w:rsidRPr="00A4272B">
              <w:rPr>
                <w:color w:val="000000"/>
                <w:sz w:val="14"/>
                <w:szCs w:val="14"/>
                <w:lang w:val="en-US"/>
              </w:rPr>
              <w:t>142.191915</w:t>
            </w:r>
          </w:p>
        </w:tc>
        <w:tc>
          <w:tcPr>
            <w:tcW w:w="859" w:type="dxa"/>
            <w:tcBorders>
              <w:top w:val="single" w:sz="4" w:space="0" w:color="auto"/>
              <w:left w:val="nil"/>
              <w:bottom w:val="nil"/>
              <w:right w:val="single" w:sz="8" w:space="0" w:color="auto"/>
            </w:tcBorders>
            <w:noWrap/>
            <w:vAlign w:val="center"/>
            <w:hideMark/>
          </w:tcPr>
          <w:p w14:paraId="2D20643D" w14:textId="77777777" w:rsidR="00F3536C" w:rsidRPr="00A4272B" w:rsidRDefault="00F3536C" w:rsidP="00A41632">
            <w:pPr>
              <w:jc w:val="center"/>
              <w:rPr>
                <w:color w:val="000000"/>
                <w:sz w:val="14"/>
                <w:szCs w:val="14"/>
                <w:lang w:val="en-US"/>
              </w:rPr>
            </w:pPr>
            <w:r w:rsidRPr="00A4272B">
              <w:rPr>
                <w:color w:val="000000"/>
                <w:sz w:val="14"/>
                <w:szCs w:val="14"/>
                <w:lang w:val="en-US"/>
              </w:rPr>
              <w:t>59</w:t>
            </w:r>
          </w:p>
        </w:tc>
        <w:tc>
          <w:tcPr>
            <w:tcW w:w="792" w:type="dxa"/>
            <w:tcBorders>
              <w:top w:val="single" w:sz="4" w:space="0" w:color="auto"/>
            </w:tcBorders>
            <w:noWrap/>
            <w:vAlign w:val="center"/>
            <w:hideMark/>
          </w:tcPr>
          <w:p w14:paraId="4EB23EA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tcBorders>
            <w:noWrap/>
            <w:vAlign w:val="center"/>
            <w:hideMark/>
          </w:tcPr>
          <w:p w14:paraId="271AFD0A"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single" w:sz="4" w:space="0" w:color="auto"/>
            </w:tcBorders>
            <w:noWrap/>
            <w:vAlign w:val="center"/>
            <w:hideMark/>
          </w:tcPr>
          <w:p w14:paraId="516A371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tcBorders>
            <w:noWrap/>
            <w:vAlign w:val="center"/>
            <w:hideMark/>
          </w:tcPr>
          <w:p w14:paraId="72D0014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top w:val="single" w:sz="4" w:space="0" w:color="auto"/>
            </w:tcBorders>
            <w:noWrap/>
            <w:vAlign w:val="center"/>
            <w:hideMark/>
          </w:tcPr>
          <w:p w14:paraId="30CE338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single" w:sz="4" w:space="0" w:color="auto"/>
              <w:left w:val="nil"/>
              <w:bottom w:val="nil"/>
              <w:right w:val="single" w:sz="8" w:space="0" w:color="auto"/>
            </w:tcBorders>
            <w:noWrap/>
            <w:vAlign w:val="center"/>
            <w:hideMark/>
          </w:tcPr>
          <w:p w14:paraId="719A7137"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5B53E08B" w14:textId="77777777" w:rsidTr="00A41632">
        <w:trPr>
          <w:trHeight w:val="276"/>
          <w:jc w:val="center"/>
        </w:trPr>
        <w:tc>
          <w:tcPr>
            <w:tcW w:w="955" w:type="dxa"/>
            <w:tcBorders>
              <w:top w:val="nil"/>
              <w:left w:val="single" w:sz="8" w:space="0" w:color="auto"/>
              <w:bottom w:val="nil"/>
              <w:right w:val="nil"/>
            </w:tcBorders>
            <w:noWrap/>
            <w:vAlign w:val="center"/>
            <w:hideMark/>
          </w:tcPr>
          <w:p w14:paraId="1E590B23"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590D0EC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4FD2363" w14:textId="77777777" w:rsidR="00F3536C" w:rsidRPr="00A4272B" w:rsidRDefault="00F3536C" w:rsidP="00A41632">
            <w:pPr>
              <w:rPr>
                <w:color w:val="000000"/>
                <w:sz w:val="14"/>
                <w:szCs w:val="14"/>
                <w:lang w:val="en-US"/>
              </w:rPr>
            </w:pPr>
            <w:r w:rsidRPr="00A4272B">
              <w:rPr>
                <w:color w:val="000000"/>
                <w:sz w:val="14"/>
                <w:szCs w:val="14"/>
                <w:lang w:val="en-US"/>
              </w:rPr>
              <w:t>Mullewa, WA</w:t>
            </w:r>
          </w:p>
        </w:tc>
        <w:tc>
          <w:tcPr>
            <w:tcW w:w="998" w:type="dxa"/>
            <w:noWrap/>
            <w:vAlign w:val="center"/>
            <w:hideMark/>
          </w:tcPr>
          <w:p w14:paraId="5E437C28" w14:textId="77777777" w:rsidR="00F3536C" w:rsidRPr="00A4272B" w:rsidRDefault="00F3536C" w:rsidP="00A41632">
            <w:pPr>
              <w:jc w:val="center"/>
              <w:rPr>
                <w:color w:val="000000"/>
                <w:sz w:val="14"/>
                <w:szCs w:val="14"/>
                <w:lang w:val="en-US"/>
              </w:rPr>
            </w:pPr>
            <w:r w:rsidRPr="00A4272B">
              <w:rPr>
                <w:color w:val="000000"/>
                <w:sz w:val="14"/>
                <w:szCs w:val="14"/>
                <w:lang w:val="en-US"/>
              </w:rPr>
              <w:t>MUL</w:t>
            </w:r>
          </w:p>
        </w:tc>
        <w:tc>
          <w:tcPr>
            <w:tcW w:w="1342" w:type="dxa"/>
            <w:noWrap/>
            <w:vAlign w:val="center"/>
            <w:hideMark/>
          </w:tcPr>
          <w:p w14:paraId="5DFEF9A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9BC3D75" w14:textId="77777777" w:rsidR="00F3536C" w:rsidRPr="00A4272B" w:rsidRDefault="00F3536C" w:rsidP="00A41632">
            <w:pPr>
              <w:jc w:val="right"/>
              <w:rPr>
                <w:color w:val="000000"/>
                <w:sz w:val="14"/>
                <w:szCs w:val="14"/>
                <w:lang w:val="en-US"/>
              </w:rPr>
            </w:pPr>
            <w:r w:rsidRPr="00A4272B">
              <w:rPr>
                <w:color w:val="000000"/>
                <w:sz w:val="14"/>
                <w:szCs w:val="14"/>
                <w:lang w:val="en-US"/>
              </w:rPr>
              <w:t>-28.540069</w:t>
            </w:r>
          </w:p>
        </w:tc>
        <w:tc>
          <w:tcPr>
            <w:tcW w:w="998" w:type="dxa"/>
            <w:noWrap/>
            <w:vAlign w:val="center"/>
            <w:hideMark/>
          </w:tcPr>
          <w:p w14:paraId="658E7769" w14:textId="77777777" w:rsidR="00F3536C" w:rsidRPr="00A4272B" w:rsidRDefault="00F3536C" w:rsidP="00A41632">
            <w:pPr>
              <w:jc w:val="right"/>
              <w:rPr>
                <w:color w:val="000000"/>
                <w:sz w:val="14"/>
                <w:szCs w:val="14"/>
                <w:lang w:val="en-US"/>
              </w:rPr>
            </w:pPr>
            <w:r w:rsidRPr="00A4272B">
              <w:rPr>
                <w:color w:val="000000"/>
                <w:sz w:val="14"/>
                <w:szCs w:val="14"/>
                <w:lang w:val="en-US"/>
              </w:rPr>
              <w:t>115.512733</w:t>
            </w:r>
          </w:p>
        </w:tc>
        <w:tc>
          <w:tcPr>
            <w:tcW w:w="859" w:type="dxa"/>
            <w:tcBorders>
              <w:top w:val="nil"/>
              <w:left w:val="nil"/>
              <w:bottom w:val="nil"/>
              <w:right w:val="single" w:sz="8" w:space="0" w:color="auto"/>
            </w:tcBorders>
            <w:noWrap/>
            <w:vAlign w:val="center"/>
            <w:hideMark/>
          </w:tcPr>
          <w:p w14:paraId="2587E30B" w14:textId="77777777" w:rsidR="00F3536C" w:rsidRPr="00A4272B" w:rsidRDefault="00F3536C" w:rsidP="00A41632">
            <w:pPr>
              <w:jc w:val="center"/>
              <w:rPr>
                <w:color w:val="000000"/>
                <w:sz w:val="14"/>
                <w:szCs w:val="14"/>
                <w:lang w:val="en-US"/>
              </w:rPr>
            </w:pPr>
            <w:r w:rsidRPr="00A4272B">
              <w:rPr>
                <w:color w:val="000000"/>
                <w:sz w:val="14"/>
                <w:szCs w:val="14"/>
                <w:lang w:val="en-US"/>
              </w:rPr>
              <w:t>277</w:t>
            </w:r>
          </w:p>
        </w:tc>
        <w:tc>
          <w:tcPr>
            <w:tcW w:w="792" w:type="dxa"/>
            <w:noWrap/>
            <w:vAlign w:val="center"/>
            <w:hideMark/>
          </w:tcPr>
          <w:p w14:paraId="691DE60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B0F5E62"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7A4B16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436105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91E7AC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1581614"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531E06B5" w14:textId="77777777" w:rsidTr="00A41632">
        <w:trPr>
          <w:trHeight w:val="276"/>
          <w:jc w:val="center"/>
        </w:trPr>
        <w:tc>
          <w:tcPr>
            <w:tcW w:w="955" w:type="dxa"/>
            <w:tcBorders>
              <w:top w:val="nil"/>
              <w:left w:val="single" w:sz="8" w:space="0" w:color="auto"/>
              <w:bottom w:val="nil"/>
              <w:right w:val="nil"/>
            </w:tcBorders>
            <w:noWrap/>
            <w:vAlign w:val="center"/>
            <w:hideMark/>
          </w:tcPr>
          <w:p w14:paraId="3BDA2843"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B475E2B"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3BF46A91" w14:textId="77777777" w:rsidR="00F3536C" w:rsidRPr="00A4272B" w:rsidRDefault="00F3536C" w:rsidP="00A41632">
            <w:pPr>
              <w:rPr>
                <w:color w:val="000000"/>
                <w:sz w:val="14"/>
                <w:szCs w:val="14"/>
                <w:lang w:val="en-US"/>
              </w:rPr>
            </w:pPr>
            <w:r w:rsidRPr="00A4272B">
              <w:rPr>
                <w:color w:val="000000"/>
                <w:sz w:val="14"/>
                <w:szCs w:val="14"/>
                <w:lang w:val="en-US"/>
              </w:rPr>
              <w:t>Narangba, QLD</w:t>
            </w:r>
          </w:p>
        </w:tc>
        <w:tc>
          <w:tcPr>
            <w:tcW w:w="998" w:type="dxa"/>
            <w:noWrap/>
            <w:vAlign w:val="center"/>
            <w:hideMark/>
          </w:tcPr>
          <w:p w14:paraId="2AA91970" w14:textId="77777777" w:rsidR="00F3536C" w:rsidRPr="00A4272B" w:rsidRDefault="00F3536C" w:rsidP="00A41632">
            <w:pPr>
              <w:jc w:val="center"/>
              <w:rPr>
                <w:color w:val="000000"/>
                <w:sz w:val="14"/>
                <w:szCs w:val="14"/>
                <w:lang w:val="en-US"/>
              </w:rPr>
            </w:pPr>
            <w:r w:rsidRPr="00A4272B">
              <w:rPr>
                <w:color w:val="000000"/>
                <w:sz w:val="14"/>
                <w:szCs w:val="14"/>
                <w:lang w:val="en-US"/>
              </w:rPr>
              <w:t>NAR</w:t>
            </w:r>
          </w:p>
        </w:tc>
        <w:tc>
          <w:tcPr>
            <w:tcW w:w="1342" w:type="dxa"/>
            <w:noWrap/>
            <w:vAlign w:val="center"/>
            <w:hideMark/>
          </w:tcPr>
          <w:p w14:paraId="3441B29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76CD040" w14:textId="77777777" w:rsidR="00F3536C" w:rsidRPr="00A4272B" w:rsidRDefault="00F3536C" w:rsidP="00A41632">
            <w:pPr>
              <w:jc w:val="right"/>
              <w:rPr>
                <w:color w:val="000000"/>
                <w:sz w:val="14"/>
                <w:szCs w:val="14"/>
                <w:lang w:val="en-US"/>
              </w:rPr>
            </w:pPr>
            <w:r w:rsidRPr="00A4272B">
              <w:rPr>
                <w:color w:val="000000"/>
                <w:sz w:val="14"/>
                <w:szCs w:val="14"/>
                <w:lang w:val="en-US"/>
              </w:rPr>
              <w:t>-27.199004</w:t>
            </w:r>
          </w:p>
        </w:tc>
        <w:tc>
          <w:tcPr>
            <w:tcW w:w="998" w:type="dxa"/>
            <w:noWrap/>
            <w:vAlign w:val="center"/>
            <w:hideMark/>
          </w:tcPr>
          <w:p w14:paraId="047E0417" w14:textId="77777777" w:rsidR="00F3536C" w:rsidRPr="00A4272B" w:rsidRDefault="00F3536C" w:rsidP="00A41632">
            <w:pPr>
              <w:jc w:val="right"/>
              <w:rPr>
                <w:color w:val="000000"/>
                <w:sz w:val="14"/>
                <w:szCs w:val="14"/>
                <w:lang w:val="en-US"/>
              </w:rPr>
            </w:pPr>
            <w:r w:rsidRPr="00A4272B">
              <w:rPr>
                <w:color w:val="000000"/>
                <w:sz w:val="14"/>
                <w:szCs w:val="14"/>
                <w:lang w:val="en-US"/>
              </w:rPr>
              <w:t>153.001643</w:t>
            </w:r>
          </w:p>
        </w:tc>
        <w:tc>
          <w:tcPr>
            <w:tcW w:w="859" w:type="dxa"/>
            <w:tcBorders>
              <w:top w:val="nil"/>
              <w:left w:val="nil"/>
              <w:bottom w:val="nil"/>
              <w:right w:val="single" w:sz="8" w:space="0" w:color="auto"/>
            </w:tcBorders>
            <w:noWrap/>
            <w:vAlign w:val="center"/>
            <w:hideMark/>
          </w:tcPr>
          <w:p w14:paraId="716F9BDA" w14:textId="77777777" w:rsidR="00F3536C" w:rsidRPr="00A4272B" w:rsidRDefault="00F3536C" w:rsidP="00A41632">
            <w:pPr>
              <w:jc w:val="center"/>
              <w:rPr>
                <w:color w:val="000000"/>
                <w:sz w:val="14"/>
                <w:szCs w:val="14"/>
                <w:lang w:val="en-US"/>
              </w:rPr>
            </w:pPr>
            <w:r w:rsidRPr="00A4272B">
              <w:rPr>
                <w:color w:val="000000"/>
                <w:sz w:val="14"/>
                <w:szCs w:val="14"/>
                <w:lang w:val="en-US"/>
              </w:rPr>
              <w:t>19</w:t>
            </w:r>
          </w:p>
        </w:tc>
        <w:tc>
          <w:tcPr>
            <w:tcW w:w="792" w:type="dxa"/>
            <w:noWrap/>
            <w:vAlign w:val="center"/>
            <w:hideMark/>
          </w:tcPr>
          <w:p w14:paraId="61BAEE8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B5EC13C"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D27FA1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1B2B97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08129E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6303997"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1E143487" w14:textId="77777777" w:rsidTr="00A41632">
        <w:trPr>
          <w:trHeight w:val="276"/>
          <w:jc w:val="center"/>
        </w:trPr>
        <w:tc>
          <w:tcPr>
            <w:tcW w:w="955" w:type="dxa"/>
            <w:tcBorders>
              <w:top w:val="nil"/>
              <w:left w:val="single" w:sz="8" w:space="0" w:color="auto"/>
              <w:bottom w:val="nil"/>
              <w:right w:val="nil"/>
            </w:tcBorders>
            <w:noWrap/>
            <w:vAlign w:val="center"/>
            <w:hideMark/>
          </w:tcPr>
          <w:p w14:paraId="41F43814"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5118277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26ADDB2A" w14:textId="77777777" w:rsidR="00F3536C" w:rsidRPr="00A4272B" w:rsidRDefault="00F3536C" w:rsidP="00A41632">
            <w:pPr>
              <w:rPr>
                <w:color w:val="000000"/>
                <w:sz w:val="14"/>
                <w:szCs w:val="14"/>
                <w:lang w:val="en-US"/>
              </w:rPr>
            </w:pPr>
            <w:r w:rsidRPr="00A4272B">
              <w:rPr>
                <w:color w:val="000000"/>
                <w:sz w:val="14"/>
                <w:szCs w:val="14"/>
                <w:lang w:val="en-US"/>
              </w:rPr>
              <w:t>New Town - Hobart, TAS</w:t>
            </w:r>
          </w:p>
        </w:tc>
        <w:tc>
          <w:tcPr>
            <w:tcW w:w="998" w:type="dxa"/>
            <w:noWrap/>
            <w:vAlign w:val="center"/>
            <w:hideMark/>
          </w:tcPr>
          <w:p w14:paraId="76BDAE2D" w14:textId="77777777" w:rsidR="00F3536C" w:rsidRPr="00A4272B" w:rsidRDefault="00F3536C" w:rsidP="00A41632">
            <w:pPr>
              <w:jc w:val="center"/>
              <w:rPr>
                <w:color w:val="000000"/>
                <w:sz w:val="14"/>
                <w:szCs w:val="14"/>
                <w:lang w:val="en-US"/>
              </w:rPr>
            </w:pPr>
            <w:r w:rsidRPr="00A4272B">
              <w:rPr>
                <w:color w:val="000000"/>
                <w:sz w:val="14"/>
                <w:szCs w:val="14"/>
                <w:lang w:val="en-US"/>
              </w:rPr>
              <w:t>NEW</w:t>
            </w:r>
          </w:p>
        </w:tc>
        <w:tc>
          <w:tcPr>
            <w:tcW w:w="1342" w:type="dxa"/>
            <w:noWrap/>
            <w:vAlign w:val="center"/>
            <w:hideMark/>
          </w:tcPr>
          <w:p w14:paraId="65CFDEF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2A9BC36" w14:textId="77777777" w:rsidR="00F3536C" w:rsidRPr="00A4272B" w:rsidRDefault="00F3536C" w:rsidP="00A41632">
            <w:pPr>
              <w:jc w:val="right"/>
              <w:rPr>
                <w:color w:val="000000"/>
                <w:sz w:val="14"/>
                <w:szCs w:val="14"/>
                <w:lang w:val="en-US"/>
              </w:rPr>
            </w:pPr>
            <w:r w:rsidRPr="00A4272B">
              <w:rPr>
                <w:color w:val="000000"/>
                <w:sz w:val="14"/>
                <w:szCs w:val="14"/>
                <w:lang w:val="en-US"/>
              </w:rPr>
              <w:t>-42.861519</w:t>
            </w:r>
          </w:p>
        </w:tc>
        <w:tc>
          <w:tcPr>
            <w:tcW w:w="998" w:type="dxa"/>
            <w:noWrap/>
            <w:vAlign w:val="center"/>
            <w:hideMark/>
          </w:tcPr>
          <w:p w14:paraId="74A667F0" w14:textId="77777777" w:rsidR="00F3536C" w:rsidRPr="00A4272B" w:rsidRDefault="00F3536C" w:rsidP="00A41632">
            <w:pPr>
              <w:jc w:val="right"/>
              <w:rPr>
                <w:color w:val="000000"/>
                <w:sz w:val="14"/>
                <w:szCs w:val="14"/>
                <w:lang w:val="en-US"/>
              </w:rPr>
            </w:pPr>
            <w:r w:rsidRPr="00A4272B">
              <w:rPr>
                <w:color w:val="000000"/>
                <w:sz w:val="14"/>
                <w:szCs w:val="14"/>
                <w:lang w:val="en-US"/>
              </w:rPr>
              <w:t>147.304045</w:t>
            </w:r>
          </w:p>
        </w:tc>
        <w:tc>
          <w:tcPr>
            <w:tcW w:w="859" w:type="dxa"/>
            <w:tcBorders>
              <w:top w:val="nil"/>
              <w:left w:val="nil"/>
              <w:bottom w:val="nil"/>
              <w:right w:val="single" w:sz="8" w:space="0" w:color="auto"/>
            </w:tcBorders>
            <w:noWrap/>
            <w:vAlign w:val="center"/>
            <w:hideMark/>
          </w:tcPr>
          <w:p w14:paraId="2EEE5A00" w14:textId="77777777" w:rsidR="00F3536C" w:rsidRPr="00A4272B" w:rsidRDefault="00F3536C" w:rsidP="00A41632">
            <w:pPr>
              <w:jc w:val="center"/>
              <w:rPr>
                <w:color w:val="000000"/>
                <w:sz w:val="14"/>
                <w:szCs w:val="14"/>
                <w:lang w:val="en-US"/>
              </w:rPr>
            </w:pPr>
            <w:r w:rsidRPr="00A4272B">
              <w:rPr>
                <w:color w:val="000000"/>
                <w:sz w:val="14"/>
                <w:szCs w:val="14"/>
                <w:lang w:val="en-US"/>
              </w:rPr>
              <w:t>50</w:t>
            </w:r>
          </w:p>
        </w:tc>
        <w:tc>
          <w:tcPr>
            <w:tcW w:w="792" w:type="dxa"/>
            <w:noWrap/>
            <w:vAlign w:val="center"/>
            <w:hideMark/>
          </w:tcPr>
          <w:p w14:paraId="08FF769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B742D81"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3029AB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5F6F53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E2A0D6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E52159F"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A5D0331" w14:textId="77777777" w:rsidTr="00A41632">
        <w:trPr>
          <w:trHeight w:val="276"/>
          <w:jc w:val="center"/>
        </w:trPr>
        <w:tc>
          <w:tcPr>
            <w:tcW w:w="955" w:type="dxa"/>
            <w:tcBorders>
              <w:top w:val="nil"/>
              <w:left w:val="single" w:sz="8" w:space="0" w:color="auto"/>
              <w:bottom w:val="nil"/>
              <w:right w:val="nil"/>
            </w:tcBorders>
            <w:noWrap/>
            <w:vAlign w:val="center"/>
            <w:hideMark/>
          </w:tcPr>
          <w:p w14:paraId="082FE8A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0FC03D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4F2C0E0B" w14:textId="77777777" w:rsidR="00F3536C" w:rsidRPr="00A4272B" w:rsidRDefault="00F3536C" w:rsidP="00A41632">
            <w:pPr>
              <w:rPr>
                <w:color w:val="000000"/>
                <w:sz w:val="14"/>
                <w:szCs w:val="14"/>
                <w:lang w:val="en-US"/>
              </w:rPr>
            </w:pPr>
            <w:r w:rsidRPr="00A4272B">
              <w:rPr>
                <w:color w:val="000000"/>
                <w:sz w:val="14"/>
                <w:szCs w:val="14"/>
                <w:lang w:val="en-US"/>
              </w:rPr>
              <w:t>North Haven Adelaide, SA</w:t>
            </w:r>
          </w:p>
        </w:tc>
        <w:tc>
          <w:tcPr>
            <w:tcW w:w="998" w:type="dxa"/>
            <w:noWrap/>
            <w:vAlign w:val="center"/>
            <w:hideMark/>
          </w:tcPr>
          <w:p w14:paraId="6823AC03" w14:textId="77777777" w:rsidR="00F3536C" w:rsidRPr="00A4272B" w:rsidRDefault="00F3536C" w:rsidP="00A41632">
            <w:pPr>
              <w:jc w:val="center"/>
              <w:rPr>
                <w:color w:val="000000"/>
                <w:sz w:val="14"/>
                <w:szCs w:val="14"/>
                <w:lang w:val="en-US"/>
              </w:rPr>
            </w:pPr>
            <w:r w:rsidRPr="00A4272B">
              <w:rPr>
                <w:color w:val="000000"/>
                <w:sz w:val="14"/>
                <w:szCs w:val="14"/>
                <w:lang w:val="en-US"/>
              </w:rPr>
              <w:t>NHA</w:t>
            </w:r>
          </w:p>
        </w:tc>
        <w:tc>
          <w:tcPr>
            <w:tcW w:w="1342" w:type="dxa"/>
            <w:noWrap/>
            <w:vAlign w:val="center"/>
            <w:hideMark/>
          </w:tcPr>
          <w:p w14:paraId="3B8ADE2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9789F88" w14:textId="77777777" w:rsidR="00F3536C" w:rsidRPr="00A4272B" w:rsidRDefault="00F3536C" w:rsidP="00A41632">
            <w:pPr>
              <w:jc w:val="right"/>
              <w:rPr>
                <w:color w:val="000000"/>
                <w:sz w:val="14"/>
                <w:szCs w:val="14"/>
                <w:lang w:val="en-US"/>
              </w:rPr>
            </w:pPr>
            <w:r w:rsidRPr="00A4272B">
              <w:rPr>
                <w:color w:val="000000"/>
                <w:sz w:val="14"/>
                <w:szCs w:val="14"/>
                <w:lang w:val="en-US"/>
              </w:rPr>
              <w:t>-34.791293</w:t>
            </w:r>
          </w:p>
        </w:tc>
        <w:tc>
          <w:tcPr>
            <w:tcW w:w="998" w:type="dxa"/>
            <w:noWrap/>
            <w:vAlign w:val="center"/>
            <w:hideMark/>
          </w:tcPr>
          <w:p w14:paraId="038D14CD" w14:textId="77777777" w:rsidR="00F3536C" w:rsidRPr="00A4272B" w:rsidRDefault="00F3536C" w:rsidP="00A41632">
            <w:pPr>
              <w:jc w:val="right"/>
              <w:rPr>
                <w:color w:val="000000"/>
                <w:sz w:val="14"/>
                <w:szCs w:val="14"/>
                <w:lang w:val="en-US"/>
              </w:rPr>
            </w:pPr>
            <w:r w:rsidRPr="00A4272B">
              <w:rPr>
                <w:color w:val="000000"/>
                <w:sz w:val="14"/>
                <w:szCs w:val="14"/>
                <w:lang w:val="en-US"/>
              </w:rPr>
              <w:t>138.497778</w:t>
            </w:r>
          </w:p>
        </w:tc>
        <w:tc>
          <w:tcPr>
            <w:tcW w:w="859" w:type="dxa"/>
            <w:tcBorders>
              <w:top w:val="nil"/>
              <w:left w:val="nil"/>
              <w:bottom w:val="nil"/>
              <w:right w:val="single" w:sz="8" w:space="0" w:color="auto"/>
            </w:tcBorders>
            <w:noWrap/>
            <w:vAlign w:val="center"/>
            <w:hideMark/>
          </w:tcPr>
          <w:p w14:paraId="5663C1A1" w14:textId="77777777" w:rsidR="00F3536C" w:rsidRPr="00A4272B" w:rsidRDefault="00F3536C" w:rsidP="00A41632">
            <w:pPr>
              <w:jc w:val="center"/>
              <w:rPr>
                <w:color w:val="000000"/>
                <w:sz w:val="14"/>
                <w:szCs w:val="14"/>
                <w:lang w:val="en-US"/>
              </w:rPr>
            </w:pPr>
            <w:r w:rsidRPr="00A4272B">
              <w:rPr>
                <w:color w:val="000000"/>
                <w:sz w:val="14"/>
                <w:szCs w:val="14"/>
                <w:lang w:val="en-US"/>
              </w:rPr>
              <w:t>6</w:t>
            </w:r>
          </w:p>
        </w:tc>
        <w:tc>
          <w:tcPr>
            <w:tcW w:w="792" w:type="dxa"/>
            <w:noWrap/>
            <w:vAlign w:val="center"/>
            <w:hideMark/>
          </w:tcPr>
          <w:p w14:paraId="4C08306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136B7DC"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B38733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FA8442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54BFAE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EE4CB6E"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4E9F18E2" w14:textId="77777777" w:rsidTr="00A41632">
        <w:trPr>
          <w:trHeight w:val="276"/>
          <w:jc w:val="center"/>
        </w:trPr>
        <w:tc>
          <w:tcPr>
            <w:tcW w:w="955" w:type="dxa"/>
            <w:tcBorders>
              <w:top w:val="nil"/>
              <w:left w:val="single" w:sz="8" w:space="0" w:color="auto"/>
              <w:bottom w:val="nil"/>
              <w:right w:val="nil"/>
            </w:tcBorders>
            <w:noWrap/>
            <w:vAlign w:val="center"/>
            <w:hideMark/>
          </w:tcPr>
          <w:p w14:paraId="6D504C89"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C95068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3C282C1B" w14:textId="77777777" w:rsidR="00F3536C" w:rsidRPr="00A4272B" w:rsidRDefault="00F3536C" w:rsidP="00A41632">
            <w:pPr>
              <w:rPr>
                <w:color w:val="000000"/>
                <w:sz w:val="14"/>
                <w:szCs w:val="14"/>
                <w:lang w:val="en-US"/>
              </w:rPr>
            </w:pPr>
            <w:r w:rsidRPr="00A4272B">
              <w:rPr>
                <w:color w:val="000000"/>
                <w:sz w:val="14"/>
                <w:szCs w:val="14"/>
                <w:lang w:val="en-US"/>
              </w:rPr>
              <w:t>One Tree Island, QLD</w:t>
            </w:r>
          </w:p>
        </w:tc>
        <w:tc>
          <w:tcPr>
            <w:tcW w:w="998" w:type="dxa"/>
            <w:noWrap/>
            <w:vAlign w:val="center"/>
            <w:hideMark/>
          </w:tcPr>
          <w:p w14:paraId="6C30D116" w14:textId="77777777" w:rsidR="00F3536C" w:rsidRPr="00A4272B" w:rsidRDefault="00F3536C" w:rsidP="00A41632">
            <w:pPr>
              <w:jc w:val="center"/>
              <w:rPr>
                <w:color w:val="000000"/>
                <w:sz w:val="14"/>
                <w:szCs w:val="14"/>
                <w:lang w:val="en-US"/>
              </w:rPr>
            </w:pPr>
            <w:r w:rsidRPr="00A4272B">
              <w:rPr>
                <w:color w:val="000000"/>
                <w:sz w:val="14"/>
                <w:szCs w:val="14"/>
                <w:lang w:val="en-US"/>
              </w:rPr>
              <w:t>OTI</w:t>
            </w:r>
          </w:p>
        </w:tc>
        <w:tc>
          <w:tcPr>
            <w:tcW w:w="1342" w:type="dxa"/>
            <w:noWrap/>
            <w:vAlign w:val="center"/>
            <w:hideMark/>
          </w:tcPr>
          <w:p w14:paraId="27D22B8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4DDDC73" w14:textId="77777777" w:rsidR="00F3536C" w:rsidRPr="00A4272B" w:rsidRDefault="00F3536C" w:rsidP="00A41632">
            <w:pPr>
              <w:jc w:val="right"/>
              <w:rPr>
                <w:color w:val="000000"/>
                <w:sz w:val="14"/>
                <w:szCs w:val="14"/>
                <w:lang w:val="en-US"/>
              </w:rPr>
            </w:pPr>
            <w:r w:rsidRPr="00A4272B">
              <w:rPr>
                <w:color w:val="000000"/>
                <w:sz w:val="14"/>
                <w:szCs w:val="14"/>
                <w:lang w:val="en-US"/>
              </w:rPr>
              <w:t>-23.506642</w:t>
            </w:r>
          </w:p>
        </w:tc>
        <w:tc>
          <w:tcPr>
            <w:tcW w:w="998" w:type="dxa"/>
            <w:noWrap/>
            <w:vAlign w:val="center"/>
            <w:hideMark/>
          </w:tcPr>
          <w:p w14:paraId="0E5EF6E8" w14:textId="77777777" w:rsidR="00F3536C" w:rsidRPr="00A4272B" w:rsidRDefault="00F3536C" w:rsidP="00A41632">
            <w:pPr>
              <w:jc w:val="right"/>
              <w:rPr>
                <w:color w:val="000000"/>
                <w:sz w:val="14"/>
                <w:szCs w:val="14"/>
                <w:lang w:val="en-US"/>
              </w:rPr>
            </w:pPr>
            <w:r w:rsidRPr="00A4272B">
              <w:rPr>
                <w:color w:val="000000"/>
                <w:sz w:val="14"/>
                <w:szCs w:val="14"/>
                <w:lang w:val="en-US"/>
              </w:rPr>
              <w:t>152.091731</w:t>
            </w:r>
          </w:p>
        </w:tc>
        <w:tc>
          <w:tcPr>
            <w:tcW w:w="859" w:type="dxa"/>
            <w:tcBorders>
              <w:top w:val="nil"/>
              <w:left w:val="nil"/>
              <w:bottom w:val="nil"/>
              <w:right w:val="single" w:sz="8" w:space="0" w:color="auto"/>
            </w:tcBorders>
            <w:noWrap/>
            <w:vAlign w:val="center"/>
            <w:hideMark/>
          </w:tcPr>
          <w:p w14:paraId="6C32CE90" w14:textId="77777777" w:rsidR="00F3536C" w:rsidRPr="00A4272B" w:rsidRDefault="00F3536C" w:rsidP="00A41632">
            <w:pPr>
              <w:jc w:val="center"/>
              <w:rPr>
                <w:color w:val="000000"/>
                <w:sz w:val="14"/>
                <w:szCs w:val="14"/>
                <w:lang w:val="en-US"/>
              </w:rPr>
            </w:pPr>
            <w:r w:rsidRPr="00A4272B">
              <w:rPr>
                <w:color w:val="000000"/>
                <w:sz w:val="14"/>
                <w:szCs w:val="14"/>
                <w:lang w:val="en-US"/>
              </w:rPr>
              <w:t>2</w:t>
            </w:r>
          </w:p>
        </w:tc>
        <w:tc>
          <w:tcPr>
            <w:tcW w:w="792" w:type="dxa"/>
            <w:noWrap/>
            <w:vAlign w:val="center"/>
            <w:hideMark/>
          </w:tcPr>
          <w:p w14:paraId="742B519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CE4E6D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478A4B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354D05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7C844E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907784E"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33379FB0" w14:textId="77777777" w:rsidTr="00A41632">
        <w:trPr>
          <w:trHeight w:val="276"/>
          <w:jc w:val="center"/>
        </w:trPr>
        <w:tc>
          <w:tcPr>
            <w:tcW w:w="955" w:type="dxa"/>
            <w:tcBorders>
              <w:top w:val="nil"/>
              <w:left w:val="single" w:sz="8" w:space="0" w:color="auto"/>
              <w:bottom w:val="nil"/>
              <w:right w:val="nil"/>
            </w:tcBorders>
            <w:noWrap/>
            <w:vAlign w:val="center"/>
            <w:hideMark/>
          </w:tcPr>
          <w:p w14:paraId="488A7A0E"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037950C5"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01C3556" w14:textId="77777777" w:rsidR="00F3536C" w:rsidRPr="00A4272B" w:rsidRDefault="00F3536C" w:rsidP="00A41632">
            <w:pPr>
              <w:rPr>
                <w:color w:val="000000"/>
                <w:sz w:val="14"/>
                <w:szCs w:val="14"/>
                <w:lang w:val="en-US"/>
              </w:rPr>
            </w:pPr>
            <w:r w:rsidRPr="00A4272B">
              <w:rPr>
                <w:color w:val="000000"/>
                <w:sz w:val="14"/>
                <w:szCs w:val="14"/>
                <w:lang w:val="en-US"/>
              </w:rPr>
              <w:t>Orpheus Island, QLD</w:t>
            </w:r>
          </w:p>
        </w:tc>
        <w:tc>
          <w:tcPr>
            <w:tcW w:w="998" w:type="dxa"/>
            <w:noWrap/>
            <w:vAlign w:val="center"/>
            <w:hideMark/>
          </w:tcPr>
          <w:p w14:paraId="3536FEAE" w14:textId="77777777" w:rsidR="00F3536C" w:rsidRPr="00A4272B" w:rsidRDefault="00F3536C" w:rsidP="00A41632">
            <w:pPr>
              <w:jc w:val="center"/>
              <w:rPr>
                <w:color w:val="000000"/>
                <w:sz w:val="14"/>
                <w:szCs w:val="14"/>
                <w:lang w:val="en-US"/>
              </w:rPr>
            </w:pPr>
            <w:r w:rsidRPr="00A4272B">
              <w:rPr>
                <w:color w:val="000000"/>
                <w:sz w:val="14"/>
                <w:szCs w:val="14"/>
                <w:lang w:val="en-US"/>
              </w:rPr>
              <w:t>ORP</w:t>
            </w:r>
          </w:p>
        </w:tc>
        <w:tc>
          <w:tcPr>
            <w:tcW w:w="1342" w:type="dxa"/>
            <w:noWrap/>
            <w:vAlign w:val="center"/>
            <w:hideMark/>
          </w:tcPr>
          <w:p w14:paraId="19D53C4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475DB7D" w14:textId="77777777" w:rsidR="00F3536C" w:rsidRPr="00A4272B" w:rsidRDefault="00F3536C" w:rsidP="00A41632">
            <w:pPr>
              <w:jc w:val="right"/>
              <w:rPr>
                <w:color w:val="000000"/>
                <w:sz w:val="14"/>
                <w:szCs w:val="14"/>
                <w:lang w:val="en-US"/>
              </w:rPr>
            </w:pPr>
            <w:r w:rsidRPr="00A4272B">
              <w:rPr>
                <w:color w:val="000000"/>
                <w:sz w:val="14"/>
                <w:szCs w:val="14"/>
                <w:lang w:val="en-US"/>
              </w:rPr>
              <w:t>-18.615187</w:t>
            </w:r>
          </w:p>
        </w:tc>
        <w:tc>
          <w:tcPr>
            <w:tcW w:w="998" w:type="dxa"/>
            <w:noWrap/>
            <w:vAlign w:val="center"/>
            <w:hideMark/>
          </w:tcPr>
          <w:p w14:paraId="58721BA2" w14:textId="77777777" w:rsidR="00F3536C" w:rsidRPr="00A4272B" w:rsidRDefault="00F3536C" w:rsidP="00A41632">
            <w:pPr>
              <w:jc w:val="right"/>
              <w:rPr>
                <w:color w:val="000000"/>
                <w:sz w:val="14"/>
                <w:szCs w:val="14"/>
                <w:lang w:val="en-US"/>
              </w:rPr>
            </w:pPr>
            <w:r w:rsidRPr="00A4272B">
              <w:rPr>
                <w:color w:val="000000"/>
                <w:sz w:val="14"/>
                <w:szCs w:val="14"/>
                <w:lang w:val="en-US"/>
              </w:rPr>
              <w:t>146.488255</w:t>
            </w:r>
          </w:p>
        </w:tc>
        <w:tc>
          <w:tcPr>
            <w:tcW w:w="859" w:type="dxa"/>
            <w:tcBorders>
              <w:top w:val="nil"/>
              <w:left w:val="nil"/>
              <w:bottom w:val="nil"/>
              <w:right w:val="single" w:sz="8" w:space="0" w:color="auto"/>
            </w:tcBorders>
            <w:noWrap/>
            <w:vAlign w:val="center"/>
            <w:hideMark/>
          </w:tcPr>
          <w:p w14:paraId="2C9AEBCC" w14:textId="77777777" w:rsidR="00F3536C" w:rsidRPr="00A4272B" w:rsidRDefault="00F3536C" w:rsidP="00A41632">
            <w:pPr>
              <w:jc w:val="center"/>
              <w:rPr>
                <w:color w:val="000000"/>
                <w:sz w:val="14"/>
                <w:szCs w:val="14"/>
                <w:lang w:val="en-US"/>
              </w:rPr>
            </w:pPr>
            <w:r w:rsidRPr="00A4272B">
              <w:rPr>
                <w:color w:val="000000"/>
                <w:sz w:val="14"/>
                <w:szCs w:val="14"/>
                <w:lang w:val="en-US"/>
              </w:rPr>
              <w:t>10</w:t>
            </w:r>
          </w:p>
        </w:tc>
        <w:tc>
          <w:tcPr>
            <w:tcW w:w="792" w:type="dxa"/>
            <w:noWrap/>
            <w:vAlign w:val="center"/>
            <w:hideMark/>
          </w:tcPr>
          <w:p w14:paraId="4E54B1B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231E98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FD8E78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F36760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75A40D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C751871"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0308D543" w14:textId="77777777" w:rsidTr="00A41632">
        <w:trPr>
          <w:trHeight w:val="276"/>
          <w:jc w:val="center"/>
        </w:trPr>
        <w:tc>
          <w:tcPr>
            <w:tcW w:w="955" w:type="dxa"/>
            <w:tcBorders>
              <w:top w:val="nil"/>
              <w:left w:val="single" w:sz="8" w:space="0" w:color="auto"/>
              <w:bottom w:val="nil"/>
              <w:right w:val="nil"/>
            </w:tcBorders>
            <w:noWrap/>
            <w:vAlign w:val="center"/>
            <w:hideMark/>
          </w:tcPr>
          <w:p w14:paraId="77F5E77E"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2FBED4B2"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46F27752" w14:textId="77777777" w:rsidR="00F3536C" w:rsidRPr="00A4272B" w:rsidRDefault="00F3536C" w:rsidP="00A41632">
            <w:pPr>
              <w:rPr>
                <w:color w:val="000000"/>
                <w:sz w:val="14"/>
                <w:szCs w:val="14"/>
                <w:lang w:val="en-US"/>
              </w:rPr>
            </w:pPr>
            <w:r w:rsidRPr="00A4272B">
              <w:rPr>
                <w:color w:val="000000"/>
                <w:sz w:val="14"/>
                <w:szCs w:val="14"/>
                <w:lang w:val="en-US"/>
              </w:rPr>
              <w:t>Perth - Duncraig, WA</w:t>
            </w:r>
          </w:p>
        </w:tc>
        <w:tc>
          <w:tcPr>
            <w:tcW w:w="998" w:type="dxa"/>
            <w:noWrap/>
            <w:vAlign w:val="center"/>
            <w:hideMark/>
          </w:tcPr>
          <w:p w14:paraId="5ED869A4" w14:textId="77777777" w:rsidR="00F3536C" w:rsidRPr="00A4272B" w:rsidRDefault="00F3536C" w:rsidP="00A41632">
            <w:pPr>
              <w:jc w:val="center"/>
              <w:rPr>
                <w:color w:val="000000"/>
                <w:sz w:val="14"/>
                <w:szCs w:val="14"/>
                <w:lang w:val="en-US"/>
              </w:rPr>
            </w:pPr>
            <w:r w:rsidRPr="00A4272B">
              <w:rPr>
                <w:color w:val="000000"/>
                <w:sz w:val="14"/>
                <w:szCs w:val="14"/>
                <w:lang w:val="en-US"/>
              </w:rPr>
              <w:t>PER</w:t>
            </w:r>
          </w:p>
        </w:tc>
        <w:tc>
          <w:tcPr>
            <w:tcW w:w="1342" w:type="dxa"/>
            <w:noWrap/>
            <w:vAlign w:val="center"/>
            <w:hideMark/>
          </w:tcPr>
          <w:p w14:paraId="2F59A52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D218437" w14:textId="77777777" w:rsidR="00F3536C" w:rsidRPr="00A4272B" w:rsidRDefault="00F3536C" w:rsidP="00A41632">
            <w:pPr>
              <w:jc w:val="right"/>
              <w:rPr>
                <w:color w:val="000000"/>
                <w:sz w:val="14"/>
                <w:szCs w:val="14"/>
                <w:lang w:val="en-US"/>
              </w:rPr>
            </w:pPr>
            <w:r w:rsidRPr="00A4272B">
              <w:rPr>
                <w:color w:val="000000"/>
                <w:sz w:val="14"/>
                <w:szCs w:val="14"/>
                <w:lang w:val="en-US"/>
              </w:rPr>
              <w:t>-31.833087</w:t>
            </w:r>
          </w:p>
        </w:tc>
        <w:tc>
          <w:tcPr>
            <w:tcW w:w="998" w:type="dxa"/>
            <w:noWrap/>
            <w:vAlign w:val="center"/>
            <w:hideMark/>
          </w:tcPr>
          <w:p w14:paraId="29D9EA8E" w14:textId="77777777" w:rsidR="00F3536C" w:rsidRPr="00A4272B" w:rsidRDefault="00F3536C" w:rsidP="00A41632">
            <w:pPr>
              <w:jc w:val="right"/>
              <w:rPr>
                <w:color w:val="000000"/>
                <w:sz w:val="14"/>
                <w:szCs w:val="14"/>
                <w:lang w:val="en-US"/>
              </w:rPr>
            </w:pPr>
            <w:r w:rsidRPr="00A4272B">
              <w:rPr>
                <w:color w:val="000000"/>
                <w:sz w:val="14"/>
                <w:szCs w:val="14"/>
                <w:lang w:val="en-US"/>
              </w:rPr>
              <w:t>115.783525</w:t>
            </w:r>
          </w:p>
        </w:tc>
        <w:tc>
          <w:tcPr>
            <w:tcW w:w="859" w:type="dxa"/>
            <w:tcBorders>
              <w:top w:val="nil"/>
              <w:left w:val="nil"/>
              <w:bottom w:val="nil"/>
              <w:right w:val="single" w:sz="8" w:space="0" w:color="auto"/>
            </w:tcBorders>
            <w:noWrap/>
            <w:vAlign w:val="center"/>
            <w:hideMark/>
          </w:tcPr>
          <w:p w14:paraId="28080262" w14:textId="77777777" w:rsidR="00F3536C" w:rsidRPr="00A4272B" w:rsidRDefault="00F3536C" w:rsidP="00A41632">
            <w:pPr>
              <w:jc w:val="center"/>
              <w:rPr>
                <w:color w:val="000000"/>
                <w:sz w:val="14"/>
                <w:szCs w:val="14"/>
                <w:lang w:val="en-US"/>
              </w:rPr>
            </w:pPr>
            <w:r w:rsidRPr="00A4272B">
              <w:rPr>
                <w:color w:val="000000"/>
                <w:sz w:val="14"/>
                <w:szCs w:val="14"/>
                <w:lang w:val="en-US"/>
              </w:rPr>
              <w:t>18</w:t>
            </w:r>
          </w:p>
        </w:tc>
        <w:tc>
          <w:tcPr>
            <w:tcW w:w="792" w:type="dxa"/>
            <w:noWrap/>
            <w:vAlign w:val="center"/>
            <w:hideMark/>
          </w:tcPr>
          <w:p w14:paraId="5650374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E666CAC"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A63EB5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64713F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FD58B2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E4909C6"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70ACD805" w14:textId="77777777" w:rsidTr="00A41632">
        <w:trPr>
          <w:trHeight w:val="276"/>
          <w:jc w:val="center"/>
        </w:trPr>
        <w:tc>
          <w:tcPr>
            <w:tcW w:w="955" w:type="dxa"/>
            <w:tcBorders>
              <w:top w:val="nil"/>
              <w:left w:val="single" w:sz="8" w:space="0" w:color="auto"/>
              <w:bottom w:val="nil"/>
              <w:right w:val="nil"/>
            </w:tcBorders>
            <w:noWrap/>
            <w:vAlign w:val="center"/>
            <w:hideMark/>
          </w:tcPr>
          <w:p w14:paraId="04EA2736"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25EEFB1E"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C2476B8" w14:textId="77777777" w:rsidR="00F3536C" w:rsidRPr="00A4272B" w:rsidRDefault="00F3536C" w:rsidP="00A41632">
            <w:pPr>
              <w:rPr>
                <w:color w:val="000000"/>
                <w:sz w:val="14"/>
                <w:szCs w:val="14"/>
                <w:lang w:val="en-US"/>
              </w:rPr>
            </w:pPr>
            <w:r w:rsidRPr="00A4272B">
              <w:rPr>
                <w:color w:val="000000"/>
                <w:sz w:val="14"/>
                <w:szCs w:val="14"/>
                <w:lang w:val="en-US"/>
              </w:rPr>
              <w:t>Phillip Island, VIC</w:t>
            </w:r>
          </w:p>
        </w:tc>
        <w:tc>
          <w:tcPr>
            <w:tcW w:w="998" w:type="dxa"/>
            <w:noWrap/>
            <w:vAlign w:val="center"/>
            <w:hideMark/>
          </w:tcPr>
          <w:p w14:paraId="7DEB50B6" w14:textId="77777777" w:rsidR="00F3536C" w:rsidRPr="00A4272B" w:rsidRDefault="00F3536C" w:rsidP="00A41632">
            <w:pPr>
              <w:jc w:val="center"/>
              <w:rPr>
                <w:color w:val="000000"/>
                <w:sz w:val="14"/>
                <w:szCs w:val="14"/>
                <w:lang w:val="en-US"/>
              </w:rPr>
            </w:pPr>
            <w:r w:rsidRPr="00A4272B">
              <w:rPr>
                <w:color w:val="000000"/>
                <w:sz w:val="14"/>
                <w:szCs w:val="14"/>
                <w:lang w:val="en-US"/>
              </w:rPr>
              <w:t>PHI</w:t>
            </w:r>
          </w:p>
        </w:tc>
        <w:tc>
          <w:tcPr>
            <w:tcW w:w="1342" w:type="dxa"/>
            <w:noWrap/>
            <w:vAlign w:val="center"/>
            <w:hideMark/>
          </w:tcPr>
          <w:p w14:paraId="478452C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A693F8A" w14:textId="77777777" w:rsidR="00F3536C" w:rsidRPr="00A4272B" w:rsidRDefault="00F3536C" w:rsidP="00A41632">
            <w:pPr>
              <w:jc w:val="right"/>
              <w:rPr>
                <w:color w:val="000000"/>
                <w:sz w:val="14"/>
                <w:szCs w:val="14"/>
                <w:lang w:val="en-US"/>
              </w:rPr>
            </w:pPr>
            <w:r w:rsidRPr="00A4272B">
              <w:rPr>
                <w:color w:val="000000"/>
                <w:sz w:val="14"/>
                <w:szCs w:val="14"/>
                <w:lang w:val="en-US"/>
              </w:rPr>
              <w:t>-38.473552</w:t>
            </w:r>
          </w:p>
        </w:tc>
        <w:tc>
          <w:tcPr>
            <w:tcW w:w="998" w:type="dxa"/>
            <w:noWrap/>
            <w:vAlign w:val="center"/>
            <w:hideMark/>
          </w:tcPr>
          <w:p w14:paraId="72B76C65" w14:textId="77777777" w:rsidR="00F3536C" w:rsidRPr="00A4272B" w:rsidRDefault="00F3536C" w:rsidP="00A41632">
            <w:pPr>
              <w:jc w:val="right"/>
              <w:rPr>
                <w:color w:val="000000"/>
                <w:sz w:val="14"/>
                <w:szCs w:val="14"/>
                <w:lang w:val="en-US"/>
              </w:rPr>
            </w:pPr>
            <w:r w:rsidRPr="00A4272B">
              <w:rPr>
                <w:color w:val="000000"/>
                <w:sz w:val="14"/>
                <w:szCs w:val="14"/>
                <w:lang w:val="en-US"/>
              </w:rPr>
              <w:t>145.236614</w:t>
            </w:r>
          </w:p>
        </w:tc>
        <w:tc>
          <w:tcPr>
            <w:tcW w:w="859" w:type="dxa"/>
            <w:tcBorders>
              <w:top w:val="nil"/>
              <w:left w:val="nil"/>
              <w:bottom w:val="nil"/>
              <w:right w:val="single" w:sz="8" w:space="0" w:color="auto"/>
            </w:tcBorders>
            <w:noWrap/>
            <w:vAlign w:val="center"/>
            <w:hideMark/>
          </w:tcPr>
          <w:p w14:paraId="01C641AD" w14:textId="77777777" w:rsidR="00F3536C" w:rsidRPr="00A4272B" w:rsidRDefault="00F3536C" w:rsidP="00A41632">
            <w:pPr>
              <w:jc w:val="center"/>
              <w:rPr>
                <w:color w:val="000000"/>
                <w:sz w:val="14"/>
                <w:szCs w:val="14"/>
                <w:lang w:val="en-US"/>
              </w:rPr>
            </w:pPr>
            <w:r w:rsidRPr="00A4272B">
              <w:rPr>
                <w:color w:val="000000"/>
                <w:sz w:val="14"/>
                <w:szCs w:val="14"/>
                <w:lang w:val="en-US"/>
              </w:rPr>
              <w:t>38</w:t>
            </w:r>
          </w:p>
        </w:tc>
        <w:tc>
          <w:tcPr>
            <w:tcW w:w="792" w:type="dxa"/>
            <w:noWrap/>
            <w:vAlign w:val="center"/>
            <w:hideMark/>
          </w:tcPr>
          <w:p w14:paraId="2DD23B6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53CAE30"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3F34FE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84C996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DA5A10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61FE54E"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DE9C368" w14:textId="77777777" w:rsidTr="00A41632">
        <w:trPr>
          <w:trHeight w:val="276"/>
          <w:jc w:val="center"/>
        </w:trPr>
        <w:tc>
          <w:tcPr>
            <w:tcW w:w="955" w:type="dxa"/>
            <w:tcBorders>
              <w:top w:val="nil"/>
              <w:left w:val="single" w:sz="8" w:space="0" w:color="auto"/>
              <w:bottom w:val="nil"/>
              <w:right w:val="nil"/>
            </w:tcBorders>
            <w:noWrap/>
            <w:vAlign w:val="center"/>
            <w:hideMark/>
          </w:tcPr>
          <w:p w14:paraId="31E82D3B"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31BFC3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3A6896A" w14:textId="77777777" w:rsidR="00F3536C" w:rsidRPr="00A4272B" w:rsidRDefault="00F3536C" w:rsidP="00A41632">
            <w:pPr>
              <w:rPr>
                <w:color w:val="000000"/>
                <w:sz w:val="14"/>
                <w:szCs w:val="14"/>
                <w:lang w:val="en-US"/>
              </w:rPr>
            </w:pPr>
            <w:r w:rsidRPr="00A4272B">
              <w:rPr>
                <w:color w:val="000000"/>
                <w:sz w:val="14"/>
                <w:szCs w:val="14"/>
                <w:lang w:val="en-US"/>
              </w:rPr>
              <w:t>Snowy Mountains, NSW</w:t>
            </w:r>
          </w:p>
        </w:tc>
        <w:tc>
          <w:tcPr>
            <w:tcW w:w="998" w:type="dxa"/>
            <w:noWrap/>
            <w:vAlign w:val="center"/>
            <w:hideMark/>
          </w:tcPr>
          <w:p w14:paraId="36F28864" w14:textId="77777777" w:rsidR="00F3536C" w:rsidRPr="00A4272B" w:rsidRDefault="00F3536C" w:rsidP="00A41632">
            <w:pPr>
              <w:jc w:val="center"/>
              <w:rPr>
                <w:color w:val="000000"/>
                <w:sz w:val="14"/>
                <w:szCs w:val="14"/>
                <w:lang w:val="en-US"/>
              </w:rPr>
            </w:pPr>
            <w:r w:rsidRPr="00A4272B">
              <w:rPr>
                <w:color w:val="000000"/>
                <w:sz w:val="14"/>
                <w:szCs w:val="14"/>
                <w:lang w:val="en-US"/>
              </w:rPr>
              <w:t>SNM</w:t>
            </w:r>
          </w:p>
        </w:tc>
        <w:tc>
          <w:tcPr>
            <w:tcW w:w="1342" w:type="dxa"/>
            <w:noWrap/>
            <w:vAlign w:val="center"/>
            <w:hideMark/>
          </w:tcPr>
          <w:p w14:paraId="116738D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FFCB27A" w14:textId="77777777" w:rsidR="00F3536C" w:rsidRPr="00A4272B" w:rsidRDefault="00F3536C" w:rsidP="00A41632">
            <w:pPr>
              <w:jc w:val="right"/>
              <w:rPr>
                <w:color w:val="000000"/>
                <w:sz w:val="14"/>
                <w:szCs w:val="14"/>
                <w:lang w:val="en-US"/>
              </w:rPr>
            </w:pPr>
            <w:r w:rsidRPr="00A4272B">
              <w:rPr>
                <w:color w:val="000000"/>
                <w:sz w:val="14"/>
                <w:szCs w:val="14"/>
                <w:lang w:val="en-US"/>
              </w:rPr>
              <w:t>-36.414981</w:t>
            </w:r>
          </w:p>
        </w:tc>
        <w:tc>
          <w:tcPr>
            <w:tcW w:w="998" w:type="dxa"/>
            <w:noWrap/>
            <w:vAlign w:val="center"/>
            <w:hideMark/>
          </w:tcPr>
          <w:p w14:paraId="5C57BD66" w14:textId="77777777" w:rsidR="00F3536C" w:rsidRPr="00A4272B" w:rsidRDefault="00F3536C" w:rsidP="00A41632">
            <w:pPr>
              <w:jc w:val="right"/>
              <w:rPr>
                <w:color w:val="000000"/>
                <w:sz w:val="14"/>
                <w:szCs w:val="14"/>
                <w:lang w:val="en-US"/>
              </w:rPr>
            </w:pPr>
            <w:r w:rsidRPr="00A4272B">
              <w:rPr>
                <w:color w:val="000000"/>
                <w:sz w:val="14"/>
                <w:szCs w:val="14"/>
                <w:lang w:val="en-US"/>
              </w:rPr>
              <w:t>148.622075</w:t>
            </w:r>
          </w:p>
        </w:tc>
        <w:tc>
          <w:tcPr>
            <w:tcW w:w="859" w:type="dxa"/>
            <w:tcBorders>
              <w:top w:val="nil"/>
              <w:left w:val="nil"/>
              <w:bottom w:val="nil"/>
              <w:right w:val="single" w:sz="8" w:space="0" w:color="auto"/>
            </w:tcBorders>
            <w:noWrap/>
            <w:vAlign w:val="center"/>
            <w:hideMark/>
          </w:tcPr>
          <w:p w14:paraId="2D09CC0C" w14:textId="77777777" w:rsidR="00F3536C" w:rsidRPr="00A4272B" w:rsidRDefault="00F3536C" w:rsidP="00A41632">
            <w:pPr>
              <w:jc w:val="center"/>
              <w:rPr>
                <w:color w:val="000000"/>
                <w:sz w:val="14"/>
                <w:szCs w:val="14"/>
                <w:lang w:val="en-US"/>
              </w:rPr>
            </w:pPr>
            <w:r w:rsidRPr="00A4272B">
              <w:rPr>
                <w:color w:val="000000"/>
                <w:sz w:val="14"/>
                <w:szCs w:val="14"/>
                <w:lang w:val="en-US"/>
              </w:rPr>
              <w:t>927</w:t>
            </w:r>
          </w:p>
        </w:tc>
        <w:tc>
          <w:tcPr>
            <w:tcW w:w="792" w:type="dxa"/>
            <w:noWrap/>
            <w:vAlign w:val="center"/>
            <w:hideMark/>
          </w:tcPr>
          <w:p w14:paraId="6BE5A19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375887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F00BF8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AC1764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AE2D3B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AE0D21E"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4E6C9DC8" w14:textId="77777777" w:rsidTr="00A41632">
        <w:trPr>
          <w:trHeight w:val="276"/>
          <w:jc w:val="center"/>
        </w:trPr>
        <w:tc>
          <w:tcPr>
            <w:tcW w:w="955" w:type="dxa"/>
            <w:tcBorders>
              <w:top w:val="nil"/>
              <w:left w:val="single" w:sz="8" w:space="0" w:color="auto"/>
              <w:bottom w:val="nil"/>
              <w:right w:val="nil"/>
            </w:tcBorders>
            <w:noWrap/>
            <w:vAlign w:val="center"/>
            <w:hideMark/>
          </w:tcPr>
          <w:p w14:paraId="1BFA4606"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6B5D147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CE71396" w14:textId="77777777" w:rsidR="00F3536C" w:rsidRPr="00A4272B" w:rsidRDefault="00F3536C" w:rsidP="00A41632">
            <w:pPr>
              <w:rPr>
                <w:color w:val="000000"/>
                <w:sz w:val="14"/>
                <w:szCs w:val="14"/>
                <w:lang w:val="en-US"/>
              </w:rPr>
            </w:pPr>
            <w:r w:rsidRPr="00A4272B">
              <w:rPr>
                <w:color w:val="000000"/>
                <w:sz w:val="14"/>
                <w:szCs w:val="14"/>
                <w:lang w:val="en-US"/>
              </w:rPr>
              <w:t>Stradbroke Island, QLD</w:t>
            </w:r>
          </w:p>
        </w:tc>
        <w:tc>
          <w:tcPr>
            <w:tcW w:w="998" w:type="dxa"/>
            <w:noWrap/>
            <w:vAlign w:val="center"/>
            <w:hideMark/>
          </w:tcPr>
          <w:p w14:paraId="77E75328" w14:textId="77777777" w:rsidR="00F3536C" w:rsidRPr="00A4272B" w:rsidRDefault="00F3536C" w:rsidP="00A41632">
            <w:pPr>
              <w:jc w:val="center"/>
              <w:rPr>
                <w:color w:val="000000"/>
                <w:sz w:val="14"/>
                <w:szCs w:val="14"/>
                <w:lang w:val="en-US"/>
              </w:rPr>
            </w:pPr>
            <w:r w:rsidRPr="00A4272B">
              <w:rPr>
                <w:color w:val="000000"/>
                <w:sz w:val="14"/>
                <w:szCs w:val="14"/>
                <w:lang w:val="en-US"/>
              </w:rPr>
              <w:t>NSI</w:t>
            </w:r>
          </w:p>
        </w:tc>
        <w:tc>
          <w:tcPr>
            <w:tcW w:w="1342" w:type="dxa"/>
            <w:noWrap/>
            <w:vAlign w:val="center"/>
            <w:hideMark/>
          </w:tcPr>
          <w:p w14:paraId="006E148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A154CCB" w14:textId="77777777" w:rsidR="00F3536C" w:rsidRPr="00A4272B" w:rsidRDefault="00F3536C" w:rsidP="00A41632">
            <w:pPr>
              <w:jc w:val="right"/>
              <w:rPr>
                <w:color w:val="000000"/>
                <w:sz w:val="14"/>
                <w:szCs w:val="14"/>
                <w:lang w:val="en-US"/>
              </w:rPr>
            </w:pPr>
            <w:r w:rsidRPr="00A4272B">
              <w:rPr>
                <w:color w:val="000000"/>
                <w:sz w:val="14"/>
                <w:szCs w:val="14"/>
                <w:lang w:val="en-US"/>
              </w:rPr>
              <w:t>-27.436486</w:t>
            </w:r>
          </w:p>
        </w:tc>
        <w:tc>
          <w:tcPr>
            <w:tcW w:w="998" w:type="dxa"/>
            <w:noWrap/>
            <w:vAlign w:val="center"/>
            <w:hideMark/>
          </w:tcPr>
          <w:p w14:paraId="3E2FB681" w14:textId="77777777" w:rsidR="00F3536C" w:rsidRPr="00A4272B" w:rsidRDefault="00F3536C" w:rsidP="00A41632">
            <w:pPr>
              <w:jc w:val="right"/>
              <w:rPr>
                <w:color w:val="000000"/>
                <w:sz w:val="14"/>
                <w:szCs w:val="14"/>
                <w:lang w:val="en-US"/>
              </w:rPr>
            </w:pPr>
            <w:r w:rsidRPr="00A4272B">
              <w:rPr>
                <w:color w:val="000000"/>
                <w:sz w:val="14"/>
                <w:szCs w:val="14"/>
                <w:lang w:val="en-US"/>
              </w:rPr>
              <w:t>153.545621</w:t>
            </w:r>
          </w:p>
        </w:tc>
        <w:tc>
          <w:tcPr>
            <w:tcW w:w="859" w:type="dxa"/>
            <w:tcBorders>
              <w:top w:val="nil"/>
              <w:left w:val="nil"/>
              <w:bottom w:val="nil"/>
              <w:right w:val="single" w:sz="8" w:space="0" w:color="auto"/>
            </w:tcBorders>
            <w:noWrap/>
            <w:vAlign w:val="center"/>
            <w:hideMark/>
          </w:tcPr>
          <w:p w14:paraId="47793F07" w14:textId="77777777" w:rsidR="00F3536C" w:rsidRPr="00A4272B" w:rsidRDefault="00F3536C" w:rsidP="00A41632">
            <w:pPr>
              <w:jc w:val="center"/>
              <w:rPr>
                <w:color w:val="000000"/>
                <w:sz w:val="14"/>
                <w:szCs w:val="14"/>
                <w:lang w:val="en-US"/>
              </w:rPr>
            </w:pPr>
            <w:r w:rsidRPr="00A4272B">
              <w:rPr>
                <w:color w:val="000000"/>
                <w:sz w:val="14"/>
                <w:szCs w:val="14"/>
                <w:lang w:val="en-US"/>
              </w:rPr>
              <w:t>28</w:t>
            </w:r>
          </w:p>
        </w:tc>
        <w:tc>
          <w:tcPr>
            <w:tcW w:w="792" w:type="dxa"/>
            <w:noWrap/>
            <w:vAlign w:val="center"/>
            <w:hideMark/>
          </w:tcPr>
          <w:p w14:paraId="1173CEB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2CD9D18"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510630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0B4F8E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9BDE0E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469EB16"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0871EB4F" w14:textId="77777777" w:rsidTr="00A41632">
        <w:trPr>
          <w:trHeight w:val="276"/>
          <w:jc w:val="center"/>
        </w:trPr>
        <w:tc>
          <w:tcPr>
            <w:tcW w:w="955" w:type="dxa"/>
            <w:tcBorders>
              <w:top w:val="nil"/>
              <w:left w:val="single" w:sz="8" w:space="0" w:color="auto"/>
              <w:bottom w:val="nil"/>
              <w:right w:val="nil"/>
            </w:tcBorders>
            <w:noWrap/>
            <w:vAlign w:val="center"/>
            <w:hideMark/>
          </w:tcPr>
          <w:p w14:paraId="37EDE5FC"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3C9CD6B4"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7E58F48" w14:textId="77777777" w:rsidR="00F3536C" w:rsidRPr="00A4272B" w:rsidRDefault="00F3536C" w:rsidP="00A41632">
            <w:pPr>
              <w:rPr>
                <w:color w:val="000000"/>
                <w:sz w:val="14"/>
                <w:szCs w:val="14"/>
                <w:lang w:val="en-US"/>
              </w:rPr>
            </w:pPr>
            <w:r w:rsidRPr="00A4272B">
              <w:rPr>
                <w:color w:val="000000"/>
                <w:sz w:val="14"/>
                <w:szCs w:val="14"/>
                <w:lang w:val="en-US"/>
              </w:rPr>
              <w:t>Sydney 1 - Rozelle, NSW</w:t>
            </w:r>
          </w:p>
        </w:tc>
        <w:tc>
          <w:tcPr>
            <w:tcW w:w="998" w:type="dxa"/>
            <w:noWrap/>
            <w:vAlign w:val="center"/>
            <w:hideMark/>
          </w:tcPr>
          <w:p w14:paraId="6CB69977" w14:textId="77777777" w:rsidR="00F3536C" w:rsidRPr="00A4272B" w:rsidRDefault="00F3536C" w:rsidP="00A41632">
            <w:pPr>
              <w:jc w:val="center"/>
              <w:rPr>
                <w:color w:val="000000"/>
                <w:sz w:val="14"/>
                <w:szCs w:val="14"/>
                <w:lang w:val="en-US"/>
              </w:rPr>
            </w:pPr>
            <w:r w:rsidRPr="00A4272B">
              <w:rPr>
                <w:color w:val="000000"/>
                <w:sz w:val="14"/>
                <w:szCs w:val="14"/>
                <w:lang w:val="en-US"/>
              </w:rPr>
              <w:t>ROZ</w:t>
            </w:r>
          </w:p>
        </w:tc>
        <w:tc>
          <w:tcPr>
            <w:tcW w:w="1342" w:type="dxa"/>
            <w:noWrap/>
            <w:vAlign w:val="center"/>
            <w:hideMark/>
          </w:tcPr>
          <w:p w14:paraId="342A620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900048E" w14:textId="77777777" w:rsidR="00F3536C" w:rsidRPr="00A4272B" w:rsidRDefault="00F3536C" w:rsidP="00A41632">
            <w:pPr>
              <w:jc w:val="right"/>
              <w:rPr>
                <w:color w:val="000000"/>
                <w:sz w:val="14"/>
                <w:szCs w:val="14"/>
                <w:lang w:val="en-US"/>
              </w:rPr>
            </w:pPr>
            <w:r w:rsidRPr="00A4272B">
              <w:rPr>
                <w:color w:val="000000"/>
                <w:sz w:val="14"/>
                <w:szCs w:val="14"/>
                <w:lang w:val="en-US"/>
              </w:rPr>
              <w:t>-33.864048</w:t>
            </w:r>
          </w:p>
        </w:tc>
        <w:tc>
          <w:tcPr>
            <w:tcW w:w="998" w:type="dxa"/>
            <w:noWrap/>
            <w:vAlign w:val="center"/>
            <w:hideMark/>
          </w:tcPr>
          <w:p w14:paraId="70BB9D24" w14:textId="77777777" w:rsidR="00F3536C" w:rsidRPr="00A4272B" w:rsidRDefault="00F3536C" w:rsidP="00A41632">
            <w:pPr>
              <w:jc w:val="right"/>
              <w:rPr>
                <w:color w:val="000000"/>
                <w:sz w:val="14"/>
                <w:szCs w:val="14"/>
                <w:lang w:val="en-US"/>
              </w:rPr>
            </w:pPr>
            <w:r w:rsidRPr="00A4272B">
              <w:rPr>
                <w:color w:val="000000"/>
                <w:sz w:val="14"/>
                <w:szCs w:val="14"/>
                <w:lang w:val="en-US"/>
              </w:rPr>
              <w:t>151.164026</w:t>
            </w:r>
          </w:p>
        </w:tc>
        <w:tc>
          <w:tcPr>
            <w:tcW w:w="859" w:type="dxa"/>
            <w:tcBorders>
              <w:top w:val="nil"/>
              <w:left w:val="nil"/>
              <w:bottom w:val="nil"/>
              <w:right w:val="single" w:sz="8" w:space="0" w:color="auto"/>
            </w:tcBorders>
            <w:noWrap/>
            <w:vAlign w:val="center"/>
            <w:hideMark/>
          </w:tcPr>
          <w:p w14:paraId="68885AF2" w14:textId="77777777" w:rsidR="00F3536C" w:rsidRPr="00A4272B" w:rsidRDefault="00F3536C" w:rsidP="00A41632">
            <w:pPr>
              <w:jc w:val="center"/>
              <w:rPr>
                <w:color w:val="000000"/>
                <w:sz w:val="14"/>
                <w:szCs w:val="14"/>
                <w:lang w:val="en-US"/>
              </w:rPr>
            </w:pPr>
            <w:r w:rsidRPr="00A4272B">
              <w:rPr>
                <w:color w:val="000000"/>
                <w:sz w:val="14"/>
                <w:szCs w:val="14"/>
                <w:lang w:val="en-US"/>
              </w:rPr>
              <w:t>27</w:t>
            </w:r>
          </w:p>
        </w:tc>
        <w:tc>
          <w:tcPr>
            <w:tcW w:w="792" w:type="dxa"/>
            <w:noWrap/>
            <w:vAlign w:val="center"/>
            <w:hideMark/>
          </w:tcPr>
          <w:p w14:paraId="5215F34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F22737C"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7B5389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E48927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128572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3A4E856"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4C8BCA90" w14:textId="77777777" w:rsidTr="00A41632">
        <w:trPr>
          <w:trHeight w:val="276"/>
          <w:jc w:val="center"/>
        </w:trPr>
        <w:tc>
          <w:tcPr>
            <w:tcW w:w="955" w:type="dxa"/>
            <w:tcBorders>
              <w:top w:val="nil"/>
              <w:left w:val="single" w:sz="8" w:space="0" w:color="auto"/>
              <w:bottom w:val="nil"/>
              <w:right w:val="nil"/>
            </w:tcBorders>
            <w:noWrap/>
            <w:vAlign w:val="center"/>
            <w:hideMark/>
          </w:tcPr>
          <w:p w14:paraId="155CF4CB"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2A27C0F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5222F742" w14:textId="77777777" w:rsidR="00F3536C" w:rsidRPr="00A4272B" w:rsidRDefault="00F3536C" w:rsidP="00A41632">
            <w:pPr>
              <w:rPr>
                <w:color w:val="000000"/>
                <w:sz w:val="14"/>
                <w:szCs w:val="14"/>
                <w:lang w:val="en-US"/>
              </w:rPr>
            </w:pPr>
            <w:r w:rsidRPr="00A4272B">
              <w:rPr>
                <w:color w:val="000000"/>
                <w:sz w:val="14"/>
                <w:szCs w:val="14"/>
                <w:lang w:val="en-US"/>
              </w:rPr>
              <w:t>Sydney 2 - Homebush, NSW</w:t>
            </w:r>
          </w:p>
        </w:tc>
        <w:tc>
          <w:tcPr>
            <w:tcW w:w="998" w:type="dxa"/>
            <w:noWrap/>
            <w:vAlign w:val="center"/>
            <w:hideMark/>
          </w:tcPr>
          <w:p w14:paraId="227480E9" w14:textId="77777777" w:rsidR="00F3536C" w:rsidRPr="00A4272B" w:rsidRDefault="00F3536C" w:rsidP="00A41632">
            <w:pPr>
              <w:jc w:val="center"/>
              <w:rPr>
                <w:color w:val="000000"/>
                <w:sz w:val="14"/>
                <w:szCs w:val="14"/>
                <w:lang w:val="en-US"/>
              </w:rPr>
            </w:pPr>
            <w:r w:rsidRPr="00A4272B">
              <w:rPr>
                <w:color w:val="000000"/>
                <w:sz w:val="14"/>
                <w:szCs w:val="14"/>
                <w:lang w:val="en-US"/>
              </w:rPr>
              <w:t>HBB</w:t>
            </w:r>
          </w:p>
        </w:tc>
        <w:tc>
          <w:tcPr>
            <w:tcW w:w="1342" w:type="dxa"/>
            <w:noWrap/>
            <w:vAlign w:val="center"/>
            <w:hideMark/>
          </w:tcPr>
          <w:p w14:paraId="6A822DA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F1D622A" w14:textId="77777777" w:rsidR="00F3536C" w:rsidRPr="00A4272B" w:rsidRDefault="00F3536C" w:rsidP="00A41632">
            <w:pPr>
              <w:jc w:val="right"/>
              <w:rPr>
                <w:color w:val="000000"/>
                <w:sz w:val="14"/>
                <w:szCs w:val="14"/>
                <w:lang w:val="en-US"/>
              </w:rPr>
            </w:pPr>
            <w:r w:rsidRPr="00A4272B">
              <w:rPr>
                <w:color w:val="000000"/>
                <w:sz w:val="14"/>
                <w:szCs w:val="14"/>
                <w:lang w:val="en-US"/>
              </w:rPr>
              <w:t>-33.823266</w:t>
            </w:r>
          </w:p>
        </w:tc>
        <w:tc>
          <w:tcPr>
            <w:tcW w:w="998" w:type="dxa"/>
            <w:noWrap/>
            <w:vAlign w:val="center"/>
            <w:hideMark/>
          </w:tcPr>
          <w:p w14:paraId="454BB595" w14:textId="77777777" w:rsidR="00F3536C" w:rsidRPr="00A4272B" w:rsidRDefault="00F3536C" w:rsidP="00A41632">
            <w:pPr>
              <w:jc w:val="right"/>
              <w:rPr>
                <w:color w:val="000000"/>
                <w:sz w:val="14"/>
                <w:szCs w:val="14"/>
                <w:lang w:val="en-US"/>
              </w:rPr>
            </w:pPr>
            <w:r w:rsidRPr="00A4272B">
              <w:rPr>
                <w:color w:val="000000"/>
                <w:sz w:val="14"/>
                <w:szCs w:val="14"/>
                <w:lang w:val="en-US"/>
              </w:rPr>
              <w:t>151.083267</w:t>
            </w:r>
          </w:p>
        </w:tc>
        <w:tc>
          <w:tcPr>
            <w:tcW w:w="859" w:type="dxa"/>
            <w:tcBorders>
              <w:top w:val="nil"/>
              <w:left w:val="nil"/>
              <w:bottom w:val="nil"/>
              <w:right w:val="single" w:sz="8" w:space="0" w:color="auto"/>
            </w:tcBorders>
            <w:noWrap/>
            <w:vAlign w:val="center"/>
            <w:hideMark/>
          </w:tcPr>
          <w:p w14:paraId="0481E42F" w14:textId="77777777" w:rsidR="00F3536C" w:rsidRPr="00A4272B" w:rsidRDefault="00F3536C" w:rsidP="00A41632">
            <w:pPr>
              <w:jc w:val="center"/>
              <w:rPr>
                <w:color w:val="000000"/>
                <w:sz w:val="14"/>
                <w:szCs w:val="14"/>
                <w:lang w:val="en-US"/>
              </w:rPr>
            </w:pPr>
            <w:r w:rsidRPr="00A4272B">
              <w:rPr>
                <w:color w:val="000000"/>
                <w:sz w:val="14"/>
                <w:szCs w:val="14"/>
                <w:lang w:val="en-US"/>
              </w:rPr>
              <w:t>1</w:t>
            </w:r>
          </w:p>
        </w:tc>
        <w:tc>
          <w:tcPr>
            <w:tcW w:w="792" w:type="dxa"/>
            <w:noWrap/>
            <w:vAlign w:val="center"/>
            <w:hideMark/>
          </w:tcPr>
          <w:p w14:paraId="061B846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8B2B55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AE3893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6150A0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02EAE1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9D8C860"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4DF9EC84" w14:textId="77777777" w:rsidTr="00A41632">
        <w:trPr>
          <w:trHeight w:val="276"/>
          <w:jc w:val="center"/>
        </w:trPr>
        <w:tc>
          <w:tcPr>
            <w:tcW w:w="955" w:type="dxa"/>
            <w:tcBorders>
              <w:top w:val="nil"/>
              <w:left w:val="single" w:sz="8" w:space="0" w:color="auto"/>
              <w:bottom w:val="nil"/>
              <w:right w:val="nil"/>
            </w:tcBorders>
            <w:noWrap/>
            <w:vAlign w:val="center"/>
            <w:hideMark/>
          </w:tcPr>
          <w:p w14:paraId="29E6DF4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1910DFB8"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37635469" w14:textId="77777777" w:rsidR="00F3536C" w:rsidRPr="00A4272B" w:rsidRDefault="00F3536C" w:rsidP="00A41632">
            <w:pPr>
              <w:rPr>
                <w:color w:val="000000"/>
                <w:sz w:val="14"/>
                <w:szCs w:val="14"/>
                <w:lang w:val="en-US"/>
              </w:rPr>
            </w:pPr>
            <w:r w:rsidRPr="00A4272B">
              <w:rPr>
                <w:color w:val="000000"/>
                <w:sz w:val="14"/>
                <w:szCs w:val="14"/>
                <w:lang w:val="en-US"/>
              </w:rPr>
              <w:t>Tatura, VIC</w:t>
            </w:r>
          </w:p>
        </w:tc>
        <w:tc>
          <w:tcPr>
            <w:tcW w:w="998" w:type="dxa"/>
            <w:noWrap/>
            <w:vAlign w:val="center"/>
            <w:hideMark/>
          </w:tcPr>
          <w:p w14:paraId="78AA0D51" w14:textId="77777777" w:rsidR="00F3536C" w:rsidRPr="00A4272B" w:rsidRDefault="00F3536C" w:rsidP="00A41632">
            <w:pPr>
              <w:jc w:val="center"/>
              <w:rPr>
                <w:color w:val="000000"/>
                <w:sz w:val="14"/>
                <w:szCs w:val="14"/>
                <w:lang w:val="en-US"/>
              </w:rPr>
            </w:pPr>
            <w:r w:rsidRPr="00A4272B">
              <w:rPr>
                <w:color w:val="000000"/>
                <w:sz w:val="14"/>
                <w:szCs w:val="14"/>
                <w:lang w:val="en-US"/>
              </w:rPr>
              <w:t>TAT</w:t>
            </w:r>
          </w:p>
        </w:tc>
        <w:tc>
          <w:tcPr>
            <w:tcW w:w="1342" w:type="dxa"/>
            <w:noWrap/>
            <w:vAlign w:val="center"/>
            <w:hideMark/>
          </w:tcPr>
          <w:p w14:paraId="2ECDE01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B1A184A" w14:textId="77777777" w:rsidR="00F3536C" w:rsidRPr="00A4272B" w:rsidRDefault="00F3536C" w:rsidP="00A41632">
            <w:pPr>
              <w:jc w:val="right"/>
              <w:rPr>
                <w:color w:val="000000"/>
                <w:sz w:val="14"/>
                <w:szCs w:val="14"/>
                <w:lang w:val="en-US"/>
              </w:rPr>
            </w:pPr>
            <w:r w:rsidRPr="00A4272B">
              <w:rPr>
                <w:color w:val="000000"/>
                <w:sz w:val="14"/>
                <w:szCs w:val="14"/>
                <w:lang w:val="en-US"/>
              </w:rPr>
              <w:t>-36.439960</w:t>
            </w:r>
          </w:p>
        </w:tc>
        <w:tc>
          <w:tcPr>
            <w:tcW w:w="998" w:type="dxa"/>
            <w:noWrap/>
            <w:vAlign w:val="center"/>
            <w:hideMark/>
          </w:tcPr>
          <w:p w14:paraId="23228B21" w14:textId="77777777" w:rsidR="00F3536C" w:rsidRPr="00A4272B" w:rsidRDefault="00F3536C" w:rsidP="00A41632">
            <w:pPr>
              <w:jc w:val="right"/>
              <w:rPr>
                <w:color w:val="000000"/>
                <w:sz w:val="14"/>
                <w:szCs w:val="14"/>
                <w:lang w:val="en-US"/>
              </w:rPr>
            </w:pPr>
            <w:r w:rsidRPr="00A4272B">
              <w:rPr>
                <w:color w:val="000000"/>
                <w:sz w:val="14"/>
                <w:szCs w:val="14"/>
                <w:lang w:val="en-US"/>
              </w:rPr>
              <w:t>145.267308</w:t>
            </w:r>
          </w:p>
        </w:tc>
        <w:tc>
          <w:tcPr>
            <w:tcW w:w="859" w:type="dxa"/>
            <w:tcBorders>
              <w:top w:val="nil"/>
              <w:left w:val="nil"/>
              <w:bottom w:val="nil"/>
              <w:right w:val="single" w:sz="8" w:space="0" w:color="auto"/>
            </w:tcBorders>
            <w:noWrap/>
            <w:vAlign w:val="center"/>
            <w:hideMark/>
          </w:tcPr>
          <w:p w14:paraId="7F4025F6" w14:textId="77777777" w:rsidR="00F3536C" w:rsidRPr="00A4272B" w:rsidRDefault="00F3536C" w:rsidP="00A41632">
            <w:pPr>
              <w:jc w:val="center"/>
              <w:rPr>
                <w:color w:val="000000"/>
                <w:sz w:val="14"/>
                <w:szCs w:val="14"/>
                <w:lang w:val="en-US"/>
              </w:rPr>
            </w:pPr>
            <w:r w:rsidRPr="00A4272B">
              <w:rPr>
                <w:color w:val="000000"/>
                <w:sz w:val="14"/>
                <w:szCs w:val="14"/>
                <w:lang w:val="en-US"/>
              </w:rPr>
              <w:t>114</w:t>
            </w:r>
          </w:p>
        </w:tc>
        <w:tc>
          <w:tcPr>
            <w:tcW w:w="792" w:type="dxa"/>
            <w:noWrap/>
            <w:vAlign w:val="center"/>
            <w:hideMark/>
          </w:tcPr>
          <w:p w14:paraId="5AFD385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F664F4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2FBEDB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5DB9C0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4FCF5B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76AF9B2"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01FEBAA5" w14:textId="77777777" w:rsidTr="00A41632">
        <w:trPr>
          <w:trHeight w:val="276"/>
          <w:jc w:val="center"/>
        </w:trPr>
        <w:tc>
          <w:tcPr>
            <w:tcW w:w="955" w:type="dxa"/>
            <w:tcBorders>
              <w:top w:val="nil"/>
              <w:left w:val="single" w:sz="8" w:space="0" w:color="auto"/>
              <w:bottom w:val="nil"/>
              <w:right w:val="nil"/>
            </w:tcBorders>
            <w:noWrap/>
            <w:vAlign w:val="center"/>
            <w:hideMark/>
          </w:tcPr>
          <w:p w14:paraId="07F36F6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noWrap/>
            <w:vAlign w:val="center"/>
            <w:hideMark/>
          </w:tcPr>
          <w:p w14:paraId="21058807"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6C404490" w14:textId="77777777" w:rsidR="00F3536C" w:rsidRPr="00A4272B" w:rsidRDefault="00F3536C" w:rsidP="00A41632">
            <w:pPr>
              <w:rPr>
                <w:color w:val="000000"/>
                <w:sz w:val="14"/>
                <w:szCs w:val="14"/>
                <w:lang w:val="en-US"/>
              </w:rPr>
            </w:pPr>
            <w:r w:rsidRPr="00A4272B">
              <w:rPr>
                <w:color w:val="000000"/>
                <w:sz w:val="14"/>
                <w:szCs w:val="14"/>
                <w:lang w:val="en-US"/>
              </w:rPr>
              <w:t>Tully, QLD</w:t>
            </w:r>
          </w:p>
        </w:tc>
        <w:tc>
          <w:tcPr>
            <w:tcW w:w="998" w:type="dxa"/>
            <w:noWrap/>
            <w:vAlign w:val="center"/>
            <w:hideMark/>
          </w:tcPr>
          <w:p w14:paraId="78934836" w14:textId="77777777" w:rsidR="00F3536C" w:rsidRPr="00A4272B" w:rsidRDefault="00F3536C" w:rsidP="00A41632">
            <w:pPr>
              <w:jc w:val="center"/>
              <w:rPr>
                <w:color w:val="000000"/>
                <w:sz w:val="14"/>
                <w:szCs w:val="14"/>
                <w:lang w:val="en-US"/>
              </w:rPr>
            </w:pPr>
            <w:r w:rsidRPr="00A4272B">
              <w:rPr>
                <w:color w:val="000000"/>
                <w:sz w:val="14"/>
                <w:szCs w:val="14"/>
                <w:lang w:val="en-US"/>
              </w:rPr>
              <w:t>TUL</w:t>
            </w:r>
          </w:p>
        </w:tc>
        <w:tc>
          <w:tcPr>
            <w:tcW w:w="1342" w:type="dxa"/>
            <w:noWrap/>
            <w:vAlign w:val="center"/>
            <w:hideMark/>
          </w:tcPr>
          <w:p w14:paraId="4546423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36728E6" w14:textId="77777777" w:rsidR="00F3536C" w:rsidRPr="00A4272B" w:rsidRDefault="00F3536C" w:rsidP="00A41632">
            <w:pPr>
              <w:jc w:val="right"/>
              <w:rPr>
                <w:color w:val="000000"/>
                <w:sz w:val="14"/>
                <w:szCs w:val="14"/>
                <w:lang w:val="en-US"/>
              </w:rPr>
            </w:pPr>
            <w:r w:rsidRPr="00A4272B">
              <w:rPr>
                <w:color w:val="000000"/>
                <w:sz w:val="14"/>
                <w:szCs w:val="14"/>
                <w:lang w:val="en-US"/>
              </w:rPr>
              <w:t>-17.746389</w:t>
            </w:r>
          </w:p>
        </w:tc>
        <w:tc>
          <w:tcPr>
            <w:tcW w:w="998" w:type="dxa"/>
            <w:noWrap/>
            <w:vAlign w:val="center"/>
            <w:hideMark/>
          </w:tcPr>
          <w:p w14:paraId="1798CF22" w14:textId="77777777" w:rsidR="00F3536C" w:rsidRPr="00A4272B" w:rsidRDefault="00F3536C" w:rsidP="00A41632">
            <w:pPr>
              <w:jc w:val="right"/>
              <w:rPr>
                <w:color w:val="000000"/>
                <w:sz w:val="14"/>
                <w:szCs w:val="14"/>
                <w:lang w:val="en-US"/>
              </w:rPr>
            </w:pPr>
            <w:r w:rsidRPr="00A4272B">
              <w:rPr>
                <w:color w:val="000000"/>
                <w:sz w:val="14"/>
                <w:szCs w:val="14"/>
                <w:lang w:val="en-US"/>
              </w:rPr>
              <w:t>146.050555</w:t>
            </w:r>
          </w:p>
        </w:tc>
        <w:tc>
          <w:tcPr>
            <w:tcW w:w="859" w:type="dxa"/>
            <w:tcBorders>
              <w:top w:val="nil"/>
              <w:left w:val="nil"/>
              <w:bottom w:val="nil"/>
              <w:right w:val="single" w:sz="8" w:space="0" w:color="auto"/>
            </w:tcBorders>
            <w:noWrap/>
            <w:vAlign w:val="center"/>
            <w:hideMark/>
          </w:tcPr>
          <w:p w14:paraId="5C4EFB14" w14:textId="77777777" w:rsidR="00F3536C" w:rsidRPr="00A4272B" w:rsidRDefault="00F3536C" w:rsidP="00A41632">
            <w:pPr>
              <w:jc w:val="center"/>
              <w:rPr>
                <w:color w:val="000000"/>
                <w:sz w:val="14"/>
                <w:szCs w:val="14"/>
                <w:lang w:val="en-US"/>
              </w:rPr>
            </w:pPr>
            <w:r w:rsidRPr="00A4272B">
              <w:rPr>
                <w:color w:val="000000"/>
                <w:sz w:val="14"/>
                <w:szCs w:val="14"/>
                <w:lang w:val="en-US"/>
              </w:rPr>
              <w:t>13</w:t>
            </w:r>
          </w:p>
        </w:tc>
        <w:tc>
          <w:tcPr>
            <w:tcW w:w="792" w:type="dxa"/>
            <w:noWrap/>
            <w:vAlign w:val="center"/>
            <w:hideMark/>
          </w:tcPr>
          <w:p w14:paraId="5D03232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C6876C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EA22B9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E6F955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9C07DF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8ACA33A"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680B90CE"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244B05DD"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1391" w:type="dxa"/>
            <w:tcBorders>
              <w:top w:val="nil"/>
              <w:left w:val="nil"/>
              <w:bottom w:val="single" w:sz="4" w:space="0" w:color="auto"/>
              <w:right w:val="nil"/>
            </w:tcBorders>
            <w:noWrap/>
            <w:vAlign w:val="center"/>
            <w:hideMark/>
          </w:tcPr>
          <w:p w14:paraId="6D2CB26C"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tcBorders>
              <w:top w:val="nil"/>
              <w:left w:val="nil"/>
              <w:bottom w:val="single" w:sz="4" w:space="0" w:color="auto"/>
              <w:right w:val="nil"/>
            </w:tcBorders>
            <w:noWrap/>
            <w:vAlign w:val="center"/>
            <w:hideMark/>
          </w:tcPr>
          <w:p w14:paraId="66C5C07C" w14:textId="77777777" w:rsidR="00F3536C" w:rsidRPr="00A4272B" w:rsidRDefault="00F3536C" w:rsidP="00A41632">
            <w:pPr>
              <w:rPr>
                <w:color w:val="000000"/>
                <w:sz w:val="14"/>
                <w:szCs w:val="14"/>
                <w:lang w:val="en-US"/>
              </w:rPr>
            </w:pPr>
            <w:r w:rsidRPr="00A4272B">
              <w:rPr>
                <w:color w:val="000000"/>
                <w:sz w:val="14"/>
                <w:szCs w:val="14"/>
                <w:lang w:val="en-US"/>
              </w:rPr>
              <w:t>Uluru, NT</w:t>
            </w:r>
          </w:p>
        </w:tc>
        <w:tc>
          <w:tcPr>
            <w:tcW w:w="998" w:type="dxa"/>
            <w:tcBorders>
              <w:top w:val="nil"/>
              <w:left w:val="nil"/>
              <w:bottom w:val="single" w:sz="4" w:space="0" w:color="auto"/>
              <w:right w:val="nil"/>
            </w:tcBorders>
            <w:noWrap/>
            <w:vAlign w:val="center"/>
            <w:hideMark/>
          </w:tcPr>
          <w:p w14:paraId="4B763A93" w14:textId="77777777" w:rsidR="00F3536C" w:rsidRPr="00A4272B" w:rsidRDefault="00F3536C" w:rsidP="00A41632">
            <w:pPr>
              <w:jc w:val="center"/>
              <w:rPr>
                <w:color w:val="000000"/>
                <w:sz w:val="14"/>
                <w:szCs w:val="14"/>
                <w:lang w:val="en-US"/>
              </w:rPr>
            </w:pPr>
            <w:r w:rsidRPr="00A4272B">
              <w:rPr>
                <w:color w:val="000000"/>
                <w:sz w:val="14"/>
                <w:szCs w:val="14"/>
                <w:lang w:val="en-US"/>
              </w:rPr>
              <w:t>ULU</w:t>
            </w:r>
          </w:p>
        </w:tc>
        <w:tc>
          <w:tcPr>
            <w:tcW w:w="1342" w:type="dxa"/>
            <w:tcBorders>
              <w:top w:val="nil"/>
              <w:left w:val="nil"/>
              <w:bottom w:val="single" w:sz="4" w:space="0" w:color="auto"/>
              <w:right w:val="nil"/>
            </w:tcBorders>
            <w:noWrap/>
            <w:vAlign w:val="center"/>
            <w:hideMark/>
          </w:tcPr>
          <w:p w14:paraId="11B1F7F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nil"/>
              <w:left w:val="nil"/>
              <w:bottom w:val="single" w:sz="4" w:space="0" w:color="auto"/>
              <w:right w:val="nil"/>
            </w:tcBorders>
            <w:noWrap/>
            <w:vAlign w:val="center"/>
            <w:hideMark/>
          </w:tcPr>
          <w:p w14:paraId="73827B0C" w14:textId="77777777" w:rsidR="00F3536C" w:rsidRPr="00A4272B" w:rsidRDefault="00F3536C" w:rsidP="00A41632">
            <w:pPr>
              <w:jc w:val="right"/>
              <w:rPr>
                <w:color w:val="000000"/>
                <w:sz w:val="14"/>
                <w:szCs w:val="14"/>
                <w:lang w:val="en-US"/>
              </w:rPr>
            </w:pPr>
            <w:r w:rsidRPr="00A4272B">
              <w:rPr>
                <w:color w:val="000000"/>
                <w:sz w:val="14"/>
                <w:szCs w:val="14"/>
                <w:lang w:val="en-US"/>
              </w:rPr>
              <w:t>-25.370556</w:t>
            </w:r>
          </w:p>
        </w:tc>
        <w:tc>
          <w:tcPr>
            <w:tcW w:w="998" w:type="dxa"/>
            <w:tcBorders>
              <w:top w:val="nil"/>
              <w:left w:val="nil"/>
              <w:bottom w:val="single" w:sz="4" w:space="0" w:color="auto"/>
              <w:right w:val="nil"/>
            </w:tcBorders>
            <w:noWrap/>
            <w:vAlign w:val="center"/>
            <w:hideMark/>
          </w:tcPr>
          <w:p w14:paraId="6FB75DAA" w14:textId="77777777" w:rsidR="00F3536C" w:rsidRPr="00A4272B" w:rsidRDefault="00F3536C" w:rsidP="00A41632">
            <w:pPr>
              <w:jc w:val="right"/>
              <w:rPr>
                <w:color w:val="000000"/>
                <w:sz w:val="14"/>
                <w:szCs w:val="14"/>
                <w:lang w:val="en-US"/>
              </w:rPr>
            </w:pPr>
            <w:r w:rsidRPr="00A4272B">
              <w:rPr>
                <w:color w:val="000000"/>
                <w:sz w:val="14"/>
                <w:szCs w:val="14"/>
                <w:lang w:val="en-US"/>
              </w:rPr>
              <w:t>130.997778</w:t>
            </w:r>
          </w:p>
        </w:tc>
        <w:tc>
          <w:tcPr>
            <w:tcW w:w="859" w:type="dxa"/>
            <w:tcBorders>
              <w:top w:val="nil"/>
              <w:left w:val="nil"/>
              <w:bottom w:val="single" w:sz="4" w:space="0" w:color="auto"/>
              <w:right w:val="single" w:sz="8" w:space="0" w:color="auto"/>
            </w:tcBorders>
            <w:noWrap/>
            <w:vAlign w:val="center"/>
            <w:hideMark/>
          </w:tcPr>
          <w:p w14:paraId="68912895" w14:textId="77777777" w:rsidR="00F3536C" w:rsidRPr="00A4272B" w:rsidRDefault="00F3536C" w:rsidP="00A41632">
            <w:pPr>
              <w:jc w:val="center"/>
              <w:rPr>
                <w:color w:val="000000"/>
                <w:sz w:val="14"/>
                <w:szCs w:val="14"/>
                <w:lang w:val="en-US"/>
              </w:rPr>
            </w:pPr>
            <w:r w:rsidRPr="00A4272B">
              <w:rPr>
                <w:color w:val="000000"/>
                <w:sz w:val="14"/>
                <w:szCs w:val="14"/>
                <w:lang w:val="en-US"/>
              </w:rPr>
              <w:t>533</w:t>
            </w:r>
          </w:p>
        </w:tc>
        <w:tc>
          <w:tcPr>
            <w:tcW w:w="792" w:type="dxa"/>
            <w:tcBorders>
              <w:top w:val="nil"/>
              <w:left w:val="nil"/>
              <w:bottom w:val="single" w:sz="4" w:space="0" w:color="auto"/>
              <w:right w:val="nil"/>
            </w:tcBorders>
            <w:noWrap/>
            <w:vAlign w:val="center"/>
            <w:hideMark/>
          </w:tcPr>
          <w:p w14:paraId="23CED6A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nil"/>
              <w:left w:val="nil"/>
              <w:bottom w:val="single" w:sz="4" w:space="0" w:color="auto"/>
              <w:right w:val="nil"/>
            </w:tcBorders>
            <w:noWrap/>
            <w:vAlign w:val="center"/>
            <w:hideMark/>
          </w:tcPr>
          <w:p w14:paraId="510D0461"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nil"/>
              <w:left w:val="nil"/>
              <w:bottom w:val="single" w:sz="4" w:space="0" w:color="auto"/>
              <w:right w:val="nil"/>
            </w:tcBorders>
            <w:noWrap/>
            <w:vAlign w:val="center"/>
            <w:hideMark/>
          </w:tcPr>
          <w:p w14:paraId="7B6DDCE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nil"/>
              <w:left w:val="nil"/>
              <w:bottom w:val="single" w:sz="4" w:space="0" w:color="auto"/>
              <w:right w:val="nil"/>
            </w:tcBorders>
            <w:noWrap/>
            <w:vAlign w:val="center"/>
            <w:hideMark/>
          </w:tcPr>
          <w:p w14:paraId="40C121D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top w:val="nil"/>
              <w:left w:val="nil"/>
              <w:bottom w:val="single" w:sz="4" w:space="0" w:color="auto"/>
              <w:right w:val="nil"/>
            </w:tcBorders>
            <w:noWrap/>
            <w:vAlign w:val="center"/>
            <w:hideMark/>
          </w:tcPr>
          <w:p w14:paraId="4C3C730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single" w:sz="4" w:space="0" w:color="auto"/>
              <w:right w:val="single" w:sz="8" w:space="0" w:color="auto"/>
            </w:tcBorders>
            <w:noWrap/>
            <w:vAlign w:val="center"/>
            <w:hideMark/>
          </w:tcPr>
          <w:p w14:paraId="46167ECE"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1BF9E68F"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1EBF253A"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tcBorders>
              <w:top w:val="single" w:sz="4" w:space="0" w:color="auto"/>
              <w:left w:val="nil"/>
              <w:bottom w:val="nil"/>
              <w:right w:val="nil"/>
            </w:tcBorders>
            <w:noWrap/>
            <w:vAlign w:val="center"/>
            <w:hideMark/>
          </w:tcPr>
          <w:p w14:paraId="2603D540"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tcBorders>
              <w:top w:val="single" w:sz="4" w:space="0" w:color="auto"/>
              <w:left w:val="nil"/>
              <w:bottom w:val="nil"/>
              <w:right w:val="nil"/>
            </w:tcBorders>
            <w:noWrap/>
            <w:vAlign w:val="center"/>
            <w:hideMark/>
          </w:tcPr>
          <w:p w14:paraId="7C18AE0C" w14:textId="77777777" w:rsidR="00F3536C" w:rsidRPr="00A4272B" w:rsidRDefault="00F3536C" w:rsidP="00A41632">
            <w:pPr>
              <w:rPr>
                <w:color w:val="000000"/>
                <w:sz w:val="14"/>
                <w:szCs w:val="14"/>
                <w:lang w:val="en-US"/>
              </w:rPr>
            </w:pPr>
            <w:r w:rsidRPr="00A4272B">
              <w:rPr>
                <w:color w:val="000000"/>
                <w:sz w:val="14"/>
                <w:szCs w:val="14"/>
                <w:lang w:val="en-US"/>
              </w:rPr>
              <w:t>Cape Grim</w:t>
            </w:r>
          </w:p>
        </w:tc>
        <w:tc>
          <w:tcPr>
            <w:tcW w:w="998" w:type="dxa"/>
            <w:tcBorders>
              <w:top w:val="single" w:sz="4" w:space="0" w:color="auto"/>
              <w:left w:val="nil"/>
              <w:bottom w:val="nil"/>
              <w:right w:val="nil"/>
            </w:tcBorders>
            <w:noWrap/>
            <w:vAlign w:val="center"/>
            <w:hideMark/>
          </w:tcPr>
          <w:p w14:paraId="59D9EC3B" w14:textId="77777777" w:rsidR="00F3536C" w:rsidRPr="00A4272B" w:rsidRDefault="00F3536C" w:rsidP="00A41632">
            <w:pPr>
              <w:jc w:val="center"/>
              <w:rPr>
                <w:color w:val="000000"/>
                <w:sz w:val="14"/>
                <w:szCs w:val="14"/>
                <w:lang w:val="en-US"/>
              </w:rPr>
            </w:pPr>
            <w:r w:rsidRPr="00A4272B">
              <w:rPr>
                <w:color w:val="000000"/>
                <w:sz w:val="14"/>
                <w:szCs w:val="14"/>
                <w:lang w:val="en-US"/>
              </w:rPr>
              <w:t>WE23</w:t>
            </w:r>
          </w:p>
        </w:tc>
        <w:tc>
          <w:tcPr>
            <w:tcW w:w="1342" w:type="dxa"/>
            <w:tcBorders>
              <w:top w:val="single" w:sz="4" w:space="0" w:color="auto"/>
              <w:left w:val="nil"/>
              <w:bottom w:val="nil"/>
              <w:right w:val="nil"/>
            </w:tcBorders>
            <w:noWrap/>
            <w:vAlign w:val="center"/>
            <w:hideMark/>
          </w:tcPr>
          <w:p w14:paraId="1848869A"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tcBorders>
              <w:top w:val="single" w:sz="4" w:space="0" w:color="auto"/>
              <w:left w:val="nil"/>
              <w:bottom w:val="nil"/>
              <w:right w:val="nil"/>
            </w:tcBorders>
            <w:noWrap/>
            <w:vAlign w:val="center"/>
            <w:hideMark/>
          </w:tcPr>
          <w:p w14:paraId="31607C64" w14:textId="77777777" w:rsidR="00F3536C" w:rsidRPr="00A4272B" w:rsidRDefault="00F3536C" w:rsidP="00A41632">
            <w:pPr>
              <w:jc w:val="right"/>
              <w:rPr>
                <w:color w:val="000000"/>
                <w:sz w:val="14"/>
                <w:szCs w:val="14"/>
                <w:lang w:val="en-US"/>
              </w:rPr>
            </w:pPr>
            <w:r w:rsidRPr="00A4272B">
              <w:rPr>
                <w:color w:val="000000"/>
                <w:sz w:val="14"/>
                <w:szCs w:val="14"/>
                <w:lang w:val="en-US"/>
              </w:rPr>
              <w:t>-40.683619</w:t>
            </w:r>
          </w:p>
        </w:tc>
        <w:tc>
          <w:tcPr>
            <w:tcW w:w="998" w:type="dxa"/>
            <w:tcBorders>
              <w:top w:val="single" w:sz="4" w:space="0" w:color="auto"/>
              <w:left w:val="nil"/>
              <w:bottom w:val="nil"/>
              <w:right w:val="nil"/>
            </w:tcBorders>
            <w:noWrap/>
            <w:vAlign w:val="center"/>
            <w:hideMark/>
          </w:tcPr>
          <w:p w14:paraId="5D90D5E1" w14:textId="77777777" w:rsidR="00F3536C" w:rsidRPr="00A4272B" w:rsidRDefault="00F3536C" w:rsidP="00A41632">
            <w:pPr>
              <w:jc w:val="right"/>
              <w:rPr>
                <w:color w:val="000000"/>
                <w:sz w:val="14"/>
                <w:szCs w:val="14"/>
                <w:lang w:val="en-US"/>
              </w:rPr>
            </w:pPr>
            <w:r w:rsidRPr="00A4272B">
              <w:rPr>
                <w:color w:val="000000"/>
                <w:sz w:val="14"/>
                <w:szCs w:val="14"/>
                <w:lang w:val="en-US"/>
              </w:rPr>
              <w:t>144.700932</w:t>
            </w:r>
          </w:p>
        </w:tc>
        <w:tc>
          <w:tcPr>
            <w:tcW w:w="859" w:type="dxa"/>
            <w:tcBorders>
              <w:top w:val="single" w:sz="4" w:space="0" w:color="auto"/>
              <w:left w:val="nil"/>
              <w:bottom w:val="nil"/>
              <w:right w:val="single" w:sz="8" w:space="0" w:color="auto"/>
            </w:tcBorders>
            <w:noWrap/>
            <w:vAlign w:val="center"/>
            <w:hideMark/>
          </w:tcPr>
          <w:p w14:paraId="1869F281" w14:textId="77777777" w:rsidR="00F3536C" w:rsidRPr="00A4272B" w:rsidRDefault="00F3536C" w:rsidP="00A41632">
            <w:pPr>
              <w:jc w:val="center"/>
              <w:rPr>
                <w:color w:val="000000"/>
                <w:sz w:val="14"/>
                <w:szCs w:val="14"/>
                <w:lang w:val="en-US"/>
              </w:rPr>
            </w:pPr>
            <w:r w:rsidRPr="00A4272B">
              <w:rPr>
                <w:color w:val="000000"/>
                <w:sz w:val="14"/>
                <w:szCs w:val="14"/>
                <w:lang w:val="en-US"/>
              </w:rPr>
              <w:t>71</w:t>
            </w:r>
          </w:p>
        </w:tc>
        <w:tc>
          <w:tcPr>
            <w:tcW w:w="792" w:type="dxa"/>
            <w:tcBorders>
              <w:top w:val="single" w:sz="4" w:space="0" w:color="auto"/>
              <w:left w:val="nil"/>
              <w:bottom w:val="nil"/>
              <w:right w:val="nil"/>
            </w:tcBorders>
            <w:noWrap/>
            <w:vAlign w:val="center"/>
            <w:hideMark/>
          </w:tcPr>
          <w:p w14:paraId="3389099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left w:val="nil"/>
              <w:bottom w:val="nil"/>
              <w:right w:val="nil"/>
            </w:tcBorders>
            <w:noWrap/>
            <w:vAlign w:val="center"/>
            <w:hideMark/>
          </w:tcPr>
          <w:p w14:paraId="2B40DD30"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nil"/>
              <w:right w:val="nil"/>
            </w:tcBorders>
            <w:noWrap/>
            <w:vAlign w:val="center"/>
            <w:hideMark/>
          </w:tcPr>
          <w:p w14:paraId="7272484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left w:val="nil"/>
              <w:bottom w:val="nil"/>
              <w:right w:val="nil"/>
            </w:tcBorders>
            <w:noWrap/>
            <w:vAlign w:val="center"/>
            <w:hideMark/>
          </w:tcPr>
          <w:p w14:paraId="254C0E2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single" w:sz="4" w:space="0" w:color="auto"/>
              <w:left w:val="nil"/>
              <w:bottom w:val="nil"/>
              <w:right w:val="nil"/>
            </w:tcBorders>
            <w:noWrap/>
            <w:vAlign w:val="center"/>
            <w:hideMark/>
          </w:tcPr>
          <w:p w14:paraId="71C7F54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single" w:sz="4" w:space="0" w:color="auto"/>
              <w:left w:val="nil"/>
              <w:bottom w:val="nil"/>
              <w:right w:val="single" w:sz="8" w:space="0" w:color="auto"/>
            </w:tcBorders>
            <w:noWrap/>
            <w:vAlign w:val="center"/>
            <w:hideMark/>
          </w:tcPr>
          <w:p w14:paraId="1F18F84A"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508EA720" w14:textId="77777777" w:rsidTr="00A41632">
        <w:trPr>
          <w:trHeight w:val="276"/>
          <w:jc w:val="center"/>
        </w:trPr>
        <w:tc>
          <w:tcPr>
            <w:tcW w:w="955" w:type="dxa"/>
            <w:tcBorders>
              <w:top w:val="nil"/>
              <w:left w:val="single" w:sz="8" w:space="0" w:color="auto"/>
              <w:bottom w:val="nil"/>
              <w:right w:val="nil"/>
            </w:tcBorders>
            <w:noWrap/>
            <w:vAlign w:val="center"/>
            <w:hideMark/>
          </w:tcPr>
          <w:p w14:paraId="5D0EADDA"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17305CFD"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356C12C1" w14:textId="77777777" w:rsidR="00F3536C" w:rsidRPr="00A4272B" w:rsidRDefault="00F3536C" w:rsidP="00A41632">
            <w:pPr>
              <w:rPr>
                <w:color w:val="000000"/>
                <w:sz w:val="14"/>
                <w:szCs w:val="14"/>
                <w:lang w:val="en-US"/>
              </w:rPr>
            </w:pPr>
            <w:r w:rsidRPr="00A4272B">
              <w:rPr>
                <w:color w:val="000000"/>
                <w:sz w:val="14"/>
                <w:szCs w:val="14"/>
                <w:lang w:val="en-US"/>
              </w:rPr>
              <w:t>Darwin</w:t>
            </w:r>
          </w:p>
        </w:tc>
        <w:tc>
          <w:tcPr>
            <w:tcW w:w="998" w:type="dxa"/>
            <w:noWrap/>
            <w:vAlign w:val="center"/>
            <w:hideMark/>
          </w:tcPr>
          <w:p w14:paraId="0E183C79" w14:textId="77777777" w:rsidR="00F3536C" w:rsidRPr="00A4272B" w:rsidRDefault="00F3536C" w:rsidP="00A41632">
            <w:pPr>
              <w:jc w:val="center"/>
              <w:rPr>
                <w:color w:val="000000"/>
                <w:sz w:val="14"/>
                <w:szCs w:val="14"/>
                <w:lang w:val="en-US"/>
              </w:rPr>
            </w:pPr>
            <w:r w:rsidRPr="00A4272B">
              <w:rPr>
                <w:color w:val="000000"/>
                <w:sz w:val="14"/>
                <w:szCs w:val="14"/>
                <w:lang w:val="en-US"/>
              </w:rPr>
              <w:t>WE22</w:t>
            </w:r>
          </w:p>
        </w:tc>
        <w:tc>
          <w:tcPr>
            <w:tcW w:w="1342" w:type="dxa"/>
            <w:noWrap/>
            <w:vAlign w:val="center"/>
            <w:hideMark/>
          </w:tcPr>
          <w:p w14:paraId="52D4B6F0"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457AEBE1" w14:textId="77777777" w:rsidR="00F3536C" w:rsidRPr="00A4272B" w:rsidRDefault="00F3536C" w:rsidP="00A41632">
            <w:pPr>
              <w:jc w:val="right"/>
              <w:rPr>
                <w:color w:val="000000"/>
                <w:sz w:val="14"/>
                <w:szCs w:val="14"/>
                <w:lang w:val="en-US"/>
              </w:rPr>
            </w:pPr>
            <w:r w:rsidRPr="00A4272B">
              <w:rPr>
                <w:color w:val="000000"/>
                <w:sz w:val="14"/>
                <w:szCs w:val="14"/>
                <w:lang w:val="en-US"/>
              </w:rPr>
              <w:t>-12.370667</w:t>
            </w:r>
          </w:p>
        </w:tc>
        <w:tc>
          <w:tcPr>
            <w:tcW w:w="998" w:type="dxa"/>
            <w:noWrap/>
            <w:vAlign w:val="center"/>
            <w:hideMark/>
          </w:tcPr>
          <w:p w14:paraId="17B7F6A6" w14:textId="77777777" w:rsidR="00F3536C" w:rsidRPr="00A4272B" w:rsidRDefault="00F3536C" w:rsidP="00A41632">
            <w:pPr>
              <w:jc w:val="right"/>
              <w:rPr>
                <w:color w:val="000000"/>
                <w:sz w:val="14"/>
                <w:szCs w:val="14"/>
                <w:lang w:val="en-US"/>
              </w:rPr>
            </w:pPr>
            <w:r w:rsidRPr="00A4272B">
              <w:rPr>
                <w:color w:val="000000"/>
                <w:sz w:val="14"/>
                <w:szCs w:val="14"/>
                <w:lang w:val="en-US"/>
              </w:rPr>
              <w:t>130.864500</w:t>
            </w:r>
          </w:p>
        </w:tc>
        <w:tc>
          <w:tcPr>
            <w:tcW w:w="859" w:type="dxa"/>
            <w:tcBorders>
              <w:top w:val="nil"/>
              <w:left w:val="nil"/>
              <w:bottom w:val="nil"/>
              <w:right w:val="single" w:sz="8" w:space="0" w:color="auto"/>
            </w:tcBorders>
            <w:noWrap/>
            <w:vAlign w:val="center"/>
            <w:hideMark/>
          </w:tcPr>
          <w:p w14:paraId="077E04F7" w14:textId="77777777" w:rsidR="00F3536C" w:rsidRPr="00A4272B" w:rsidRDefault="00F3536C" w:rsidP="00A41632">
            <w:pPr>
              <w:jc w:val="center"/>
              <w:rPr>
                <w:color w:val="000000"/>
                <w:sz w:val="14"/>
                <w:szCs w:val="14"/>
                <w:lang w:val="en-US"/>
              </w:rPr>
            </w:pPr>
            <w:r w:rsidRPr="00A4272B">
              <w:rPr>
                <w:color w:val="000000"/>
                <w:sz w:val="14"/>
                <w:szCs w:val="14"/>
                <w:lang w:val="en-US"/>
              </w:rPr>
              <w:t>8</w:t>
            </w:r>
          </w:p>
        </w:tc>
        <w:tc>
          <w:tcPr>
            <w:tcW w:w="792" w:type="dxa"/>
            <w:noWrap/>
            <w:vAlign w:val="center"/>
            <w:hideMark/>
          </w:tcPr>
          <w:p w14:paraId="0891363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5D9EEE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4AF686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845897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EB6933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D3A4C51"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70AE971B" w14:textId="77777777" w:rsidTr="00A41632">
        <w:trPr>
          <w:trHeight w:val="276"/>
          <w:jc w:val="center"/>
        </w:trPr>
        <w:tc>
          <w:tcPr>
            <w:tcW w:w="955" w:type="dxa"/>
            <w:tcBorders>
              <w:top w:val="nil"/>
              <w:left w:val="single" w:sz="8" w:space="0" w:color="auto"/>
              <w:bottom w:val="nil"/>
              <w:right w:val="nil"/>
            </w:tcBorders>
            <w:noWrap/>
            <w:vAlign w:val="center"/>
            <w:hideMark/>
          </w:tcPr>
          <w:p w14:paraId="0BAE5F74"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3B909D0A" w14:textId="77777777" w:rsidR="00F3536C" w:rsidRPr="00A4272B" w:rsidRDefault="00F3536C" w:rsidP="00A41632">
            <w:pPr>
              <w:rPr>
                <w:color w:val="000000"/>
                <w:sz w:val="14"/>
                <w:szCs w:val="14"/>
                <w:lang w:val="en-US"/>
              </w:rPr>
            </w:pPr>
            <w:r w:rsidRPr="00A4272B">
              <w:rPr>
                <w:color w:val="000000"/>
                <w:sz w:val="14"/>
                <w:szCs w:val="14"/>
                <w:lang w:val="en-US"/>
              </w:rPr>
              <w:t>Australia</w:t>
            </w:r>
          </w:p>
        </w:tc>
        <w:tc>
          <w:tcPr>
            <w:tcW w:w="2504" w:type="dxa"/>
            <w:noWrap/>
            <w:vAlign w:val="center"/>
            <w:hideMark/>
          </w:tcPr>
          <w:p w14:paraId="35E54F71" w14:textId="77777777" w:rsidR="00F3536C" w:rsidRPr="00A4272B" w:rsidRDefault="00F3536C" w:rsidP="00A41632">
            <w:pPr>
              <w:rPr>
                <w:color w:val="000000"/>
                <w:sz w:val="14"/>
                <w:szCs w:val="14"/>
                <w:lang w:val="en-US"/>
              </w:rPr>
            </w:pPr>
            <w:r w:rsidRPr="00A4272B">
              <w:rPr>
                <w:color w:val="000000"/>
                <w:sz w:val="14"/>
                <w:szCs w:val="14"/>
                <w:lang w:val="en-US"/>
              </w:rPr>
              <w:t>Sydney</w:t>
            </w:r>
          </w:p>
        </w:tc>
        <w:tc>
          <w:tcPr>
            <w:tcW w:w="998" w:type="dxa"/>
            <w:noWrap/>
            <w:vAlign w:val="center"/>
            <w:hideMark/>
          </w:tcPr>
          <w:p w14:paraId="39256E7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6C0C22A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89A1C76" w14:textId="77777777" w:rsidR="00F3536C" w:rsidRPr="00A4272B" w:rsidRDefault="00F3536C" w:rsidP="00A41632">
            <w:pPr>
              <w:jc w:val="right"/>
              <w:rPr>
                <w:color w:val="000000"/>
                <w:sz w:val="14"/>
                <w:szCs w:val="14"/>
                <w:lang w:val="en-US"/>
              </w:rPr>
            </w:pPr>
            <w:r w:rsidRPr="00A4272B">
              <w:rPr>
                <w:color w:val="000000"/>
                <w:sz w:val="14"/>
                <w:szCs w:val="14"/>
                <w:lang w:val="en-US"/>
              </w:rPr>
              <w:t>-33.868820</w:t>
            </w:r>
          </w:p>
        </w:tc>
        <w:tc>
          <w:tcPr>
            <w:tcW w:w="998" w:type="dxa"/>
            <w:noWrap/>
            <w:vAlign w:val="center"/>
            <w:hideMark/>
          </w:tcPr>
          <w:p w14:paraId="3B42B2E9" w14:textId="77777777" w:rsidR="00F3536C" w:rsidRPr="00A4272B" w:rsidRDefault="00F3536C" w:rsidP="00A41632">
            <w:pPr>
              <w:jc w:val="right"/>
              <w:rPr>
                <w:color w:val="000000"/>
                <w:sz w:val="14"/>
                <w:szCs w:val="14"/>
                <w:lang w:val="en-US"/>
              </w:rPr>
            </w:pPr>
            <w:r w:rsidRPr="00A4272B">
              <w:rPr>
                <w:color w:val="000000"/>
                <w:sz w:val="14"/>
                <w:szCs w:val="14"/>
                <w:lang w:val="en-US"/>
              </w:rPr>
              <w:t>151.209296</w:t>
            </w:r>
          </w:p>
        </w:tc>
        <w:tc>
          <w:tcPr>
            <w:tcW w:w="859" w:type="dxa"/>
            <w:tcBorders>
              <w:top w:val="nil"/>
              <w:left w:val="nil"/>
              <w:bottom w:val="nil"/>
              <w:right w:val="single" w:sz="8" w:space="0" w:color="auto"/>
            </w:tcBorders>
            <w:noWrap/>
            <w:vAlign w:val="center"/>
            <w:hideMark/>
          </w:tcPr>
          <w:p w14:paraId="08D6588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20F229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9AFA645"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28A789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541E6D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C40BA3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A34A51A"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1547AD41" w14:textId="77777777" w:rsidTr="00A41632">
        <w:trPr>
          <w:trHeight w:val="276"/>
          <w:jc w:val="center"/>
        </w:trPr>
        <w:tc>
          <w:tcPr>
            <w:tcW w:w="955" w:type="dxa"/>
            <w:tcBorders>
              <w:top w:val="nil"/>
              <w:left w:val="single" w:sz="8" w:space="0" w:color="auto"/>
              <w:bottom w:val="nil"/>
              <w:right w:val="nil"/>
            </w:tcBorders>
            <w:noWrap/>
            <w:vAlign w:val="center"/>
            <w:hideMark/>
          </w:tcPr>
          <w:p w14:paraId="74E7DDA4"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E2EE013"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675730B6" w14:textId="77777777" w:rsidR="00F3536C" w:rsidRPr="00A4272B" w:rsidRDefault="00F3536C" w:rsidP="00A41632">
            <w:pPr>
              <w:rPr>
                <w:color w:val="000000"/>
                <w:sz w:val="14"/>
                <w:szCs w:val="14"/>
                <w:lang w:val="en-US"/>
              </w:rPr>
            </w:pPr>
            <w:r w:rsidRPr="00A4272B">
              <w:rPr>
                <w:color w:val="000000"/>
                <w:sz w:val="14"/>
                <w:szCs w:val="14"/>
                <w:lang w:val="en-US"/>
              </w:rPr>
              <w:t>Alert, NU</w:t>
            </w:r>
          </w:p>
        </w:tc>
        <w:tc>
          <w:tcPr>
            <w:tcW w:w="998" w:type="dxa"/>
            <w:noWrap/>
            <w:vAlign w:val="center"/>
            <w:hideMark/>
          </w:tcPr>
          <w:p w14:paraId="16F4A10B" w14:textId="77777777" w:rsidR="00F3536C" w:rsidRPr="00A4272B" w:rsidRDefault="00F3536C" w:rsidP="00A41632">
            <w:pPr>
              <w:jc w:val="center"/>
              <w:rPr>
                <w:color w:val="000000"/>
                <w:sz w:val="14"/>
                <w:szCs w:val="14"/>
                <w:lang w:val="en-US"/>
              </w:rPr>
            </w:pPr>
            <w:r w:rsidRPr="00A4272B">
              <w:rPr>
                <w:color w:val="000000"/>
                <w:sz w:val="14"/>
                <w:szCs w:val="14"/>
                <w:lang w:val="en-US"/>
              </w:rPr>
              <w:t>WE01</w:t>
            </w:r>
          </w:p>
        </w:tc>
        <w:tc>
          <w:tcPr>
            <w:tcW w:w="1342" w:type="dxa"/>
            <w:noWrap/>
            <w:vAlign w:val="center"/>
            <w:hideMark/>
          </w:tcPr>
          <w:p w14:paraId="41D2DE31"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51A2C44F" w14:textId="77777777" w:rsidR="00F3536C" w:rsidRPr="00A4272B" w:rsidRDefault="00F3536C" w:rsidP="00A41632">
            <w:pPr>
              <w:jc w:val="right"/>
              <w:rPr>
                <w:color w:val="000000"/>
                <w:sz w:val="14"/>
                <w:szCs w:val="14"/>
                <w:lang w:val="en-US"/>
              </w:rPr>
            </w:pPr>
            <w:r w:rsidRPr="00A4272B">
              <w:rPr>
                <w:color w:val="000000"/>
                <w:sz w:val="14"/>
                <w:szCs w:val="14"/>
                <w:lang w:val="en-US"/>
              </w:rPr>
              <w:t>82.450133</w:t>
            </w:r>
          </w:p>
        </w:tc>
        <w:tc>
          <w:tcPr>
            <w:tcW w:w="998" w:type="dxa"/>
            <w:noWrap/>
            <w:vAlign w:val="center"/>
            <w:hideMark/>
          </w:tcPr>
          <w:p w14:paraId="6C51E19D" w14:textId="77777777" w:rsidR="00F3536C" w:rsidRPr="00A4272B" w:rsidRDefault="00F3536C" w:rsidP="00A41632">
            <w:pPr>
              <w:jc w:val="right"/>
              <w:rPr>
                <w:color w:val="000000"/>
                <w:sz w:val="14"/>
                <w:szCs w:val="14"/>
                <w:lang w:val="en-US"/>
              </w:rPr>
            </w:pPr>
            <w:r w:rsidRPr="00A4272B">
              <w:rPr>
                <w:color w:val="000000"/>
                <w:sz w:val="14"/>
                <w:szCs w:val="14"/>
                <w:lang w:val="en-US"/>
              </w:rPr>
              <w:t>-63.503967</w:t>
            </w:r>
          </w:p>
        </w:tc>
        <w:tc>
          <w:tcPr>
            <w:tcW w:w="859" w:type="dxa"/>
            <w:tcBorders>
              <w:top w:val="nil"/>
              <w:left w:val="nil"/>
              <w:bottom w:val="nil"/>
              <w:right w:val="single" w:sz="8" w:space="0" w:color="auto"/>
            </w:tcBorders>
            <w:noWrap/>
            <w:vAlign w:val="center"/>
            <w:hideMark/>
          </w:tcPr>
          <w:p w14:paraId="1C4938DA" w14:textId="77777777" w:rsidR="00F3536C" w:rsidRPr="00A4272B" w:rsidRDefault="00F3536C" w:rsidP="00A41632">
            <w:pPr>
              <w:jc w:val="center"/>
              <w:rPr>
                <w:color w:val="000000"/>
                <w:sz w:val="14"/>
                <w:szCs w:val="14"/>
                <w:lang w:val="en-US"/>
              </w:rPr>
            </w:pPr>
            <w:r w:rsidRPr="00A4272B">
              <w:rPr>
                <w:color w:val="000000"/>
                <w:sz w:val="14"/>
                <w:szCs w:val="14"/>
                <w:lang w:val="en-US"/>
              </w:rPr>
              <w:t>0</w:t>
            </w:r>
          </w:p>
        </w:tc>
        <w:tc>
          <w:tcPr>
            <w:tcW w:w="792" w:type="dxa"/>
            <w:noWrap/>
            <w:vAlign w:val="center"/>
            <w:hideMark/>
          </w:tcPr>
          <w:p w14:paraId="4016BD9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3732A4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42903D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485FF9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3AC0B1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A316DA2"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5B7FDBB9" w14:textId="77777777" w:rsidTr="00A41632">
        <w:trPr>
          <w:trHeight w:val="276"/>
          <w:jc w:val="center"/>
        </w:trPr>
        <w:tc>
          <w:tcPr>
            <w:tcW w:w="955" w:type="dxa"/>
            <w:tcBorders>
              <w:top w:val="nil"/>
              <w:left w:val="single" w:sz="8" w:space="0" w:color="auto"/>
              <w:bottom w:val="nil"/>
              <w:right w:val="nil"/>
            </w:tcBorders>
            <w:noWrap/>
            <w:vAlign w:val="center"/>
            <w:hideMark/>
          </w:tcPr>
          <w:p w14:paraId="79CE6270"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DA35BFE"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7F0D2278" w14:textId="77777777" w:rsidR="00F3536C" w:rsidRPr="00A4272B" w:rsidRDefault="00F3536C" w:rsidP="00A41632">
            <w:pPr>
              <w:rPr>
                <w:color w:val="000000"/>
                <w:sz w:val="14"/>
                <w:szCs w:val="14"/>
                <w:lang w:val="en-US"/>
              </w:rPr>
            </w:pPr>
            <w:r w:rsidRPr="00A4272B">
              <w:rPr>
                <w:color w:val="000000"/>
                <w:sz w:val="14"/>
                <w:szCs w:val="14"/>
                <w:lang w:val="en-US"/>
              </w:rPr>
              <w:t>Bratts Lake, SK</w:t>
            </w:r>
          </w:p>
        </w:tc>
        <w:tc>
          <w:tcPr>
            <w:tcW w:w="998" w:type="dxa"/>
            <w:noWrap/>
            <w:vAlign w:val="center"/>
            <w:hideMark/>
          </w:tcPr>
          <w:p w14:paraId="35F057E5" w14:textId="77777777" w:rsidR="00F3536C" w:rsidRPr="00A4272B" w:rsidRDefault="00F3536C" w:rsidP="00A41632">
            <w:pPr>
              <w:jc w:val="center"/>
              <w:rPr>
                <w:color w:val="000000"/>
                <w:sz w:val="14"/>
                <w:szCs w:val="14"/>
                <w:lang w:val="en-US"/>
              </w:rPr>
            </w:pPr>
            <w:r w:rsidRPr="00A4272B">
              <w:rPr>
                <w:color w:val="000000"/>
                <w:sz w:val="14"/>
                <w:szCs w:val="14"/>
                <w:lang w:val="en-US"/>
              </w:rPr>
              <w:t>WE05</w:t>
            </w:r>
          </w:p>
        </w:tc>
        <w:tc>
          <w:tcPr>
            <w:tcW w:w="1342" w:type="dxa"/>
            <w:noWrap/>
            <w:vAlign w:val="center"/>
            <w:hideMark/>
          </w:tcPr>
          <w:p w14:paraId="6068C13C"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2DC9FADB" w14:textId="77777777" w:rsidR="00F3536C" w:rsidRPr="00A4272B" w:rsidRDefault="00F3536C" w:rsidP="00A41632">
            <w:pPr>
              <w:jc w:val="right"/>
              <w:rPr>
                <w:color w:val="000000"/>
                <w:sz w:val="14"/>
                <w:szCs w:val="14"/>
                <w:lang w:val="en-US"/>
              </w:rPr>
            </w:pPr>
            <w:r w:rsidRPr="00A4272B">
              <w:rPr>
                <w:color w:val="000000"/>
                <w:sz w:val="14"/>
                <w:szCs w:val="14"/>
                <w:lang w:val="en-US"/>
              </w:rPr>
              <w:t>50.200833</w:t>
            </w:r>
          </w:p>
        </w:tc>
        <w:tc>
          <w:tcPr>
            <w:tcW w:w="998" w:type="dxa"/>
            <w:noWrap/>
            <w:vAlign w:val="center"/>
            <w:hideMark/>
          </w:tcPr>
          <w:p w14:paraId="38A97827" w14:textId="77777777" w:rsidR="00F3536C" w:rsidRPr="00A4272B" w:rsidRDefault="00F3536C" w:rsidP="00A41632">
            <w:pPr>
              <w:jc w:val="right"/>
              <w:rPr>
                <w:color w:val="000000"/>
                <w:sz w:val="14"/>
                <w:szCs w:val="14"/>
                <w:lang w:val="en-US"/>
              </w:rPr>
            </w:pPr>
            <w:r w:rsidRPr="00A4272B">
              <w:rPr>
                <w:color w:val="000000"/>
                <w:sz w:val="14"/>
                <w:szCs w:val="14"/>
                <w:lang w:val="en-US"/>
              </w:rPr>
              <w:t>-104.710278</w:t>
            </w:r>
          </w:p>
        </w:tc>
        <w:tc>
          <w:tcPr>
            <w:tcW w:w="859" w:type="dxa"/>
            <w:tcBorders>
              <w:top w:val="nil"/>
              <w:left w:val="nil"/>
              <w:bottom w:val="nil"/>
              <w:right w:val="single" w:sz="8" w:space="0" w:color="auto"/>
            </w:tcBorders>
            <w:noWrap/>
            <w:vAlign w:val="center"/>
            <w:hideMark/>
          </w:tcPr>
          <w:p w14:paraId="58734CC7" w14:textId="77777777" w:rsidR="00F3536C" w:rsidRPr="00A4272B" w:rsidRDefault="00F3536C" w:rsidP="00A41632">
            <w:pPr>
              <w:jc w:val="center"/>
              <w:rPr>
                <w:color w:val="000000"/>
                <w:sz w:val="14"/>
                <w:szCs w:val="14"/>
                <w:lang w:val="en-US"/>
              </w:rPr>
            </w:pPr>
            <w:r w:rsidRPr="00A4272B">
              <w:rPr>
                <w:color w:val="000000"/>
                <w:sz w:val="14"/>
                <w:szCs w:val="14"/>
                <w:lang w:val="en-US"/>
              </w:rPr>
              <w:t>595</w:t>
            </w:r>
          </w:p>
        </w:tc>
        <w:tc>
          <w:tcPr>
            <w:tcW w:w="792" w:type="dxa"/>
            <w:noWrap/>
            <w:vAlign w:val="center"/>
            <w:hideMark/>
          </w:tcPr>
          <w:p w14:paraId="5A555B9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7A87067"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3ECD52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FB9A8F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0949C6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040A828"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19D33E83" w14:textId="77777777" w:rsidTr="00A41632">
        <w:trPr>
          <w:trHeight w:val="276"/>
          <w:jc w:val="center"/>
        </w:trPr>
        <w:tc>
          <w:tcPr>
            <w:tcW w:w="955" w:type="dxa"/>
            <w:tcBorders>
              <w:top w:val="nil"/>
              <w:left w:val="single" w:sz="8" w:space="0" w:color="auto"/>
              <w:bottom w:val="nil"/>
              <w:right w:val="nil"/>
            </w:tcBorders>
            <w:noWrap/>
            <w:vAlign w:val="center"/>
            <w:hideMark/>
          </w:tcPr>
          <w:p w14:paraId="531D3633"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22B5353F"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1CC868E3" w14:textId="77777777" w:rsidR="00F3536C" w:rsidRPr="00A4272B" w:rsidRDefault="00F3536C" w:rsidP="00A41632">
            <w:pPr>
              <w:rPr>
                <w:color w:val="000000"/>
                <w:sz w:val="14"/>
                <w:szCs w:val="14"/>
                <w:lang w:val="en-US"/>
              </w:rPr>
            </w:pPr>
            <w:r w:rsidRPr="00A4272B">
              <w:rPr>
                <w:color w:val="000000"/>
                <w:sz w:val="14"/>
                <w:szCs w:val="14"/>
                <w:lang w:val="en-US"/>
              </w:rPr>
              <w:t>Coral Harbour, NU</w:t>
            </w:r>
          </w:p>
        </w:tc>
        <w:tc>
          <w:tcPr>
            <w:tcW w:w="998" w:type="dxa"/>
            <w:noWrap/>
            <w:vAlign w:val="center"/>
            <w:hideMark/>
          </w:tcPr>
          <w:p w14:paraId="4F6C8C61" w14:textId="77777777" w:rsidR="00F3536C" w:rsidRPr="00A4272B" w:rsidRDefault="00F3536C" w:rsidP="00A41632">
            <w:pPr>
              <w:jc w:val="center"/>
              <w:rPr>
                <w:color w:val="000000"/>
                <w:sz w:val="14"/>
                <w:szCs w:val="14"/>
                <w:lang w:val="en-US"/>
              </w:rPr>
            </w:pPr>
            <w:r w:rsidRPr="00A4272B">
              <w:rPr>
                <w:color w:val="000000"/>
                <w:sz w:val="14"/>
                <w:szCs w:val="14"/>
                <w:lang w:val="en-US"/>
              </w:rPr>
              <w:t>WE42</w:t>
            </w:r>
          </w:p>
        </w:tc>
        <w:tc>
          <w:tcPr>
            <w:tcW w:w="1342" w:type="dxa"/>
            <w:noWrap/>
            <w:vAlign w:val="center"/>
            <w:hideMark/>
          </w:tcPr>
          <w:p w14:paraId="12523CC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7F197F2" w14:textId="77777777" w:rsidR="00F3536C" w:rsidRPr="00A4272B" w:rsidRDefault="00F3536C" w:rsidP="00A41632">
            <w:pPr>
              <w:jc w:val="right"/>
              <w:rPr>
                <w:color w:val="000000"/>
                <w:sz w:val="14"/>
                <w:szCs w:val="14"/>
                <w:lang w:val="en-US"/>
              </w:rPr>
            </w:pPr>
            <w:r w:rsidRPr="00A4272B">
              <w:rPr>
                <w:color w:val="000000"/>
                <w:sz w:val="14"/>
                <w:szCs w:val="14"/>
                <w:lang w:val="en-US"/>
              </w:rPr>
              <w:t>64.133333</w:t>
            </w:r>
          </w:p>
        </w:tc>
        <w:tc>
          <w:tcPr>
            <w:tcW w:w="998" w:type="dxa"/>
            <w:noWrap/>
            <w:vAlign w:val="center"/>
            <w:hideMark/>
          </w:tcPr>
          <w:p w14:paraId="0A5F04F8" w14:textId="77777777" w:rsidR="00F3536C" w:rsidRPr="00A4272B" w:rsidRDefault="00F3536C" w:rsidP="00A41632">
            <w:pPr>
              <w:jc w:val="right"/>
              <w:rPr>
                <w:color w:val="000000"/>
                <w:sz w:val="14"/>
                <w:szCs w:val="14"/>
                <w:lang w:val="en-US"/>
              </w:rPr>
            </w:pPr>
            <w:r w:rsidRPr="00A4272B">
              <w:rPr>
                <w:color w:val="000000"/>
                <w:sz w:val="14"/>
                <w:szCs w:val="14"/>
                <w:lang w:val="en-US"/>
              </w:rPr>
              <w:t>-83.166667</w:t>
            </w:r>
          </w:p>
        </w:tc>
        <w:tc>
          <w:tcPr>
            <w:tcW w:w="859" w:type="dxa"/>
            <w:tcBorders>
              <w:top w:val="nil"/>
              <w:left w:val="nil"/>
              <w:bottom w:val="nil"/>
              <w:right w:val="single" w:sz="8" w:space="0" w:color="auto"/>
            </w:tcBorders>
            <w:noWrap/>
            <w:vAlign w:val="center"/>
            <w:hideMark/>
          </w:tcPr>
          <w:p w14:paraId="7A4E60DA" w14:textId="77777777" w:rsidR="00F3536C" w:rsidRPr="00A4272B" w:rsidRDefault="00F3536C" w:rsidP="00A41632">
            <w:pPr>
              <w:jc w:val="center"/>
              <w:rPr>
                <w:color w:val="000000"/>
                <w:sz w:val="14"/>
                <w:szCs w:val="14"/>
                <w:lang w:val="en-US"/>
              </w:rPr>
            </w:pPr>
            <w:r w:rsidRPr="00A4272B">
              <w:rPr>
                <w:color w:val="000000"/>
                <w:sz w:val="14"/>
                <w:szCs w:val="14"/>
                <w:lang w:val="en-US"/>
              </w:rPr>
              <w:t>9</w:t>
            </w:r>
          </w:p>
        </w:tc>
        <w:tc>
          <w:tcPr>
            <w:tcW w:w="792" w:type="dxa"/>
            <w:noWrap/>
            <w:vAlign w:val="center"/>
            <w:hideMark/>
          </w:tcPr>
          <w:p w14:paraId="2BE6855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595C45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1D9A8C8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D0F17F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716A27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A646DC1"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4D5F952B" w14:textId="77777777" w:rsidTr="00A41632">
        <w:trPr>
          <w:trHeight w:val="276"/>
          <w:jc w:val="center"/>
        </w:trPr>
        <w:tc>
          <w:tcPr>
            <w:tcW w:w="955" w:type="dxa"/>
            <w:tcBorders>
              <w:top w:val="nil"/>
              <w:left w:val="single" w:sz="8" w:space="0" w:color="auto"/>
              <w:bottom w:val="nil"/>
              <w:right w:val="nil"/>
            </w:tcBorders>
            <w:noWrap/>
            <w:vAlign w:val="center"/>
            <w:hideMark/>
          </w:tcPr>
          <w:p w14:paraId="5811E04F"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0D723CC"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18850E92" w14:textId="77777777" w:rsidR="00F3536C" w:rsidRPr="00A4272B" w:rsidRDefault="00F3536C" w:rsidP="00A41632">
            <w:pPr>
              <w:rPr>
                <w:color w:val="000000"/>
                <w:sz w:val="14"/>
                <w:szCs w:val="14"/>
                <w:lang w:val="en-US"/>
              </w:rPr>
            </w:pPr>
            <w:r w:rsidRPr="00A4272B">
              <w:rPr>
                <w:color w:val="000000"/>
                <w:sz w:val="14"/>
                <w:szCs w:val="14"/>
                <w:lang w:val="en-US"/>
              </w:rPr>
              <w:t>Downsview, ON</w:t>
            </w:r>
          </w:p>
        </w:tc>
        <w:tc>
          <w:tcPr>
            <w:tcW w:w="998" w:type="dxa"/>
            <w:noWrap/>
            <w:vAlign w:val="center"/>
            <w:hideMark/>
          </w:tcPr>
          <w:p w14:paraId="438CB920" w14:textId="77777777" w:rsidR="00F3536C" w:rsidRPr="00A4272B" w:rsidRDefault="00F3536C" w:rsidP="00A41632">
            <w:pPr>
              <w:jc w:val="center"/>
              <w:rPr>
                <w:color w:val="000000"/>
                <w:sz w:val="14"/>
                <w:szCs w:val="14"/>
                <w:lang w:val="en-US"/>
              </w:rPr>
            </w:pPr>
            <w:r w:rsidRPr="00A4272B">
              <w:rPr>
                <w:color w:val="000000"/>
                <w:sz w:val="14"/>
                <w:szCs w:val="14"/>
                <w:lang w:val="en-US"/>
              </w:rPr>
              <w:t>WE09</w:t>
            </w:r>
          </w:p>
        </w:tc>
        <w:tc>
          <w:tcPr>
            <w:tcW w:w="1342" w:type="dxa"/>
            <w:noWrap/>
            <w:vAlign w:val="center"/>
            <w:hideMark/>
          </w:tcPr>
          <w:p w14:paraId="08A6E269"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05488B33" w14:textId="77777777" w:rsidR="00F3536C" w:rsidRPr="00A4272B" w:rsidRDefault="00F3536C" w:rsidP="00A41632">
            <w:pPr>
              <w:jc w:val="right"/>
              <w:rPr>
                <w:color w:val="000000"/>
                <w:sz w:val="14"/>
                <w:szCs w:val="14"/>
                <w:lang w:val="en-US"/>
              </w:rPr>
            </w:pPr>
            <w:r w:rsidRPr="00A4272B">
              <w:rPr>
                <w:color w:val="000000"/>
                <w:sz w:val="14"/>
                <w:szCs w:val="14"/>
                <w:lang w:val="en-US"/>
              </w:rPr>
              <w:t>43.781111</w:t>
            </w:r>
          </w:p>
        </w:tc>
        <w:tc>
          <w:tcPr>
            <w:tcW w:w="998" w:type="dxa"/>
            <w:noWrap/>
            <w:vAlign w:val="center"/>
            <w:hideMark/>
          </w:tcPr>
          <w:p w14:paraId="4B10C7B8" w14:textId="77777777" w:rsidR="00F3536C" w:rsidRPr="00A4272B" w:rsidRDefault="00F3536C" w:rsidP="00A41632">
            <w:pPr>
              <w:jc w:val="right"/>
              <w:rPr>
                <w:color w:val="000000"/>
                <w:sz w:val="14"/>
                <w:szCs w:val="14"/>
                <w:lang w:val="en-US"/>
              </w:rPr>
            </w:pPr>
            <w:r w:rsidRPr="00A4272B">
              <w:rPr>
                <w:color w:val="000000"/>
                <w:sz w:val="14"/>
                <w:szCs w:val="14"/>
                <w:lang w:val="en-US"/>
              </w:rPr>
              <w:t>-79.468333</w:t>
            </w:r>
          </w:p>
        </w:tc>
        <w:tc>
          <w:tcPr>
            <w:tcW w:w="859" w:type="dxa"/>
            <w:tcBorders>
              <w:top w:val="nil"/>
              <w:left w:val="nil"/>
              <w:bottom w:val="nil"/>
              <w:right w:val="single" w:sz="8" w:space="0" w:color="auto"/>
            </w:tcBorders>
            <w:noWrap/>
            <w:vAlign w:val="center"/>
            <w:hideMark/>
          </w:tcPr>
          <w:p w14:paraId="5DCAAD6B" w14:textId="77777777" w:rsidR="00F3536C" w:rsidRPr="00A4272B" w:rsidRDefault="00F3536C" w:rsidP="00A41632">
            <w:pPr>
              <w:jc w:val="center"/>
              <w:rPr>
                <w:color w:val="000000"/>
                <w:sz w:val="14"/>
                <w:szCs w:val="14"/>
                <w:lang w:val="en-US"/>
              </w:rPr>
            </w:pPr>
            <w:r w:rsidRPr="00A4272B">
              <w:rPr>
                <w:color w:val="000000"/>
                <w:sz w:val="14"/>
                <w:szCs w:val="14"/>
                <w:lang w:val="en-US"/>
              </w:rPr>
              <w:t>184</w:t>
            </w:r>
          </w:p>
        </w:tc>
        <w:tc>
          <w:tcPr>
            <w:tcW w:w="792" w:type="dxa"/>
            <w:noWrap/>
            <w:vAlign w:val="center"/>
            <w:hideMark/>
          </w:tcPr>
          <w:p w14:paraId="436BB7F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67D4D4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0099E3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C086C0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A24B7D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DAD5341"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01AFE50F" w14:textId="77777777" w:rsidTr="00A41632">
        <w:trPr>
          <w:trHeight w:val="276"/>
          <w:jc w:val="center"/>
        </w:trPr>
        <w:tc>
          <w:tcPr>
            <w:tcW w:w="955" w:type="dxa"/>
            <w:tcBorders>
              <w:top w:val="nil"/>
              <w:left w:val="single" w:sz="8" w:space="0" w:color="auto"/>
              <w:bottom w:val="nil"/>
              <w:right w:val="nil"/>
            </w:tcBorders>
            <w:noWrap/>
            <w:vAlign w:val="center"/>
            <w:hideMark/>
          </w:tcPr>
          <w:p w14:paraId="66EA6112"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89AD032"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7631F423" w14:textId="77777777" w:rsidR="00F3536C" w:rsidRPr="00A4272B" w:rsidRDefault="00F3536C" w:rsidP="00A41632">
            <w:pPr>
              <w:rPr>
                <w:color w:val="000000"/>
                <w:sz w:val="14"/>
                <w:szCs w:val="14"/>
                <w:lang w:val="en-US"/>
              </w:rPr>
            </w:pPr>
            <w:r w:rsidRPr="00A4272B">
              <w:rPr>
                <w:color w:val="000000"/>
                <w:sz w:val="14"/>
                <w:szCs w:val="14"/>
                <w:lang w:val="en-US"/>
              </w:rPr>
              <w:t>Egbert / CARE Station, ON</w:t>
            </w:r>
          </w:p>
        </w:tc>
        <w:tc>
          <w:tcPr>
            <w:tcW w:w="998" w:type="dxa"/>
            <w:noWrap/>
            <w:vAlign w:val="center"/>
            <w:hideMark/>
          </w:tcPr>
          <w:p w14:paraId="756FEB15" w14:textId="77777777" w:rsidR="00F3536C" w:rsidRPr="00A4272B" w:rsidRDefault="00F3536C" w:rsidP="00A41632">
            <w:pPr>
              <w:jc w:val="center"/>
              <w:rPr>
                <w:color w:val="000000"/>
                <w:sz w:val="14"/>
                <w:szCs w:val="14"/>
                <w:lang w:val="en-US"/>
              </w:rPr>
            </w:pPr>
            <w:r w:rsidRPr="00A4272B">
              <w:rPr>
                <w:color w:val="000000"/>
                <w:sz w:val="14"/>
                <w:szCs w:val="14"/>
                <w:lang w:val="en-US"/>
              </w:rPr>
              <w:t>WE47</w:t>
            </w:r>
          </w:p>
        </w:tc>
        <w:tc>
          <w:tcPr>
            <w:tcW w:w="1342" w:type="dxa"/>
            <w:noWrap/>
            <w:vAlign w:val="center"/>
            <w:hideMark/>
          </w:tcPr>
          <w:p w14:paraId="619A74F2"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7D854C8A" w14:textId="77777777" w:rsidR="00F3536C" w:rsidRPr="00A4272B" w:rsidRDefault="00F3536C" w:rsidP="00A41632">
            <w:pPr>
              <w:jc w:val="right"/>
              <w:rPr>
                <w:color w:val="000000"/>
                <w:sz w:val="14"/>
                <w:szCs w:val="14"/>
                <w:lang w:val="en-US"/>
              </w:rPr>
            </w:pPr>
            <w:r w:rsidRPr="00A4272B">
              <w:rPr>
                <w:color w:val="000000"/>
                <w:sz w:val="14"/>
                <w:szCs w:val="14"/>
                <w:lang w:val="en-US"/>
              </w:rPr>
              <w:t>44.233000</w:t>
            </w:r>
          </w:p>
        </w:tc>
        <w:tc>
          <w:tcPr>
            <w:tcW w:w="998" w:type="dxa"/>
            <w:noWrap/>
            <w:vAlign w:val="center"/>
            <w:hideMark/>
          </w:tcPr>
          <w:p w14:paraId="7DD64829" w14:textId="77777777" w:rsidR="00F3536C" w:rsidRPr="00A4272B" w:rsidRDefault="00F3536C" w:rsidP="00A41632">
            <w:pPr>
              <w:jc w:val="right"/>
              <w:rPr>
                <w:color w:val="000000"/>
                <w:sz w:val="14"/>
                <w:szCs w:val="14"/>
                <w:lang w:val="en-US"/>
              </w:rPr>
            </w:pPr>
            <w:r w:rsidRPr="00A4272B">
              <w:rPr>
                <w:color w:val="000000"/>
                <w:sz w:val="14"/>
                <w:szCs w:val="14"/>
                <w:lang w:val="en-US"/>
              </w:rPr>
              <w:t>-79.783000</w:t>
            </w:r>
          </w:p>
        </w:tc>
        <w:tc>
          <w:tcPr>
            <w:tcW w:w="859" w:type="dxa"/>
            <w:tcBorders>
              <w:top w:val="nil"/>
              <w:left w:val="nil"/>
              <w:bottom w:val="nil"/>
              <w:right w:val="single" w:sz="8" w:space="0" w:color="auto"/>
            </w:tcBorders>
            <w:noWrap/>
            <w:vAlign w:val="center"/>
            <w:hideMark/>
          </w:tcPr>
          <w:p w14:paraId="209B3AD1" w14:textId="77777777" w:rsidR="00F3536C" w:rsidRPr="00A4272B" w:rsidRDefault="00F3536C" w:rsidP="00A41632">
            <w:pPr>
              <w:jc w:val="center"/>
              <w:rPr>
                <w:color w:val="000000"/>
                <w:sz w:val="14"/>
                <w:szCs w:val="14"/>
                <w:lang w:val="en-US"/>
              </w:rPr>
            </w:pPr>
            <w:r w:rsidRPr="00A4272B">
              <w:rPr>
                <w:color w:val="000000"/>
                <w:sz w:val="14"/>
                <w:szCs w:val="14"/>
                <w:lang w:val="en-US"/>
              </w:rPr>
              <w:t>242</w:t>
            </w:r>
          </w:p>
        </w:tc>
        <w:tc>
          <w:tcPr>
            <w:tcW w:w="792" w:type="dxa"/>
            <w:noWrap/>
            <w:vAlign w:val="center"/>
            <w:hideMark/>
          </w:tcPr>
          <w:p w14:paraId="7E2C296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F3C7D0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E963DA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4C8191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B77770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11D0759"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419C0894" w14:textId="77777777" w:rsidTr="00A41632">
        <w:trPr>
          <w:trHeight w:val="276"/>
          <w:jc w:val="center"/>
        </w:trPr>
        <w:tc>
          <w:tcPr>
            <w:tcW w:w="955" w:type="dxa"/>
            <w:tcBorders>
              <w:top w:val="nil"/>
              <w:left w:val="single" w:sz="8" w:space="0" w:color="auto"/>
              <w:bottom w:val="nil"/>
              <w:right w:val="nil"/>
            </w:tcBorders>
            <w:noWrap/>
            <w:vAlign w:val="center"/>
            <w:hideMark/>
          </w:tcPr>
          <w:p w14:paraId="53F33083"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3398F70C"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0E4A4F98" w14:textId="77777777" w:rsidR="00F3536C" w:rsidRPr="00A4272B" w:rsidRDefault="00F3536C" w:rsidP="00A41632">
            <w:pPr>
              <w:rPr>
                <w:color w:val="000000"/>
                <w:sz w:val="14"/>
                <w:szCs w:val="14"/>
                <w:lang w:val="en-US"/>
              </w:rPr>
            </w:pPr>
            <w:r w:rsidRPr="00A4272B">
              <w:rPr>
                <w:color w:val="000000"/>
                <w:sz w:val="14"/>
                <w:szCs w:val="14"/>
                <w:lang w:val="en-US"/>
              </w:rPr>
              <w:t>Fraserdale, ON</w:t>
            </w:r>
          </w:p>
        </w:tc>
        <w:tc>
          <w:tcPr>
            <w:tcW w:w="998" w:type="dxa"/>
            <w:noWrap/>
            <w:vAlign w:val="center"/>
            <w:hideMark/>
          </w:tcPr>
          <w:p w14:paraId="53DC3197" w14:textId="77777777" w:rsidR="00F3536C" w:rsidRPr="00A4272B" w:rsidRDefault="00F3536C" w:rsidP="00A41632">
            <w:pPr>
              <w:jc w:val="center"/>
              <w:rPr>
                <w:color w:val="000000"/>
                <w:sz w:val="14"/>
                <w:szCs w:val="14"/>
                <w:lang w:val="en-US"/>
              </w:rPr>
            </w:pPr>
            <w:r w:rsidRPr="00A4272B">
              <w:rPr>
                <w:color w:val="000000"/>
                <w:sz w:val="14"/>
                <w:szCs w:val="14"/>
                <w:lang w:val="en-US"/>
              </w:rPr>
              <w:t>WE32</w:t>
            </w:r>
          </w:p>
        </w:tc>
        <w:tc>
          <w:tcPr>
            <w:tcW w:w="1342" w:type="dxa"/>
            <w:noWrap/>
            <w:vAlign w:val="center"/>
            <w:hideMark/>
          </w:tcPr>
          <w:p w14:paraId="4167509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38C59F2" w14:textId="77777777" w:rsidR="00F3536C" w:rsidRPr="00A4272B" w:rsidRDefault="00F3536C" w:rsidP="00A41632">
            <w:pPr>
              <w:jc w:val="right"/>
              <w:rPr>
                <w:color w:val="000000"/>
                <w:sz w:val="14"/>
                <w:szCs w:val="14"/>
                <w:lang w:val="en-US"/>
              </w:rPr>
            </w:pPr>
            <w:r w:rsidRPr="00A4272B">
              <w:rPr>
                <w:color w:val="000000"/>
                <w:sz w:val="14"/>
                <w:szCs w:val="14"/>
                <w:lang w:val="en-US"/>
              </w:rPr>
              <w:t>49.883333</w:t>
            </w:r>
          </w:p>
        </w:tc>
        <w:tc>
          <w:tcPr>
            <w:tcW w:w="998" w:type="dxa"/>
            <w:noWrap/>
            <w:vAlign w:val="center"/>
            <w:hideMark/>
          </w:tcPr>
          <w:p w14:paraId="2A637A9F" w14:textId="77777777" w:rsidR="00F3536C" w:rsidRPr="00A4272B" w:rsidRDefault="00F3536C" w:rsidP="00A41632">
            <w:pPr>
              <w:jc w:val="right"/>
              <w:rPr>
                <w:color w:val="000000"/>
                <w:sz w:val="14"/>
                <w:szCs w:val="14"/>
                <w:lang w:val="en-US"/>
              </w:rPr>
            </w:pPr>
            <w:r w:rsidRPr="00A4272B">
              <w:rPr>
                <w:color w:val="000000"/>
                <w:sz w:val="14"/>
                <w:szCs w:val="14"/>
                <w:lang w:val="en-US"/>
              </w:rPr>
              <w:t>-81.566667</w:t>
            </w:r>
          </w:p>
        </w:tc>
        <w:tc>
          <w:tcPr>
            <w:tcW w:w="859" w:type="dxa"/>
            <w:tcBorders>
              <w:top w:val="nil"/>
              <w:left w:val="nil"/>
              <w:bottom w:val="nil"/>
              <w:right w:val="single" w:sz="8" w:space="0" w:color="auto"/>
            </w:tcBorders>
            <w:noWrap/>
            <w:vAlign w:val="center"/>
            <w:hideMark/>
          </w:tcPr>
          <w:p w14:paraId="4563FA35" w14:textId="77777777" w:rsidR="00F3536C" w:rsidRPr="00A4272B" w:rsidRDefault="00F3536C" w:rsidP="00A41632">
            <w:pPr>
              <w:jc w:val="center"/>
              <w:rPr>
                <w:color w:val="000000"/>
                <w:sz w:val="14"/>
                <w:szCs w:val="14"/>
                <w:lang w:val="en-US"/>
              </w:rPr>
            </w:pPr>
            <w:r w:rsidRPr="00A4272B">
              <w:rPr>
                <w:color w:val="000000"/>
                <w:sz w:val="14"/>
                <w:szCs w:val="14"/>
                <w:lang w:val="en-US"/>
              </w:rPr>
              <w:t>166</w:t>
            </w:r>
          </w:p>
        </w:tc>
        <w:tc>
          <w:tcPr>
            <w:tcW w:w="792" w:type="dxa"/>
            <w:noWrap/>
            <w:vAlign w:val="center"/>
            <w:hideMark/>
          </w:tcPr>
          <w:p w14:paraId="278291E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72526A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748FB0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5D25ED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28DDD5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770132B"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161A0354" w14:textId="77777777" w:rsidTr="00A41632">
        <w:trPr>
          <w:trHeight w:val="276"/>
          <w:jc w:val="center"/>
        </w:trPr>
        <w:tc>
          <w:tcPr>
            <w:tcW w:w="955" w:type="dxa"/>
            <w:tcBorders>
              <w:top w:val="nil"/>
              <w:left w:val="single" w:sz="8" w:space="0" w:color="auto"/>
              <w:bottom w:val="nil"/>
              <w:right w:val="nil"/>
            </w:tcBorders>
            <w:noWrap/>
            <w:vAlign w:val="center"/>
            <w:hideMark/>
          </w:tcPr>
          <w:p w14:paraId="1A01E9D6"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567488F0"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4FB642FE" w14:textId="77777777" w:rsidR="00F3536C" w:rsidRPr="00A4272B" w:rsidRDefault="00F3536C" w:rsidP="00A41632">
            <w:pPr>
              <w:rPr>
                <w:color w:val="000000"/>
                <w:sz w:val="14"/>
                <w:szCs w:val="14"/>
                <w:lang w:val="en-US"/>
              </w:rPr>
            </w:pPr>
            <w:r w:rsidRPr="00A4272B">
              <w:rPr>
                <w:color w:val="000000"/>
                <w:sz w:val="14"/>
                <w:szCs w:val="14"/>
                <w:lang w:val="en-US"/>
              </w:rPr>
              <w:t>Little Fox Lake, YT</w:t>
            </w:r>
          </w:p>
        </w:tc>
        <w:tc>
          <w:tcPr>
            <w:tcW w:w="998" w:type="dxa"/>
            <w:noWrap/>
            <w:vAlign w:val="center"/>
            <w:hideMark/>
          </w:tcPr>
          <w:p w14:paraId="1E34E204" w14:textId="77777777" w:rsidR="00F3536C" w:rsidRPr="00A4272B" w:rsidRDefault="00F3536C" w:rsidP="00A41632">
            <w:pPr>
              <w:jc w:val="center"/>
              <w:rPr>
                <w:color w:val="000000"/>
                <w:sz w:val="14"/>
                <w:szCs w:val="14"/>
                <w:lang w:val="en-US"/>
              </w:rPr>
            </w:pPr>
            <w:r w:rsidRPr="00A4272B">
              <w:rPr>
                <w:color w:val="000000"/>
                <w:sz w:val="14"/>
                <w:szCs w:val="14"/>
                <w:lang w:val="en-US"/>
              </w:rPr>
              <w:t>WE25</w:t>
            </w:r>
          </w:p>
        </w:tc>
        <w:tc>
          <w:tcPr>
            <w:tcW w:w="1342" w:type="dxa"/>
            <w:noWrap/>
            <w:vAlign w:val="center"/>
            <w:hideMark/>
          </w:tcPr>
          <w:p w14:paraId="6DCF81D3"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4CB47BB4" w14:textId="77777777" w:rsidR="00F3536C" w:rsidRPr="00A4272B" w:rsidRDefault="00F3536C" w:rsidP="00A41632">
            <w:pPr>
              <w:jc w:val="right"/>
              <w:rPr>
                <w:color w:val="000000"/>
                <w:sz w:val="14"/>
                <w:szCs w:val="14"/>
                <w:lang w:val="en-US"/>
              </w:rPr>
            </w:pPr>
            <w:r w:rsidRPr="00A4272B">
              <w:rPr>
                <w:color w:val="000000"/>
                <w:sz w:val="14"/>
                <w:szCs w:val="14"/>
                <w:lang w:val="en-US"/>
              </w:rPr>
              <w:t>61.349996</w:t>
            </w:r>
          </w:p>
        </w:tc>
        <w:tc>
          <w:tcPr>
            <w:tcW w:w="998" w:type="dxa"/>
            <w:noWrap/>
            <w:vAlign w:val="center"/>
            <w:hideMark/>
          </w:tcPr>
          <w:p w14:paraId="42FA9290" w14:textId="77777777" w:rsidR="00F3536C" w:rsidRPr="00A4272B" w:rsidRDefault="00F3536C" w:rsidP="00A41632">
            <w:pPr>
              <w:jc w:val="right"/>
              <w:rPr>
                <w:color w:val="000000"/>
                <w:sz w:val="14"/>
                <w:szCs w:val="14"/>
                <w:lang w:val="en-US"/>
              </w:rPr>
            </w:pPr>
            <w:r w:rsidRPr="00A4272B">
              <w:rPr>
                <w:color w:val="000000"/>
                <w:sz w:val="14"/>
                <w:szCs w:val="14"/>
                <w:lang w:val="en-US"/>
              </w:rPr>
              <w:t>-135.633337</w:t>
            </w:r>
          </w:p>
        </w:tc>
        <w:tc>
          <w:tcPr>
            <w:tcW w:w="859" w:type="dxa"/>
            <w:tcBorders>
              <w:top w:val="nil"/>
              <w:left w:val="nil"/>
              <w:bottom w:val="nil"/>
              <w:right w:val="single" w:sz="8" w:space="0" w:color="auto"/>
            </w:tcBorders>
            <w:noWrap/>
            <w:vAlign w:val="center"/>
            <w:hideMark/>
          </w:tcPr>
          <w:p w14:paraId="21D586EA" w14:textId="77777777" w:rsidR="00F3536C" w:rsidRPr="00A4272B" w:rsidRDefault="00F3536C" w:rsidP="00A41632">
            <w:pPr>
              <w:jc w:val="center"/>
              <w:rPr>
                <w:color w:val="000000"/>
                <w:sz w:val="14"/>
                <w:szCs w:val="14"/>
                <w:lang w:val="en-US"/>
              </w:rPr>
            </w:pPr>
            <w:r w:rsidRPr="00A4272B">
              <w:rPr>
                <w:color w:val="000000"/>
                <w:sz w:val="14"/>
                <w:szCs w:val="14"/>
                <w:lang w:val="en-US"/>
              </w:rPr>
              <w:t>1072</w:t>
            </w:r>
          </w:p>
        </w:tc>
        <w:tc>
          <w:tcPr>
            <w:tcW w:w="792" w:type="dxa"/>
            <w:noWrap/>
            <w:vAlign w:val="center"/>
            <w:hideMark/>
          </w:tcPr>
          <w:p w14:paraId="17A5885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46D2AF5"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B15C44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D18D33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C6C51A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286528F"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68F12E4A" w14:textId="77777777" w:rsidTr="00A41632">
        <w:trPr>
          <w:trHeight w:val="276"/>
          <w:jc w:val="center"/>
        </w:trPr>
        <w:tc>
          <w:tcPr>
            <w:tcW w:w="955" w:type="dxa"/>
            <w:tcBorders>
              <w:top w:val="nil"/>
              <w:left w:val="single" w:sz="8" w:space="0" w:color="auto"/>
              <w:bottom w:val="nil"/>
              <w:right w:val="nil"/>
            </w:tcBorders>
            <w:noWrap/>
            <w:vAlign w:val="center"/>
            <w:hideMark/>
          </w:tcPr>
          <w:p w14:paraId="7EFE7D03"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40ED195"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478AED69" w14:textId="77777777" w:rsidR="00F3536C" w:rsidRPr="00A4272B" w:rsidRDefault="00F3536C" w:rsidP="00A41632">
            <w:pPr>
              <w:rPr>
                <w:color w:val="000000"/>
                <w:sz w:val="14"/>
                <w:szCs w:val="14"/>
                <w:lang w:val="en-US"/>
              </w:rPr>
            </w:pPr>
            <w:r w:rsidRPr="00A4272B">
              <w:rPr>
                <w:color w:val="000000"/>
                <w:sz w:val="14"/>
                <w:szCs w:val="14"/>
                <w:lang w:val="en-US"/>
              </w:rPr>
              <w:t>Longwoods, ON</w:t>
            </w:r>
          </w:p>
        </w:tc>
        <w:tc>
          <w:tcPr>
            <w:tcW w:w="998" w:type="dxa"/>
            <w:noWrap/>
            <w:vAlign w:val="center"/>
            <w:hideMark/>
          </w:tcPr>
          <w:p w14:paraId="37C2BC66" w14:textId="77777777" w:rsidR="00F3536C" w:rsidRPr="00A4272B" w:rsidRDefault="00F3536C" w:rsidP="00A41632">
            <w:pPr>
              <w:jc w:val="center"/>
              <w:rPr>
                <w:color w:val="000000"/>
                <w:sz w:val="14"/>
                <w:szCs w:val="14"/>
                <w:lang w:val="en-US"/>
              </w:rPr>
            </w:pPr>
            <w:r w:rsidRPr="00A4272B">
              <w:rPr>
                <w:color w:val="000000"/>
                <w:sz w:val="14"/>
                <w:szCs w:val="14"/>
                <w:lang w:val="en-US"/>
              </w:rPr>
              <w:t>WE45</w:t>
            </w:r>
          </w:p>
        </w:tc>
        <w:tc>
          <w:tcPr>
            <w:tcW w:w="1342" w:type="dxa"/>
            <w:noWrap/>
            <w:vAlign w:val="center"/>
            <w:hideMark/>
          </w:tcPr>
          <w:p w14:paraId="44C25412"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6E200729" w14:textId="77777777" w:rsidR="00F3536C" w:rsidRPr="00A4272B" w:rsidRDefault="00F3536C" w:rsidP="00A41632">
            <w:pPr>
              <w:jc w:val="right"/>
              <w:rPr>
                <w:color w:val="000000"/>
                <w:sz w:val="14"/>
                <w:szCs w:val="14"/>
                <w:lang w:val="en-US"/>
              </w:rPr>
            </w:pPr>
            <w:r w:rsidRPr="00A4272B">
              <w:rPr>
                <w:color w:val="000000"/>
                <w:sz w:val="14"/>
                <w:szCs w:val="14"/>
                <w:lang w:val="en-US"/>
              </w:rPr>
              <w:t>42.883333</w:t>
            </w:r>
          </w:p>
        </w:tc>
        <w:tc>
          <w:tcPr>
            <w:tcW w:w="998" w:type="dxa"/>
            <w:noWrap/>
            <w:vAlign w:val="center"/>
            <w:hideMark/>
          </w:tcPr>
          <w:p w14:paraId="5DBF9AD1" w14:textId="77777777" w:rsidR="00F3536C" w:rsidRPr="00A4272B" w:rsidRDefault="00F3536C" w:rsidP="00A41632">
            <w:pPr>
              <w:jc w:val="right"/>
              <w:rPr>
                <w:color w:val="000000"/>
                <w:sz w:val="14"/>
                <w:szCs w:val="14"/>
                <w:lang w:val="en-US"/>
              </w:rPr>
            </w:pPr>
            <w:r w:rsidRPr="00A4272B">
              <w:rPr>
                <w:color w:val="000000"/>
                <w:sz w:val="14"/>
                <w:szCs w:val="14"/>
                <w:lang w:val="en-US"/>
              </w:rPr>
              <w:t>-81.480556</w:t>
            </w:r>
          </w:p>
        </w:tc>
        <w:tc>
          <w:tcPr>
            <w:tcW w:w="859" w:type="dxa"/>
            <w:tcBorders>
              <w:top w:val="nil"/>
              <w:left w:val="nil"/>
              <w:bottom w:val="nil"/>
              <w:right w:val="single" w:sz="8" w:space="0" w:color="auto"/>
            </w:tcBorders>
            <w:noWrap/>
            <w:vAlign w:val="center"/>
            <w:hideMark/>
          </w:tcPr>
          <w:p w14:paraId="1AA3258F" w14:textId="77777777" w:rsidR="00F3536C" w:rsidRPr="00A4272B" w:rsidRDefault="00F3536C" w:rsidP="00A41632">
            <w:pPr>
              <w:jc w:val="center"/>
              <w:rPr>
                <w:color w:val="000000"/>
                <w:sz w:val="14"/>
                <w:szCs w:val="14"/>
                <w:lang w:val="en-US"/>
              </w:rPr>
            </w:pPr>
            <w:r w:rsidRPr="00A4272B">
              <w:rPr>
                <w:color w:val="000000"/>
                <w:sz w:val="14"/>
                <w:szCs w:val="14"/>
                <w:lang w:val="en-US"/>
              </w:rPr>
              <w:t>237</w:t>
            </w:r>
          </w:p>
        </w:tc>
        <w:tc>
          <w:tcPr>
            <w:tcW w:w="792" w:type="dxa"/>
            <w:noWrap/>
            <w:vAlign w:val="center"/>
            <w:hideMark/>
          </w:tcPr>
          <w:p w14:paraId="7FE4AC6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2B7A46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A2A859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C53D5F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74422A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BF108F2"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7F694488" w14:textId="77777777" w:rsidTr="00A41632">
        <w:trPr>
          <w:trHeight w:val="276"/>
          <w:jc w:val="center"/>
        </w:trPr>
        <w:tc>
          <w:tcPr>
            <w:tcW w:w="955" w:type="dxa"/>
            <w:tcBorders>
              <w:top w:val="nil"/>
              <w:left w:val="single" w:sz="8" w:space="0" w:color="auto"/>
              <w:bottom w:val="nil"/>
              <w:right w:val="nil"/>
            </w:tcBorders>
            <w:noWrap/>
            <w:vAlign w:val="center"/>
            <w:hideMark/>
          </w:tcPr>
          <w:p w14:paraId="0789A8D3"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71E5542"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71B99E10" w14:textId="77777777" w:rsidR="00F3536C" w:rsidRPr="00A4272B" w:rsidRDefault="00F3536C" w:rsidP="00A41632">
            <w:pPr>
              <w:rPr>
                <w:color w:val="000000"/>
                <w:sz w:val="14"/>
                <w:szCs w:val="14"/>
                <w:lang w:val="en-US"/>
              </w:rPr>
            </w:pPr>
            <w:r w:rsidRPr="00A4272B">
              <w:rPr>
                <w:color w:val="000000"/>
                <w:sz w:val="14"/>
                <w:szCs w:val="14"/>
                <w:lang w:val="en-US"/>
              </w:rPr>
              <w:t>Mount Revelstoke, BC</w:t>
            </w:r>
          </w:p>
        </w:tc>
        <w:tc>
          <w:tcPr>
            <w:tcW w:w="998" w:type="dxa"/>
            <w:noWrap/>
            <w:vAlign w:val="center"/>
            <w:hideMark/>
          </w:tcPr>
          <w:p w14:paraId="78F1CAE3" w14:textId="77777777" w:rsidR="00F3536C" w:rsidRPr="00A4272B" w:rsidRDefault="00F3536C" w:rsidP="00A41632">
            <w:pPr>
              <w:jc w:val="center"/>
              <w:rPr>
                <w:color w:val="000000"/>
                <w:sz w:val="14"/>
                <w:szCs w:val="14"/>
                <w:lang w:val="en-US"/>
              </w:rPr>
            </w:pPr>
            <w:r w:rsidRPr="00A4272B">
              <w:rPr>
                <w:color w:val="000000"/>
                <w:sz w:val="14"/>
                <w:szCs w:val="14"/>
                <w:lang w:val="en-US"/>
              </w:rPr>
              <w:t>WE43</w:t>
            </w:r>
          </w:p>
        </w:tc>
        <w:tc>
          <w:tcPr>
            <w:tcW w:w="1342" w:type="dxa"/>
            <w:noWrap/>
            <w:vAlign w:val="center"/>
            <w:hideMark/>
          </w:tcPr>
          <w:p w14:paraId="6F01691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4287BBB" w14:textId="77777777" w:rsidR="00F3536C" w:rsidRPr="00A4272B" w:rsidRDefault="00F3536C" w:rsidP="00A41632">
            <w:pPr>
              <w:jc w:val="right"/>
              <w:rPr>
                <w:color w:val="000000"/>
                <w:sz w:val="14"/>
                <w:szCs w:val="14"/>
                <w:lang w:val="en-US"/>
              </w:rPr>
            </w:pPr>
            <w:r w:rsidRPr="00A4272B">
              <w:rPr>
                <w:color w:val="000000"/>
                <w:sz w:val="14"/>
                <w:szCs w:val="14"/>
                <w:lang w:val="en-US"/>
              </w:rPr>
              <w:t>51.070030</w:t>
            </w:r>
          </w:p>
        </w:tc>
        <w:tc>
          <w:tcPr>
            <w:tcW w:w="998" w:type="dxa"/>
            <w:noWrap/>
            <w:vAlign w:val="center"/>
            <w:hideMark/>
          </w:tcPr>
          <w:p w14:paraId="401F8495" w14:textId="77777777" w:rsidR="00F3536C" w:rsidRPr="00A4272B" w:rsidRDefault="00F3536C" w:rsidP="00A41632">
            <w:pPr>
              <w:jc w:val="right"/>
              <w:rPr>
                <w:color w:val="000000"/>
                <w:sz w:val="14"/>
                <w:szCs w:val="14"/>
                <w:lang w:val="en-US"/>
              </w:rPr>
            </w:pPr>
            <w:r w:rsidRPr="00A4272B">
              <w:rPr>
                <w:color w:val="000000"/>
                <w:sz w:val="14"/>
                <w:szCs w:val="14"/>
                <w:lang w:val="en-US"/>
              </w:rPr>
              <w:t>-118.108719</w:t>
            </w:r>
          </w:p>
        </w:tc>
        <w:tc>
          <w:tcPr>
            <w:tcW w:w="859" w:type="dxa"/>
            <w:tcBorders>
              <w:top w:val="nil"/>
              <w:left w:val="nil"/>
              <w:bottom w:val="nil"/>
              <w:right w:val="single" w:sz="8" w:space="0" w:color="auto"/>
            </w:tcBorders>
            <w:noWrap/>
            <w:vAlign w:val="center"/>
            <w:hideMark/>
          </w:tcPr>
          <w:p w14:paraId="142E2531" w14:textId="77777777" w:rsidR="00F3536C" w:rsidRPr="00A4272B" w:rsidRDefault="00F3536C" w:rsidP="00A41632">
            <w:pPr>
              <w:jc w:val="center"/>
              <w:rPr>
                <w:color w:val="000000"/>
                <w:sz w:val="14"/>
                <w:szCs w:val="14"/>
                <w:lang w:val="en-US"/>
              </w:rPr>
            </w:pPr>
            <w:r w:rsidRPr="00A4272B">
              <w:rPr>
                <w:color w:val="000000"/>
                <w:sz w:val="14"/>
                <w:szCs w:val="14"/>
                <w:lang w:val="en-US"/>
              </w:rPr>
              <w:t>1917</w:t>
            </w:r>
          </w:p>
        </w:tc>
        <w:tc>
          <w:tcPr>
            <w:tcW w:w="792" w:type="dxa"/>
            <w:noWrap/>
            <w:vAlign w:val="center"/>
            <w:hideMark/>
          </w:tcPr>
          <w:p w14:paraId="4955933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2FD19E3" w14:textId="77777777" w:rsidR="00F3536C" w:rsidRPr="00A4272B" w:rsidRDefault="00F3536C" w:rsidP="00A41632">
            <w:pPr>
              <w:jc w:val="center"/>
              <w:rPr>
                <w:color w:val="000000"/>
                <w:sz w:val="14"/>
                <w:szCs w:val="14"/>
                <w:lang w:val="en-US"/>
              </w:rPr>
            </w:pPr>
            <w:r w:rsidRPr="00A4272B">
              <w:rPr>
                <w:color w:val="000000"/>
                <w:sz w:val="14"/>
                <w:szCs w:val="14"/>
                <w:lang w:val="en-US"/>
              </w:rPr>
              <w:t>SIP</w:t>
            </w:r>
          </w:p>
        </w:tc>
        <w:tc>
          <w:tcPr>
            <w:tcW w:w="937" w:type="dxa"/>
            <w:noWrap/>
            <w:vAlign w:val="center"/>
            <w:hideMark/>
          </w:tcPr>
          <w:p w14:paraId="72D71E2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1ACFF1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4C3A48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08B69DF"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1DF65EBA" w14:textId="77777777" w:rsidTr="00A41632">
        <w:trPr>
          <w:trHeight w:val="276"/>
          <w:jc w:val="center"/>
        </w:trPr>
        <w:tc>
          <w:tcPr>
            <w:tcW w:w="955" w:type="dxa"/>
            <w:tcBorders>
              <w:top w:val="nil"/>
              <w:left w:val="single" w:sz="8" w:space="0" w:color="auto"/>
              <w:bottom w:val="nil"/>
              <w:right w:val="nil"/>
            </w:tcBorders>
            <w:noWrap/>
            <w:vAlign w:val="center"/>
            <w:hideMark/>
          </w:tcPr>
          <w:p w14:paraId="04772247" w14:textId="77777777" w:rsidR="00F3536C" w:rsidRPr="00A4272B" w:rsidRDefault="00F3536C" w:rsidP="00A41632">
            <w:pPr>
              <w:rPr>
                <w:color w:val="000000"/>
                <w:sz w:val="14"/>
                <w:szCs w:val="14"/>
                <w:lang w:val="en-US"/>
              </w:rPr>
            </w:pPr>
            <w:r w:rsidRPr="00A4272B">
              <w:rPr>
                <w:color w:val="000000"/>
                <w:sz w:val="14"/>
                <w:szCs w:val="14"/>
                <w:lang w:val="en-US"/>
              </w:rPr>
              <w:lastRenderedPageBreak/>
              <w:t>GAPS</w:t>
            </w:r>
          </w:p>
        </w:tc>
        <w:tc>
          <w:tcPr>
            <w:tcW w:w="1391" w:type="dxa"/>
            <w:noWrap/>
            <w:vAlign w:val="center"/>
            <w:hideMark/>
          </w:tcPr>
          <w:p w14:paraId="696AA906"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3BE343F7" w14:textId="77777777" w:rsidR="00F3536C" w:rsidRPr="00A4272B" w:rsidRDefault="00F3536C" w:rsidP="00A41632">
            <w:pPr>
              <w:rPr>
                <w:color w:val="000000"/>
                <w:sz w:val="14"/>
                <w:szCs w:val="14"/>
                <w:lang w:val="en-US"/>
              </w:rPr>
            </w:pPr>
            <w:r w:rsidRPr="00A4272B">
              <w:rPr>
                <w:color w:val="000000"/>
                <w:sz w:val="14"/>
                <w:szCs w:val="14"/>
                <w:lang w:val="en-US"/>
              </w:rPr>
              <w:t>Sable Island, NS</w:t>
            </w:r>
          </w:p>
        </w:tc>
        <w:tc>
          <w:tcPr>
            <w:tcW w:w="998" w:type="dxa"/>
            <w:noWrap/>
            <w:vAlign w:val="center"/>
            <w:hideMark/>
          </w:tcPr>
          <w:p w14:paraId="18B32D14" w14:textId="77777777" w:rsidR="00F3536C" w:rsidRPr="00A4272B" w:rsidRDefault="00F3536C" w:rsidP="00A41632">
            <w:pPr>
              <w:jc w:val="center"/>
              <w:rPr>
                <w:color w:val="000000"/>
                <w:sz w:val="14"/>
                <w:szCs w:val="14"/>
                <w:lang w:val="en-US"/>
              </w:rPr>
            </w:pPr>
            <w:r w:rsidRPr="00A4272B">
              <w:rPr>
                <w:color w:val="000000"/>
                <w:sz w:val="14"/>
                <w:szCs w:val="14"/>
                <w:lang w:val="en-US"/>
              </w:rPr>
              <w:t>WE34</w:t>
            </w:r>
          </w:p>
        </w:tc>
        <w:tc>
          <w:tcPr>
            <w:tcW w:w="1342" w:type="dxa"/>
            <w:noWrap/>
            <w:vAlign w:val="center"/>
            <w:hideMark/>
          </w:tcPr>
          <w:p w14:paraId="2CD523A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7C54072" w14:textId="77777777" w:rsidR="00F3536C" w:rsidRPr="00A4272B" w:rsidRDefault="00F3536C" w:rsidP="00A41632">
            <w:pPr>
              <w:jc w:val="right"/>
              <w:rPr>
                <w:color w:val="000000"/>
                <w:sz w:val="14"/>
                <w:szCs w:val="14"/>
                <w:lang w:val="en-US"/>
              </w:rPr>
            </w:pPr>
            <w:r w:rsidRPr="00A4272B">
              <w:rPr>
                <w:color w:val="000000"/>
                <w:sz w:val="14"/>
                <w:szCs w:val="14"/>
                <w:lang w:val="en-US"/>
              </w:rPr>
              <w:t>43.560000</w:t>
            </w:r>
          </w:p>
        </w:tc>
        <w:tc>
          <w:tcPr>
            <w:tcW w:w="998" w:type="dxa"/>
            <w:noWrap/>
            <w:vAlign w:val="center"/>
            <w:hideMark/>
          </w:tcPr>
          <w:p w14:paraId="3545FE2D" w14:textId="77777777" w:rsidR="00F3536C" w:rsidRPr="00A4272B" w:rsidRDefault="00F3536C" w:rsidP="00A41632">
            <w:pPr>
              <w:jc w:val="right"/>
              <w:rPr>
                <w:color w:val="000000"/>
                <w:sz w:val="14"/>
                <w:szCs w:val="14"/>
                <w:lang w:val="en-US"/>
              </w:rPr>
            </w:pPr>
            <w:r w:rsidRPr="00A4272B">
              <w:rPr>
                <w:color w:val="000000"/>
                <w:sz w:val="14"/>
                <w:szCs w:val="14"/>
                <w:lang w:val="en-US"/>
              </w:rPr>
              <w:t>-60.010000</w:t>
            </w:r>
          </w:p>
        </w:tc>
        <w:tc>
          <w:tcPr>
            <w:tcW w:w="859" w:type="dxa"/>
            <w:tcBorders>
              <w:top w:val="nil"/>
              <w:left w:val="nil"/>
              <w:bottom w:val="nil"/>
              <w:right w:val="single" w:sz="8" w:space="0" w:color="auto"/>
            </w:tcBorders>
            <w:noWrap/>
            <w:vAlign w:val="center"/>
            <w:hideMark/>
          </w:tcPr>
          <w:p w14:paraId="5934D6FE" w14:textId="77777777" w:rsidR="00F3536C" w:rsidRPr="00A4272B" w:rsidRDefault="00F3536C" w:rsidP="00A41632">
            <w:pPr>
              <w:jc w:val="center"/>
              <w:rPr>
                <w:color w:val="000000"/>
                <w:sz w:val="14"/>
                <w:szCs w:val="14"/>
                <w:lang w:val="en-US"/>
              </w:rPr>
            </w:pPr>
            <w:r w:rsidRPr="00A4272B">
              <w:rPr>
                <w:color w:val="000000"/>
                <w:sz w:val="14"/>
                <w:szCs w:val="14"/>
                <w:lang w:val="en-US"/>
              </w:rPr>
              <w:t>4</w:t>
            </w:r>
          </w:p>
        </w:tc>
        <w:tc>
          <w:tcPr>
            <w:tcW w:w="792" w:type="dxa"/>
            <w:noWrap/>
            <w:vAlign w:val="center"/>
            <w:hideMark/>
          </w:tcPr>
          <w:p w14:paraId="5B28B58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3C8BB0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6BCFF1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B92407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4BFD06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DABAC1B"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50C70969" w14:textId="77777777" w:rsidTr="00A41632">
        <w:trPr>
          <w:trHeight w:val="276"/>
          <w:jc w:val="center"/>
        </w:trPr>
        <w:tc>
          <w:tcPr>
            <w:tcW w:w="955" w:type="dxa"/>
            <w:tcBorders>
              <w:top w:val="nil"/>
              <w:left w:val="single" w:sz="8" w:space="0" w:color="auto"/>
              <w:bottom w:val="nil"/>
              <w:right w:val="nil"/>
            </w:tcBorders>
            <w:noWrap/>
            <w:vAlign w:val="center"/>
            <w:hideMark/>
          </w:tcPr>
          <w:p w14:paraId="0F9CD406"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E7EA47A"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2B789BF0" w14:textId="77777777" w:rsidR="00F3536C" w:rsidRPr="00A4272B" w:rsidRDefault="00F3536C" w:rsidP="00A41632">
            <w:pPr>
              <w:rPr>
                <w:color w:val="000000"/>
                <w:sz w:val="14"/>
                <w:szCs w:val="14"/>
                <w:lang w:val="en-US"/>
              </w:rPr>
            </w:pPr>
            <w:r w:rsidRPr="00A4272B">
              <w:rPr>
                <w:color w:val="000000"/>
                <w:sz w:val="14"/>
                <w:szCs w:val="14"/>
                <w:lang w:val="en-US"/>
              </w:rPr>
              <w:t>Toronto</w:t>
            </w:r>
          </w:p>
        </w:tc>
        <w:tc>
          <w:tcPr>
            <w:tcW w:w="998" w:type="dxa"/>
            <w:noWrap/>
            <w:vAlign w:val="center"/>
            <w:hideMark/>
          </w:tcPr>
          <w:p w14:paraId="4D0301D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076A125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B4E2B70" w14:textId="77777777" w:rsidR="00F3536C" w:rsidRPr="00A4272B" w:rsidRDefault="00F3536C" w:rsidP="00A41632">
            <w:pPr>
              <w:jc w:val="right"/>
              <w:rPr>
                <w:color w:val="000000"/>
                <w:sz w:val="14"/>
                <w:szCs w:val="14"/>
                <w:lang w:val="en-US"/>
              </w:rPr>
            </w:pPr>
            <w:r w:rsidRPr="00A4272B">
              <w:rPr>
                <w:color w:val="000000"/>
                <w:sz w:val="14"/>
                <w:szCs w:val="14"/>
                <w:lang w:val="en-US"/>
              </w:rPr>
              <w:t>43.658952</w:t>
            </w:r>
          </w:p>
        </w:tc>
        <w:tc>
          <w:tcPr>
            <w:tcW w:w="998" w:type="dxa"/>
            <w:noWrap/>
            <w:vAlign w:val="center"/>
            <w:hideMark/>
          </w:tcPr>
          <w:p w14:paraId="50E51205" w14:textId="77777777" w:rsidR="00F3536C" w:rsidRPr="00A4272B" w:rsidRDefault="00F3536C" w:rsidP="00A41632">
            <w:pPr>
              <w:jc w:val="right"/>
              <w:rPr>
                <w:color w:val="000000"/>
                <w:sz w:val="14"/>
                <w:szCs w:val="14"/>
                <w:lang w:val="en-US"/>
              </w:rPr>
            </w:pPr>
            <w:r w:rsidRPr="00A4272B">
              <w:rPr>
                <w:color w:val="000000"/>
                <w:sz w:val="14"/>
                <w:szCs w:val="14"/>
                <w:lang w:val="en-US"/>
              </w:rPr>
              <w:t>-79.395595</w:t>
            </w:r>
          </w:p>
        </w:tc>
        <w:tc>
          <w:tcPr>
            <w:tcW w:w="859" w:type="dxa"/>
            <w:tcBorders>
              <w:top w:val="nil"/>
              <w:left w:val="nil"/>
              <w:bottom w:val="nil"/>
              <w:right w:val="single" w:sz="8" w:space="0" w:color="auto"/>
            </w:tcBorders>
            <w:noWrap/>
            <w:vAlign w:val="center"/>
            <w:hideMark/>
          </w:tcPr>
          <w:p w14:paraId="7EF13BB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78C6C3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11F5AC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1AE99ED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F7F7A3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87F8CB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045CC9A"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4670A1A3" w14:textId="77777777" w:rsidTr="00F006B1">
        <w:trPr>
          <w:trHeight w:val="276"/>
          <w:jc w:val="center"/>
        </w:trPr>
        <w:tc>
          <w:tcPr>
            <w:tcW w:w="955" w:type="dxa"/>
            <w:tcBorders>
              <w:top w:val="nil"/>
              <w:left w:val="single" w:sz="8" w:space="0" w:color="auto"/>
              <w:right w:val="nil"/>
            </w:tcBorders>
            <w:noWrap/>
            <w:vAlign w:val="center"/>
            <w:hideMark/>
          </w:tcPr>
          <w:p w14:paraId="7EC0D656"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6EB8F3D"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55E2E383" w14:textId="77777777" w:rsidR="00F3536C" w:rsidRPr="00A4272B" w:rsidRDefault="00F3536C" w:rsidP="00A41632">
            <w:pPr>
              <w:rPr>
                <w:color w:val="000000"/>
                <w:sz w:val="14"/>
                <w:szCs w:val="14"/>
                <w:lang w:val="en-US"/>
              </w:rPr>
            </w:pPr>
            <w:r w:rsidRPr="00A4272B">
              <w:rPr>
                <w:color w:val="000000"/>
                <w:sz w:val="14"/>
                <w:szCs w:val="14"/>
                <w:lang w:val="en-US"/>
              </w:rPr>
              <w:t>Ucluelet, BC</w:t>
            </w:r>
          </w:p>
        </w:tc>
        <w:tc>
          <w:tcPr>
            <w:tcW w:w="998" w:type="dxa"/>
            <w:noWrap/>
            <w:vAlign w:val="center"/>
            <w:hideMark/>
          </w:tcPr>
          <w:p w14:paraId="7C3EF5F2" w14:textId="77777777" w:rsidR="00F3536C" w:rsidRPr="00A4272B" w:rsidRDefault="00F3536C" w:rsidP="00A41632">
            <w:pPr>
              <w:jc w:val="center"/>
              <w:rPr>
                <w:color w:val="000000"/>
                <w:sz w:val="14"/>
                <w:szCs w:val="14"/>
                <w:lang w:val="en-US"/>
              </w:rPr>
            </w:pPr>
            <w:r w:rsidRPr="00A4272B">
              <w:rPr>
                <w:color w:val="000000"/>
                <w:sz w:val="14"/>
                <w:szCs w:val="14"/>
                <w:lang w:val="en-US"/>
              </w:rPr>
              <w:t>WE33</w:t>
            </w:r>
          </w:p>
        </w:tc>
        <w:tc>
          <w:tcPr>
            <w:tcW w:w="1342" w:type="dxa"/>
            <w:noWrap/>
            <w:vAlign w:val="center"/>
            <w:hideMark/>
          </w:tcPr>
          <w:p w14:paraId="166E518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13B8C2E" w14:textId="77777777" w:rsidR="00F3536C" w:rsidRPr="00A4272B" w:rsidRDefault="00F3536C" w:rsidP="00A41632">
            <w:pPr>
              <w:jc w:val="right"/>
              <w:rPr>
                <w:color w:val="000000"/>
                <w:sz w:val="14"/>
                <w:szCs w:val="14"/>
                <w:lang w:val="en-US"/>
              </w:rPr>
            </w:pPr>
            <w:r w:rsidRPr="00A4272B">
              <w:rPr>
                <w:color w:val="000000"/>
                <w:sz w:val="14"/>
                <w:szCs w:val="14"/>
                <w:lang w:val="en-US"/>
              </w:rPr>
              <w:t>48.933333</w:t>
            </w:r>
          </w:p>
        </w:tc>
        <w:tc>
          <w:tcPr>
            <w:tcW w:w="998" w:type="dxa"/>
            <w:noWrap/>
            <w:vAlign w:val="center"/>
            <w:hideMark/>
          </w:tcPr>
          <w:p w14:paraId="047D8127" w14:textId="77777777" w:rsidR="00F3536C" w:rsidRPr="00A4272B" w:rsidRDefault="00F3536C" w:rsidP="00A41632">
            <w:pPr>
              <w:jc w:val="right"/>
              <w:rPr>
                <w:color w:val="000000"/>
                <w:sz w:val="14"/>
                <w:szCs w:val="14"/>
                <w:lang w:val="en-US"/>
              </w:rPr>
            </w:pPr>
            <w:r w:rsidRPr="00A4272B">
              <w:rPr>
                <w:color w:val="000000"/>
                <w:sz w:val="14"/>
                <w:szCs w:val="14"/>
                <w:lang w:val="en-US"/>
              </w:rPr>
              <w:t>-125.516667</w:t>
            </w:r>
          </w:p>
        </w:tc>
        <w:tc>
          <w:tcPr>
            <w:tcW w:w="859" w:type="dxa"/>
            <w:tcBorders>
              <w:top w:val="nil"/>
              <w:left w:val="nil"/>
              <w:right w:val="single" w:sz="8" w:space="0" w:color="auto"/>
            </w:tcBorders>
            <w:noWrap/>
            <w:vAlign w:val="center"/>
            <w:hideMark/>
          </w:tcPr>
          <w:p w14:paraId="5DD070BC" w14:textId="77777777" w:rsidR="00F3536C" w:rsidRPr="00A4272B" w:rsidRDefault="00F3536C" w:rsidP="00A41632">
            <w:pPr>
              <w:jc w:val="center"/>
              <w:rPr>
                <w:color w:val="000000"/>
                <w:sz w:val="14"/>
                <w:szCs w:val="14"/>
                <w:lang w:val="en-US"/>
              </w:rPr>
            </w:pPr>
            <w:r w:rsidRPr="00A4272B">
              <w:rPr>
                <w:color w:val="000000"/>
                <w:sz w:val="14"/>
                <w:szCs w:val="14"/>
                <w:lang w:val="en-US"/>
              </w:rPr>
              <w:t>14</w:t>
            </w:r>
          </w:p>
        </w:tc>
        <w:tc>
          <w:tcPr>
            <w:tcW w:w="792" w:type="dxa"/>
            <w:noWrap/>
            <w:vAlign w:val="center"/>
            <w:hideMark/>
          </w:tcPr>
          <w:p w14:paraId="2081C5A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D88339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D3104B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C8EFC4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4703BA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right w:val="single" w:sz="8" w:space="0" w:color="auto"/>
            </w:tcBorders>
            <w:noWrap/>
            <w:vAlign w:val="center"/>
            <w:hideMark/>
          </w:tcPr>
          <w:p w14:paraId="70AD610A"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699395FD"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69F5BE5B"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tcBorders>
              <w:bottom w:val="single" w:sz="4" w:space="0" w:color="auto"/>
            </w:tcBorders>
            <w:noWrap/>
            <w:vAlign w:val="center"/>
            <w:hideMark/>
          </w:tcPr>
          <w:p w14:paraId="1394A897"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tcBorders>
              <w:bottom w:val="single" w:sz="4" w:space="0" w:color="auto"/>
            </w:tcBorders>
            <w:noWrap/>
            <w:vAlign w:val="center"/>
            <w:hideMark/>
          </w:tcPr>
          <w:p w14:paraId="4914622D" w14:textId="77777777" w:rsidR="00F3536C" w:rsidRPr="00A4272B" w:rsidRDefault="00F3536C" w:rsidP="00A41632">
            <w:pPr>
              <w:rPr>
                <w:color w:val="000000"/>
                <w:sz w:val="14"/>
                <w:szCs w:val="14"/>
                <w:lang w:val="en-US"/>
              </w:rPr>
            </w:pPr>
            <w:r w:rsidRPr="00A4272B">
              <w:rPr>
                <w:color w:val="000000"/>
                <w:sz w:val="14"/>
                <w:szCs w:val="14"/>
                <w:lang w:val="en-US"/>
              </w:rPr>
              <w:t>Warsaw Caves, ON</w:t>
            </w:r>
          </w:p>
        </w:tc>
        <w:tc>
          <w:tcPr>
            <w:tcW w:w="998" w:type="dxa"/>
            <w:tcBorders>
              <w:bottom w:val="single" w:sz="4" w:space="0" w:color="auto"/>
            </w:tcBorders>
            <w:noWrap/>
            <w:vAlign w:val="center"/>
            <w:hideMark/>
          </w:tcPr>
          <w:p w14:paraId="2E073077" w14:textId="77777777" w:rsidR="00F3536C" w:rsidRPr="00A4272B" w:rsidRDefault="00F3536C" w:rsidP="00A41632">
            <w:pPr>
              <w:jc w:val="center"/>
              <w:rPr>
                <w:color w:val="000000"/>
                <w:sz w:val="14"/>
                <w:szCs w:val="14"/>
                <w:lang w:val="en-US"/>
              </w:rPr>
            </w:pPr>
            <w:r w:rsidRPr="00A4272B">
              <w:rPr>
                <w:color w:val="000000"/>
                <w:sz w:val="14"/>
                <w:szCs w:val="14"/>
                <w:lang w:val="en-US"/>
              </w:rPr>
              <w:t>WE46</w:t>
            </w:r>
          </w:p>
        </w:tc>
        <w:tc>
          <w:tcPr>
            <w:tcW w:w="1342" w:type="dxa"/>
            <w:tcBorders>
              <w:bottom w:val="single" w:sz="4" w:space="0" w:color="auto"/>
            </w:tcBorders>
            <w:noWrap/>
            <w:vAlign w:val="center"/>
            <w:hideMark/>
          </w:tcPr>
          <w:p w14:paraId="64DB1015"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bottom w:val="single" w:sz="4" w:space="0" w:color="auto"/>
            </w:tcBorders>
            <w:noWrap/>
            <w:vAlign w:val="center"/>
            <w:hideMark/>
          </w:tcPr>
          <w:p w14:paraId="4304E114" w14:textId="77777777" w:rsidR="00F3536C" w:rsidRPr="00A4272B" w:rsidRDefault="00F3536C" w:rsidP="00A41632">
            <w:pPr>
              <w:jc w:val="right"/>
              <w:rPr>
                <w:color w:val="000000"/>
                <w:sz w:val="14"/>
                <w:szCs w:val="14"/>
                <w:lang w:val="en-US"/>
              </w:rPr>
            </w:pPr>
            <w:r w:rsidRPr="00A4272B">
              <w:rPr>
                <w:color w:val="000000"/>
                <w:sz w:val="14"/>
                <w:szCs w:val="14"/>
                <w:lang w:val="en-US"/>
              </w:rPr>
              <w:t>44.463889</w:t>
            </w:r>
          </w:p>
        </w:tc>
        <w:tc>
          <w:tcPr>
            <w:tcW w:w="998" w:type="dxa"/>
            <w:tcBorders>
              <w:bottom w:val="single" w:sz="4" w:space="0" w:color="auto"/>
            </w:tcBorders>
            <w:noWrap/>
            <w:vAlign w:val="center"/>
            <w:hideMark/>
          </w:tcPr>
          <w:p w14:paraId="2D3B81E0" w14:textId="77777777" w:rsidR="00F3536C" w:rsidRPr="00A4272B" w:rsidRDefault="00F3536C" w:rsidP="00A41632">
            <w:pPr>
              <w:jc w:val="right"/>
              <w:rPr>
                <w:color w:val="000000"/>
                <w:sz w:val="14"/>
                <w:szCs w:val="14"/>
                <w:lang w:val="en-US"/>
              </w:rPr>
            </w:pPr>
            <w:r w:rsidRPr="00A4272B">
              <w:rPr>
                <w:color w:val="000000"/>
                <w:sz w:val="14"/>
                <w:szCs w:val="14"/>
                <w:lang w:val="en-US"/>
              </w:rPr>
              <w:t>-78.130556</w:t>
            </w:r>
          </w:p>
        </w:tc>
        <w:tc>
          <w:tcPr>
            <w:tcW w:w="859" w:type="dxa"/>
            <w:tcBorders>
              <w:top w:val="nil"/>
              <w:left w:val="nil"/>
              <w:bottom w:val="single" w:sz="4" w:space="0" w:color="auto"/>
              <w:right w:val="single" w:sz="8" w:space="0" w:color="auto"/>
            </w:tcBorders>
            <w:noWrap/>
            <w:vAlign w:val="center"/>
            <w:hideMark/>
          </w:tcPr>
          <w:p w14:paraId="5EF23E66" w14:textId="77777777" w:rsidR="00F3536C" w:rsidRPr="00A4272B" w:rsidRDefault="00F3536C" w:rsidP="00A41632">
            <w:pPr>
              <w:jc w:val="center"/>
              <w:rPr>
                <w:color w:val="000000"/>
                <w:sz w:val="14"/>
                <w:szCs w:val="14"/>
                <w:lang w:val="en-US"/>
              </w:rPr>
            </w:pPr>
            <w:r w:rsidRPr="00A4272B">
              <w:rPr>
                <w:color w:val="000000"/>
                <w:sz w:val="14"/>
                <w:szCs w:val="14"/>
                <w:lang w:val="en-US"/>
              </w:rPr>
              <w:t>226</w:t>
            </w:r>
          </w:p>
        </w:tc>
        <w:tc>
          <w:tcPr>
            <w:tcW w:w="792" w:type="dxa"/>
            <w:tcBorders>
              <w:bottom w:val="single" w:sz="4" w:space="0" w:color="auto"/>
            </w:tcBorders>
            <w:noWrap/>
            <w:vAlign w:val="center"/>
            <w:hideMark/>
          </w:tcPr>
          <w:p w14:paraId="0E50A89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bottom w:val="single" w:sz="4" w:space="0" w:color="auto"/>
            </w:tcBorders>
            <w:noWrap/>
            <w:vAlign w:val="center"/>
            <w:hideMark/>
          </w:tcPr>
          <w:p w14:paraId="4760AB6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bottom w:val="single" w:sz="4" w:space="0" w:color="auto"/>
            </w:tcBorders>
            <w:noWrap/>
            <w:vAlign w:val="center"/>
            <w:hideMark/>
          </w:tcPr>
          <w:p w14:paraId="629B921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bottom w:val="single" w:sz="4" w:space="0" w:color="auto"/>
            </w:tcBorders>
            <w:noWrap/>
            <w:vAlign w:val="center"/>
            <w:hideMark/>
          </w:tcPr>
          <w:p w14:paraId="05412F4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bottom w:val="single" w:sz="4" w:space="0" w:color="auto"/>
            </w:tcBorders>
            <w:noWrap/>
            <w:vAlign w:val="center"/>
            <w:hideMark/>
          </w:tcPr>
          <w:p w14:paraId="30BEF72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291D7162"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0DD524D3"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5DEDFF7F"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tcBorders>
              <w:top w:val="single" w:sz="4" w:space="0" w:color="auto"/>
            </w:tcBorders>
            <w:noWrap/>
            <w:vAlign w:val="center"/>
            <w:hideMark/>
          </w:tcPr>
          <w:p w14:paraId="0E6F9D41"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tcBorders>
              <w:top w:val="single" w:sz="4" w:space="0" w:color="auto"/>
            </w:tcBorders>
            <w:noWrap/>
            <w:vAlign w:val="center"/>
            <w:hideMark/>
          </w:tcPr>
          <w:p w14:paraId="6AF09297" w14:textId="77777777" w:rsidR="00F3536C" w:rsidRPr="00A4272B" w:rsidRDefault="00F3536C" w:rsidP="00A41632">
            <w:pPr>
              <w:rPr>
                <w:color w:val="000000"/>
                <w:sz w:val="14"/>
                <w:szCs w:val="14"/>
                <w:lang w:val="en-US"/>
              </w:rPr>
            </w:pPr>
            <w:r w:rsidRPr="00A4272B">
              <w:rPr>
                <w:color w:val="000000"/>
                <w:sz w:val="14"/>
                <w:szCs w:val="14"/>
                <w:lang w:val="en-US"/>
              </w:rPr>
              <w:t>Whistler, BC</w:t>
            </w:r>
          </w:p>
        </w:tc>
        <w:tc>
          <w:tcPr>
            <w:tcW w:w="998" w:type="dxa"/>
            <w:tcBorders>
              <w:top w:val="single" w:sz="4" w:space="0" w:color="auto"/>
            </w:tcBorders>
            <w:noWrap/>
            <w:vAlign w:val="center"/>
            <w:hideMark/>
          </w:tcPr>
          <w:p w14:paraId="2A348BBD" w14:textId="77777777" w:rsidR="00F3536C" w:rsidRPr="00A4272B" w:rsidRDefault="00F3536C" w:rsidP="00A41632">
            <w:pPr>
              <w:jc w:val="center"/>
              <w:rPr>
                <w:color w:val="000000"/>
                <w:sz w:val="14"/>
                <w:szCs w:val="14"/>
                <w:lang w:val="en-US"/>
              </w:rPr>
            </w:pPr>
            <w:r w:rsidRPr="00A4272B">
              <w:rPr>
                <w:color w:val="000000"/>
                <w:sz w:val="14"/>
                <w:szCs w:val="14"/>
                <w:lang w:val="en-US"/>
              </w:rPr>
              <w:t>WE06</w:t>
            </w:r>
          </w:p>
        </w:tc>
        <w:tc>
          <w:tcPr>
            <w:tcW w:w="1342" w:type="dxa"/>
            <w:tcBorders>
              <w:top w:val="single" w:sz="4" w:space="0" w:color="auto"/>
            </w:tcBorders>
            <w:noWrap/>
            <w:vAlign w:val="center"/>
            <w:hideMark/>
          </w:tcPr>
          <w:p w14:paraId="3CE1A64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single" w:sz="4" w:space="0" w:color="auto"/>
            </w:tcBorders>
            <w:noWrap/>
            <w:vAlign w:val="center"/>
            <w:hideMark/>
          </w:tcPr>
          <w:p w14:paraId="37B3E83A" w14:textId="77777777" w:rsidR="00F3536C" w:rsidRPr="00A4272B" w:rsidRDefault="00F3536C" w:rsidP="00A41632">
            <w:pPr>
              <w:jc w:val="right"/>
              <w:rPr>
                <w:color w:val="000000"/>
                <w:sz w:val="14"/>
                <w:szCs w:val="14"/>
                <w:lang w:val="en-US"/>
              </w:rPr>
            </w:pPr>
            <w:r w:rsidRPr="00A4272B">
              <w:rPr>
                <w:color w:val="000000"/>
                <w:sz w:val="14"/>
                <w:szCs w:val="14"/>
                <w:lang w:val="en-US"/>
              </w:rPr>
              <w:t>50.058333</w:t>
            </w:r>
          </w:p>
        </w:tc>
        <w:tc>
          <w:tcPr>
            <w:tcW w:w="998" w:type="dxa"/>
            <w:tcBorders>
              <w:top w:val="single" w:sz="4" w:space="0" w:color="auto"/>
            </w:tcBorders>
            <w:noWrap/>
            <w:vAlign w:val="center"/>
            <w:hideMark/>
          </w:tcPr>
          <w:p w14:paraId="0BE0C008" w14:textId="77777777" w:rsidR="00F3536C" w:rsidRPr="00A4272B" w:rsidRDefault="00F3536C" w:rsidP="00A41632">
            <w:pPr>
              <w:jc w:val="right"/>
              <w:rPr>
                <w:color w:val="000000"/>
                <w:sz w:val="14"/>
                <w:szCs w:val="14"/>
                <w:lang w:val="en-US"/>
              </w:rPr>
            </w:pPr>
            <w:r w:rsidRPr="00A4272B">
              <w:rPr>
                <w:color w:val="000000"/>
                <w:sz w:val="14"/>
                <w:szCs w:val="14"/>
                <w:lang w:val="en-US"/>
              </w:rPr>
              <w:t>-122.956944</w:t>
            </w:r>
          </w:p>
        </w:tc>
        <w:tc>
          <w:tcPr>
            <w:tcW w:w="859" w:type="dxa"/>
            <w:tcBorders>
              <w:top w:val="single" w:sz="4" w:space="0" w:color="auto"/>
              <w:left w:val="nil"/>
              <w:bottom w:val="nil"/>
              <w:right w:val="single" w:sz="8" w:space="0" w:color="auto"/>
            </w:tcBorders>
            <w:noWrap/>
            <w:vAlign w:val="center"/>
            <w:hideMark/>
          </w:tcPr>
          <w:p w14:paraId="4833A6E8" w14:textId="77777777" w:rsidR="00F3536C" w:rsidRPr="00A4272B" w:rsidRDefault="00F3536C" w:rsidP="00A41632">
            <w:pPr>
              <w:jc w:val="center"/>
              <w:rPr>
                <w:color w:val="000000"/>
                <w:sz w:val="14"/>
                <w:szCs w:val="14"/>
                <w:lang w:val="en-US"/>
              </w:rPr>
            </w:pPr>
            <w:r w:rsidRPr="00A4272B">
              <w:rPr>
                <w:color w:val="000000"/>
                <w:sz w:val="14"/>
                <w:szCs w:val="14"/>
                <w:lang w:val="en-US"/>
              </w:rPr>
              <w:t>2180</w:t>
            </w:r>
          </w:p>
        </w:tc>
        <w:tc>
          <w:tcPr>
            <w:tcW w:w="792" w:type="dxa"/>
            <w:tcBorders>
              <w:top w:val="single" w:sz="4" w:space="0" w:color="auto"/>
            </w:tcBorders>
            <w:noWrap/>
            <w:vAlign w:val="center"/>
            <w:hideMark/>
          </w:tcPr>
          <w:p w14:paraId="0096EE5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tcBorders>
            <w:noWrap/>
            <w:vAlign w:val="center"/>
            <w:hideMark/>
          </w:tcPr>
          <w:p w14:paraId="39436F0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tcBorders>
            <w:noWrap/>
            <w:vAlign w:val="center"/>
            <w:hideMark/>
          </w:tcPr>
          <w:p w14:paraId="6B083CE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tcBorders>
            <w:noWrap/>
            <w:vAlign w:val="center"/>
            <w:hideMark/>
          </w:tcPr>
          <w:p w14:paraId="361681C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single" w:sz="4" w:space="0" w:color="auto"/>
            </w:tcBorders>
            <w:noWrap/>
            <w:vAlign w:val="center"/>
            <w:hideMark/>
          </w:tcPr>
          <w:p w14:paraId="187C965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single" w:sz="4" w:space="0" w:color="auto"/>
              <w:left w:val="nil"/>
              <w:bottom w:val="nil"/>
              <w:right w:val="single" w:sz="8" w:space="0" w:color="auto"/>
            </w:tcBorders>
            <w:noWrap/>
            <w:vAlign w:val="center"/>
            <w:hideMark/>
          </w:tcPr>
          <w:p w14:paraId="7EA15209"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47876D84" w14:textId="77777777" w:rsidTr="00A41632">
        <w:trPr>
          <w:trHeight w:val="276"/>
          <w:jc w:val="center"/>
        </w:trPr>
        <w:tc>
          <w:tcPr>
            <w:tcW w:w="955" w:type="dxa"/>
            <w:tcBorders>
              <w:top w:val="nil"/>
              <w:left w:val="single" w:sz="8" w:space="0" w:color="auto"/>
              <w:bottom w:val="nil"/>
              <w:right w:val="nil"/>
            </w:tcBorders>
            <w:noWrap/>
            <w:vAlign w:val="center"/>
            <w:hideMark/>
          </w:tcPr>
          <w:p w14:paraId="44F26860"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229B0DC8" w14:textId="77777777" w:rsidR="00F3536C" w:rsidRPr="00A4272B" w:rsidRDefault="00F3536C" w:rsidP="00A41632">
            <w:pPr>
              <w:rPr>
                <w:color w:val="000000"/>
                <w:sz w:val="14"/>
                <w:szCs w:val="14"/>
                <w:lang w:val="en-US"/>
              </w:rPr>
            </w:pPr>
            <w:r w:rsidRPr="00A4272B">
              <w:rPr>
                <w:color w:val="000000"/>
                <w:sz w:val="14"/>
                <w:szCs w:val="14"/>
                <w:lang w:val="en-US"/>
              </w:rPr>
              <w:t>New Zealand</w:t>
            </w:r>
          </w:p>
        </w:tc>
        <w:tc>
          <w:tcPr>
            <w:tcW w:w="2504" w:type="dxa"/>
            <w:noWrap/>
            <w:vAlign w:val="center"/>
            <w:hideMark/>
          </w:tcPr>
          <w:p w14:paraId="316C8281" w14:textId="77777777" w:rsidR="00F3536C" w:rsidRPr="00A4272B" w:rsidRDefault="00F3536C" w:rsidP="00A41632">
            <w:pPr>
              <w:rPr>
                <w:color w:val="000000"/>
                <w:sz w:val="14"/>
                <w:szCs w:val="14"/>
                <w:lang w:val="en-US"/>
              </w:rPr>
            </w:pPr>
            <w:r w:rsidRPr="00A4272B">
              <w:rPr>
                <w:color w:val="000000"/>
                <w:sz w:val="14"/>
                <w:szCs w:val="14"/>
                <w:lang w:val="en-US"/>
              </w:rPr>
              <w:t>Temple Basin, Arthurs Pass</w:t>
            </w:r>
          </w:p>
        </w:tc>
        <w:tc>
          <w:tcPr>
            <w:tcW w:w="998" w:type="dxa"/>
            <w:noWrap/>
            <w:vAlign w:val="center"/>
            <w:hideMark/>
          </w:tcPr>
          <w:p w14:paraId="2AD76854" w14:textId="77777777" w:rsidR="00F3536C" w:rsidRPr="00A4272B" w:rsidRDefault="00F3536C" w:rsidP="00A41632">
            <w:pPr>
              <w:jc w:val="center"/>
              <w:rPr>
                <w:color w:val="000000"/>
                <w:sz w:val="14"/>
                <w:szCs w:val="14"/>
                <w:lang w:val="en-US"/>
              </w:rPr>
            </w:pPr>
            <w:r w:rsidRPr="00A4272B">
              <w:rPr>
                <w:color w:val="000000"/>
                <w:sz w:val="14"/>
                <w:szCs w:val="14"/>
                <w:lang w:val="en-US"/>
              </w:rPr>
              <w:t>WE39</w:t>
            </w:r>
          </w:p>
        </w:tc>
        <w:tc>
          <w:tcPr>
            <w:tcW w:w="1342" w:type="dxa"/>
            <w:noWrap/>
            <w:vAlign w:val="center"/>
            <w:hideMark/>
          </w:tcPr>
          <w:p w14:paraId="24CA33B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C2E94BF" w14:textId="77777777" w:rsidR="00F3536C" w:rsidRPr="00A4272B" w:rsidRDefault="00F3536C" w:rsidP="00A41632">
            <w:pPr>
              <w:jc w:val="right"/>
              <w:rPr>
                <w:color w:val="000000"/>
                <w:sz w:val="14"/>
                <w:szCs w:val="14"/>
                <w:lang w:val="en-US"/>
              </w:rPr>
            </w:pPr>
            <w:r w:rsidRPr="00A4272B">
              <w:rPr>
                <w:color w:val="000000"/>
                <w:sz w:val="14"/>
                <w:szCs w:val="14"/>
                <w:lang w:val="en-US"/>
              </w:rPr>
              <w:t>-42.908889</w:t>
            </w:r>
          </w:p>
        </w:tc>
        <w:tc>
          <w:tcPr>
            <w:tcW w:w="998" w:type="dxa"/>
            <w:noWrap/>
            <w:vAlign w:val="center"/>
            <w:hideMark/>
          </w:tcPr>
          <w:p w14:paraId="220D561B" w14:textId="77777777" w:rsidR="00F3536C" w:rsidRPr="00A4272B" w:rsidRDefault="00F3536C" w:rsidP="00A41632">
            <w:pPr>
              <w:jc w:val="right"/>
              <w:rPr>
                <w:color w:val="000000"/>
                <w:sz w:val="14"/>
                <w:szCs w:val="14"/>
                <w:lang w:val="en-US"/>
              </w:rPr>
            </w:pPr>
            <w:r w:rsidRPr="00A4272B">
              <w:rPr>
                <w:color w:val="000000"/>
                <w:sz w:val="14"/>
                <w:szCs w:val="14"/>
                <w:lang w:val="en-US"/>
              </w:rPr>
              <w:t>171.574722</w:t>
            </w:r>
          </w:p>
        </w:tc>
        <w:tc>
          <w:tcPr>
            <w:tcW w:w="859" w:type="dxa"/>
            <w:tcBorders>
              <w:top w:val="nil"/>
              <w:left w:val="nil"/>
              <w:bottom w:val="nil"/>
              <w:right w:val="single" w:sz="8" w:space="0" w:color="auto"/>
            </w:tcBorders>
            <w:noWrap/>
            <w:vAlign w:val="center"/>
            <w:hideMark/>
          </w:tcPr>
          <w:p w14:paraId="74AD00E1" w14:textId="77777777" w:rsidR="00F3536C" w:rsidRPr="00A4272B" w:rsidRDefault="00F3536C" w:rsidP="00A41632">
            <w:pPr>
              <w:jc w:val="center"/>
              <w:rPr>
                <w:color w:val="000000"/>
                <w:sz w:val="14"/>
                <w:szCs w:val="14"/>
                <w:lang w:val="en-US"/>
              </w:rPr>
            </w:pPr>
            <w:r w:rsidRPr="00A4272B">
              <w:rPr>
                <w:color w:val="000000"/>
                <w:sz w:val="14"/>
                <w:szCs w:val="14"/>
                <w:lang w:val="en-US"/>
              </w:rPr>
              <w:t>1345</w:t>
            </w:r>
          </w:p>
        </w:tc>
        <w:tc>
          <w:tcPr>
            <w:tcW w:w="792" w:type="dxa"/>
            <w:noWrap/>
            <w:vAlign w:val="center"/>
            <w:hideMark/>
          </w:tcPr>
          <w:p w14:paraId="2C07A4F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C512B1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10EEFF8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BCCABC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5E7398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295CA88"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103B0C3E" w14:textId="77777777" w:rsidTr="00A41632">
        <w:trPr>
          <w:trHeight w:val="276"/>
          <w:jc w:val="center"/>
        </w:trPr>
        <w:tc>
          <w:tcPr>
            <w:tcW w:w="955" w:type="dxa"/>
            <w:tcBorders>
              <w:top w:val="nil"/>
              <w:left w:val="single" w:sz="8" w:space="0" w:color="auto"/>
              <w:bottom w:val="nil"/>
              <w:right w:val="nil"/>
            </w:tcBorders>
            <w:noWrap/>
            <w:vAlign w:val="center"/>
            <w:hideMark/>
          </w:tcPr>
          <w:p w14:paraId="31813DF1"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63220FD"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0C286CF8" w14:textId="77777777" w:rsidR="00F3536C" w:rsidRPr="00A4272B" w:rsidRDefault="00F3536C" w:rsidP="00A41632">
            <w:pPr>
              <w:rPr>
                <w:color w:val="000000"/>
                <w:sz w:val="14"/>
                <w:szCs w:val="14"/>
                <w:lang w:val="en-US"/>
              </w:rPr>
            </w:pPr>
            <w:r w:rsidRPr="00A4272B">
              <w:rPr>
                <w:color w:val="000000"/>
                <w:sz w:val="14"/>
                <w:szCs w:val="14"/>
                <w:lang w:val="en-US"/>
              </w:rPr>
              <w:t>Barrow, AK</w:t>
            </w:r>
          </w:p>
        </w:tc>
        <w:tc>
          <w:tcPr>
            <w:tcW w:w="998" w:type="dxa"/>
            <w:noWrap/>
            <w:vAlign w:val="center"/>
            <w:hideMark/>
          </w:tcPr>
          <w:p w14:paraId="05E91E85" w14:textId="77777777" w:rsidR="00F3536C" w:rsidRPr="00A4272B" w:rsidRDefault="00F3536C" w:rsidP="00A41632">
            <w:pPr>
              <w:jc w:val="center"/>
              <w:rPr>
                <w:color w:val="000000"/>
                <w:sz w:val="14"/>
                <w:szCs w:val="14"/>
                <w:lang w:val="en-US"/>
              </w:rPr>
            </w:pPr>
            <w:r w:rsidRPr="00A4272B">
              <w:rPr>
                <w:color w:val="000000"/>
                <w:sz w:val="14"/>
                <w:szCs w:val="14"/>
                <w:lang w:val="en-US"/>
              </w:rPr>
              <w:t>WE02</w:t>
            </w:r>
          </w:p>
        </w:tc>
        <w:tc>
          <w:tcPr>
            <w:tcW w:w="1342" w:type="dxa"/>
            <w:noWrap/>
            <w:vAlign w:val="center"/>
            <w:hideMark/>
          </w:tcPr>
          <w:p w14:paraId="5B447F2D"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6DCFB74A" w14:textId="77777777" w:rsidR="00F3536C" w:rsidRPr="00A4272B" w:rsidRDefault="00F3536C" w:rsidP="00A41632">
            <w:pPr>
              <w:jc w:val="right"/>
              <w:rPr>
                <w:color w:val="000000"/>
                <w:sz w:val="14"/>
                <w:szCs w:val="14"/>
                <w:lang w:val="en-US"/>
              </w:rPr>
            </w:pPr>
            <w:r w:rsidRPr="00A4272B">
              <w:rPr>
                <w:color w:val="000000"/>
                <w:sz w:val="14"/>
                <w:szCs w:val="14"/>
                <w:lang w:val="en-US"/>
              </w:rPr>
              <w:t>71.320000</w:t>
            </w:r>
          </w:p>
        </w:tc>
        <w:tc>
          <w:tcPr>
            <w:tcW w:w="998" w:type="dxa"/>
            <w:noWrap/>
            <w:vAlign w:val="center"/>
            <w:hideMark/>
          </w:tcPr>
          <w:p w14:paraId="54B778D5" w14:textId="77777777" w:rsidR="00F3536C" w:rsidRPr="00A4272B" w:rsidRDefault="00F3536C" w:rsidP="00A41632">
            <w:pPr>
              <w:jc w:val="right"/>
              <w:rPr>
                <w:color w:val="000000"/>
                <w:sz w:val="14"/>
                <w:szCs w:val="14"/>
                <w:lang w:val="en-US"/>
              </w:rPr>
            </w:pPr>
            <w:r w:rsidRPr="00A4272B">
              <w:rPr>
                <w:color w:val="000000"/>
                <w:sz w:val="14"/>
                <w:szCs w:val="14"/>
                <w:lang w:val="en-US"/>
              </w:rPr>
              <w:t>-156.600000</w:t>
            </w:r>
          </w:p>
        </w:tc>
        <w:tc>
          <w:tcPr>
            <w:tcW w:w="859" w:type="dxa"/>
            <w:tcBorders>
              <w:top w:val="nil"/>
              <w:left w:val="nil"/>
              <w:bottom w:val="nil"/>
              <w:right w:val="single" w:sz="8" w:space="0" w:color="auto"/>
            </w:tcBorders>
            <w:noWrap/>
            <w:vAlign w:val="center"/>
            <w:hideMark/>
          </w:tcPr>
          <w:p w14:paraId="1DA37366" w14:textId="77777777" w:rsidR="00F3536C" w:rsidRPr="00A4272B" w:rsidRDefault="00F3536C" w:rsidP="00A41632">
            <w:pPr>
              <w:jc w:val="center"/>
              <w:rPr>
                <w:color w:val="000000"/>
                <w:sz w:val="14"/>
                <w:szCs w:val="14"/>
                <w:lang w:val="en-US"/>
              </w:rPr>
            </w:pPr>
            <w:r w:rsidRPr="00A4272B">
              <w:rPr>
                <w:color w:val="000000"/>
                <w:sz w:val="14"/>
                <w:szCs w:val="14"/>
                <w:lang w:val="en-US"/>
              </w:rPr>
              <w:t>5</w:t>
            </w:r>
          </w:p>
        </w:tc>
        <w:tc>
          <w:tcPr>
            <w:tcW w:w="792" w:type="dxa"/>
            <w:noWrap/>
            <w:vAlign w:val="center"/>
            <w:hideMark/>
          </w:tcPr>
          <w:p w14:paraId="228ED8B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D1D857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09689B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A2DF6A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05BBE2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A9AD06F"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01F5A6ED" w14:textId="77777777" w:rsidTr="00A41632">
        <w:trPr>
          <w:trHeight w:val="276"/>
          <w:jc w:val="center"/>
        </w:trPr>
        <w:tc>
          <w:tcPr>
            <w:tcW w:w="955" w:type="dxa"/>
            <w:tcBorders>
              <w:top w:val="nil"/>
              <w:left w:val="single" w:sz="8" w:space="0" w:color="auto"/>
              <w:bottom w:val="nil"/>
              <w:right w:val="nil"/>
            </w:tcBorders>
            <w:noWrap/>
            <w:vAlign w:val="center"/>
            <w:hideMark/>
          </w:tcPr>
          <w:p w14:paraId="445158CD"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FC885BD"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4ABF989F" w14:textId="77777777" w:rsidR="00F3536C" w:rsidRPr="00A4272B" w:rsidRDefault="00F3536C" w:rsidP="00A41632">
            <w:pPr>
              <w:rPr>
                <w:color w:val="000000"/>
                <w:sz w:val="14"/>
                <w:szCs w:val="14"/>
                <w:lang w:val="en-US"/>
              </w:rPr>
            </w:pPr>
            <w:r w:rsidRPr="00A4272B">
              <w:rPr>
                <w:color w:val="000000"/>
                <w:sz w:val="14"/>
                <w:szCs w:val="14"/>
                <w:lang w:val="en-US"/>
              </w:rPr>
              <w:t>Dyea, AK</w:t>
            </w:r>
          </w:p>
        </w:tc>
        <w:tc>
          <w:tcPr>
            <w:tcW w:w="998" w:type="dxa"/>
            <w:noWrap/>
            <w:vAlign w:val="center"/>
            <w:hideMark/>
          </w:tcPr>
          <w:p w14:paraId="334EFA6F" w14:textId="77777777" w:rsidR="00F3536C" w:rsidRPr="00A4272B" w:rsidRDefault="00F3536C" w:rsidP="00A41632">
            <w:pPr>
              <w:jc w:val="center"/>
              <w:rPr>
                <w:color w:val="000000"/>
                <w:sz w:val="14"/>
                <w:szCs w:val="14"/>
                <w:lang w:val="en-US"/>
              </w:rPr>
            </w:pPr>
            <w:r w:rsidRPr="00A4272B">
              <w:rPr>
                <w:color w:val="000000"/>
                <w:sz w:val="14"/>
                <w:szCs w:val="14"/>
                <w:lang w:val="en-US"/>
              </w:rPr>
              <w:t>WE26</w:t>
            </w:r>
          </w:p>
        </w:tc>
        <w:tc>
          <w:tcPr>
            <w:tcW w:w="1342" w:type="dxa"/>
            <w:noWrap/>
            <w:vAlign w:val="center"/>
            <w:hideMark/>
          </w:tcPr>
          <w:p w14:paraId="77EA32A9"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6EA68264" w14:textId="77777777" w:rsidR="00F3536C" w:rsidRPr="00A4272B" w:rsidRDefault="00F3536C" w:rsidP="00A41632">
            <w:pPr>
              <w:jc w:val="right"/>
              <w:rPr>
                <w:color w:val="000000"/>
                <w:sz w:val="14"/>
                <w:szCs w:val="14"/>
                <w:lang w:val="en-US"/>
              </w:rPr>
            </w:pPr>
            <w:r w:rsidRPr="00A4272B">
              <w:rPr>
                <w:color w:val="000000"/>
                <w:sz w:val="14"/>
                <w:szCs w:val="14"/>
                <w:lang w:val="en-US"/>
              </w:rPr>
              <w:t>59.520396</w:t>
            </w:r>
          </w:p>
        </w:tc>
        <w:tc>
          <w:tcPr>
            <w:tcW w:w="998" w:type="dxa"/>
            <w:noWrap/>
            <w:vAlign w:val="center"/>
            <w:hideMark/>
          </w:tcPr>
          <w:p w14:paraId="04E5200E" w14:textId="77777777" w:rsidR="00F3536C" w:rsidRPr="00A4272B" w:rsidRDefault="00F3536C" w:rsidP="00A41632">
            <w:pPr>
              <w:jc w:val="right"/>
              <w:rPr>
                <w:color w:val="000000"/>
                <w:sz w:val="14"/>
                <w:szCs w:val="14"/>
                <w:lang w:val="en-US"/>
              </w:rPr>
            </w:pPr>
            <w:r w:rsidRPr="00A4272B">
              <w:rPr>
                <w:color w:val="000000"/>
                <w:sz w:val="14"/>
                <w:szCs w:val="14"/>
                <w:lang w:val="en-US"/>
              </w:rPr>
              <w:t>-135.350135</w:t>
            </w:r>
          </w:p>
        </w:tc>
        <w:tc>
          <w:tcPr>
            <w:tcW w:w="859" w:type="dxa"/>
            <w:tcBorders>
              <w:top w:val="nil"/>
              <w:left w:val="nil"/>
              <w:bottom w:val="nil"/>
              <w:right w:val="single" w:sz="8" w:space="0" w:color="auto"/>
            </w:tcBorders>
            <w:noWrap/>
            <w:vAlign w:val="center"/>
            <w:hideMark/>
          </w:tcPr>
          <w:p w14:paraId="650B77F3" w14:textId="77777777" w:rsidR="00F3536C" w:rsidRPr="00A4272B" w:rsidRDefault="00F3536C" w:rsidP="00A41632">
            <w:pPr>
              <w:jc w:val="center"/>
              <w:rPr>
                <w:color w:val="000000"/>
                <w:sz w:val="14"/>
                <w:szCs w:val="14"/>
                <w:lang w:val="en-US"/>
              </w:rPr>
            </w:pPr>
            <w:r w:rsidRPr="00A4272B">
              <w:rPr>
                <w:color w:val="000000"/>
                <w:sz w:val="14"/>
                <w:szCs w:val="14"/>
                <w:lang w:val="en-US"/>
              </w:rPr>
              <w:t>23</w:t>
            </w:r>
          </w:p>
        </w:tc>
        <w:tc>
          <w:tcPr>
            <w:tcW w:w="792" w:type="dxa"/>
            <w:noWrap/>
            <w:vAlign w:val="center"/>
            <w:hideMark/>
          </w:tcPr>
          <w:p w14:paraId="04058E5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431F95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C36793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0D5C05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340F02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D4A99A9"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0E464FBA" w14:textId="77777777" w:rsidTr="00A41632">
        <w:trPr>
          <w:trHeight w:val="276"/>
          <w:jc w:val="center"/>
        </w:trPr>
        <w:tc>
          <w:tcPr>
            <w:tcW w:w="955" w:type="dxa"/>
            <w:tcBorders>
              <w:top w:val="nil"/>
              <w:left w:val="single" w:sz="8" w:space="0" w:color="auto"/>
              <w:bottom w:val="nil"/>
              <w:right w:val="nil"/>
            </w:tcBorders>
            <w:noWrap/>
            <w:vAlign w:val="center"/>
            <w:hideMark/>
          </w:tcPr>
          <w:p w14:paraId="4811889C"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3B294D6"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5504CBD4" w14:textId="77777777" w:rsidR="00F3536C" w:rsidRPr="00A4272B" w:rsidRDefault="00F3536C" w:rsidP="00A41632">
            <w:pPr>
              <w:rPr>
                <w:color w:val="000000"/>
                <w:sz w:val="14"/>
                <w:szCs w:val="14"/>
                <w:lang w:val="en-US"/>
              </w:rPr>
            </w:pPr>
            <w:r w:rsidRPr="00A4272B">
              <w:rPr>
                <w:color w:val="000000"/>
                <w:sz w:val="14"/>
                <w:szCs w:val="14"/>
                <w:lang w:val="en-US"/>
              </w:rPr>
              <w:t>Groton, CT</w:t>
            </w:r>
          </w:p>
        </w:tc>
        <w:tc>
          <w:tcPr>
            <w:tcW w:w="998" w:type="dxa"/>
            <w:noWrap/>
            <w:vAlign w:val="center"/>
            <w:hideMark/>
          </w:tcPr>
          <w:p w14:paraId="340C680C" w14:textId="77777777" w:rsidR="00F3536C" w:rsidRPr="00A4272B" w:rsidRDefault="00F3536C" w:rsidP="00A41632">
            <w:pPr>
              <w:jc w:val="center"/>
              <w:rPr>
                <w:color w:val="000000"/>
                <w:sz w:val="14"/>
                <w:szCs w:val="14"/>
                <w:lang w:val="en-US"/>
              </w:rPr>
            </w:pPr>
            <w:r w:rsidRPr="00A4272B">
              <w:rPr>
                <w:color w:val="000000"/>
                <w:sz w:val="14"/>
                <w:szCs w:val="14"/>
                <w:lang w:val="en-US"/>
              </w:rPr>
              <w:t>WE40</w:t>
            </w:r>
          </w:p>
        </w:tc>
        <w:tc>
          <w:tcPr>
            <w:tcW w:w="1342" w:type="dxa"/>
            <w:noWrap/>
            <w:vAlign w:val="center"/>
            <w:hideMark/>
          </w:tcPr>
          <w:p w14:paraId="5B005AA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7A22DF4" w14:textId="77777777" w:rsidR="00F3536C" w:rsidRPr="00A4272B" w:rsidRDefault="00F3536C" w:rsidP="00A41632">
            <w:pPr>
              <w:jc w:val="right"/>
              <w:rPr>
                <w:color w:val="000000"/>
                <w:sz w:val="14"/>
                <w:szCs w:val="14"/>
                <w:lang w:val="en-US"/>
              </w:rPr>
            </w:pPr>
            <w:r w:rsidRPr="00A4272B">
              <w:rPr>
                <w:color w:val="000000"/>
                <w:sz w:val="14"/>
                <w:szCs w:val="14"/>
                <w:lang w:val="en-US"/>
              </w:rPr>
              <w:t>41.316710</w:t>
            </w:r>
          </w:p>
        </w:tc>
        <w:tc>
          <w:tcPr>
            <w:tcW w:w="998" w:type="dxa"/>
            <w:noWrap/>
            <w:vAlign w:val="center"/>
            <w:hideMark/>
          </w:tcPr>
          <w:p w14:paraId="63C9C474" w14:textId="77777777" w:rsidR="00F3536C" w:rsidRPr="00A4272B" w:rsidRDefault="00F3536C" w:rsidP="00A41632">
            <w:pPr>
              <w:jc w:val="right"/>
              <w:rPr>
                <w:color w:val="000000"/>
                <w:sz w:val="14"/>
                <w:szCs w:val="14"/>
                <w:lang w:val="en-US"/>
              </w:rPr>
            </w:pPr>
            <w:r w:rsidRPr="00A4272B">
              <w:rPr>
                <w:color w:val="000000"/>
                <w:sz w:val="14"/>
                <w:szCs w:val="14"/>
                <w:lang w:val="en-US"/>
              </w:rPr>
              <w:t>-72.066698</w:t>
            </w:r>
          </w:p>
        </w:tc>
        <w:tc>
          <w:tcPr>
            <w:tcW w:w="859" w:type="dxa"/>
            <w:tcBorders>
              <w:top w:val="nil"/>
              <w:left w:val="nil"/>
              <w:bottom w:val="nil"/>
              <w:right w:val="single" w:sz="8" w:space="0" w:color="auto"/>
            </w:tcBorders>
            <w:noWrap/>
            <w:vAlign w:val="center"/>
            <w:hideMark/>
          </w:tcPr>
          <w:p w14:paraId="4E8275AC" w14:textId="77777777" w:rsidR="00F3536C" w:rsidRPr="00A4272B" w:rsidRDefault="00F3536C" w:rsidP="00A41632">
            <w:pPr>
              <w:jc w:val="center"/>
              <w:rPr>
                <w:color w:val="000000"/>
                <w:sz w:val="14"/>
                <w:szCs w:val="14"/>
                <w:lang w:val="en-US"/>
              </w:rPr>
            </w:pPr>
            <w:r w:rsidRPr="00A4272B">
              <w:rPr>
                <w:color w:val="000000"/>
                <w:sz w:val="14"/>
                <w:szCs w:val="14"/>
                <w:lang w:val="en-US"/>
              </w:rPr>
              <w:t>4</w:t>
            </w:r>
          </w:p>
        </w:tc>
        <w:tc>
          <w:tcPr>
            <w:tcW w:w="792" w:type="dxa"/>
            <w:noWrap/>
            <w:vAlign w:val="center"/>
            <w:hideMark/>
          </w:tcPr>
          <w:p w14:paraId="7DE9380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71737A3"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0BE52F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082879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A991B0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EAEAD96"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2F3C7F1A" w14:textId="77777777" w:rsidTr="00A41632">
        <w:trPr>
          <w:trHeight w:val="276"/>
          <w:jc w:val="center"/>
        </w:trPr>
        <w:tc>
          <w:tcPr>
            <w:tcW w:w="955" w:type="dxa"/>
            <w:tcBorders>
              <w:top w:val="nil"/>
              <w:left w:val="single" w:sz="8" w:space="0" w:color="auto"/>
              <w:bottom w:val="nil"/>
              <w:right w:val="nil"/>
            </w:tcBorders>
            <w:noWrap/>
            <w:vAlign w:val="center"/>
            <w:hideMark/>
          </w:tcPr>
          <w:p w14:paraId="3A6D4C57"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E16812C"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1066271D" w14:textId="77777777" w:rsidR="00F3536C" w:rsidRPr="00A4272B" w:rsidRDefault="00F3536C" w:rsidP="00A41632">
            <w:pPr>
              <w:rPr>
                <w:color w:val="000000"/>
                <w:sz w:val="14"/>
                <w:szCs w:val="14"/>
                <w:lang w:val="en-US"/>
              </w:rPr>
            </w:pPr>
            <w:r w:rsidRPr="00A4272B">
              <w:rPr>
                <w:color w:val="000000"/>
                <w:sz w:val="14"/>
                <w:szCs w:val="14"/>
                <w:lang w:val="en-US"/>
              </w:rPr>
              <w:t>Mauna Loa Obs, Hilo, HI</w:t>
            </w:r>
          </w:p>
        </w:tc>
        <w:tc>
          <w:tcPr>
            <w:tcW w:w="998" w:type="dxa"/>
            <w:noWrap/>
            <w:vAlign w:val="center"/>
            <w:hideMark/>
          </w:tcPr>
          <w:p w14:paraId="39F74ADE" w14:textId="77777777" w:rsidR="00F3536C" w:rsidRPr="00A4272B" w:rsidRDefault="00F3536C" w:rsidP="00A41632">
            <w:pPr>
              <w:jc w:val="center"/>
              <w:rPr>
                <w:color w:val="000000"/>
                <w:sz w:val="14"/>
                <w:szCs w:val="14"/>
                <w:lang w:val="en-US"/>
              </w:rPr>
            </w:pPr>
            <w:r w:rsidRPr="00A4272B">
              <w:rPr>
                <w:color w:val="000000"/>
                <w:sz w:val="14"/>
                <w:szCs w:val="14"/>
                <w:lang w:val="en-US"/>
              </w:rPr>
              <w:t>WE37</w:t>
            </w:r>
          </w:p>
        </w:tc>
        <w:tc>
          <w:tcPr>
            <w:tcW w:w="1342" w:type="dxa"/>
            <w:noWrap/>
            <w:vAlign w:val="center"/>
            <w:hideMark/>
          </w:tcPr>
          <w:p w14:paraId="5EFFFD7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DAC9242" w14:textId="77777777" w:rsidR="00F3536C" w:rsidRPr="00A4272B" w:rsidRDefault="00F3536C" w:rsidP="00A41632">
            <w:pPr>
              <w:jc w:val="right"/>
              <w:rPr>
                <w:color w:val="000000"/>
                <w:sz w:val="14"/>
                <w:szCs w:val="14"/>
                <w:lang w:val="en-US"/>
              </w:rPr>
            </w:pPr>
            <w:r w:rsidRPr="00A4272B">
              <w:rPr>
                <w:color w:val="000000"/>
                <w:sz w:val="14"/>
                <w:szCs w:val="14"/>
                <w:lang w:val="en-US"/>
              </w:rPr>
              <w:t>19.540000</w:t>
            </w:r>
          </w:p>
        </w:tc>
        <w:tc>
          <w:tcPr>
            <w:tcW w:w="998" w:type="dxa"/>
            <w:noWrap/>
            <w:vAlign w:val="center"/>
            <w:hideMark/>
          </w:tcPr>
          <w:p w14:paraId="0073AC65" w14:textId="77777777" w:rsidR="00F3536C" w:rsidRPr="00A4272B" w:rsidRDefault="00F3536C" w:rsidP="00A41632">
            <w:pPr>
              <w:jc w:val="right"/>
              <w:rPr>
                <w:color w:val="000000"/>
                <w:sz w:val="14"/>
                <w:szCs w:val="14"/>
                <w:lang w:val="en-US"/>
              </w:rPr>
            </w:pPr>
            <w:r w:rsidRPr="00A4272B">
              <w:rPr>
                <w:color w:val="000000"/>
                <w:sz w:val="14"/>
                <w:szCs w:val="14"/>
                <w:lang w:val="en-US"/>
              </w:rPr>
              <w:t>-155.580000</w:t>
            </w:r>
          </w:p>
        </w:tc>
        <w:tc>
          <w:tcPr>
            <w:tcW w:w="859" w:type="dxa"/>
            <w:tcBorders>
              <w:top w:val="nil"/>
              <w:left w:val="nil"/>
              <w:bottom w:val="nil"/>
              <w:right w:val="single" w:sz="8" w:space="0" w:color="auto"/>
            </w:tcBorders>
            <w:noWrap/>
            <w:vAlign w:val="center"/>
            <w:hideMark/>
          </w:tcPr>
          <w:p w14:paraId="70A95DEE" w14:textId="77777777" w:rsidR="00F3536C" w:rsidRPr="00A4272B" w:rsidRDefault="00F3536C" w:rsidP="00A41632">
            <w:pPr>
              <w:jc w:val="center"/>
              <w:rPr>
                <w:color w:val="000000"/>
                <w:sz w:val="14"/>
                <w:szCs w:val="14"/>
                <w:lang w:val="en-US"/>
              </w:rPr>
            </w:pPr>
            <w:r w:rsidRPr="00A4272B">
              <w:rPr>
                <w:color w:val="000000"/>
                <w:sz w:val="14"/>
                <w:szCs w:val="14"/>
                <w:lang w:val="en-US"/>
              </w:rPr>
              <w:t>3319</w:t>
            </w:r>
          </w:p>
        </w:tc>
        <w:tc>
          <w:tcPr>
            <w:tcW w:w="792" w:type="dxa"/>
            <w:noWrap/>
            <w:vAlign w:val="center"/>
            <w:hideMark/>
          </w:tcPr>
          <w:p w14:paraId="2C8558F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2B3CC1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16A92A3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2C5E2C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C9A328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2923D0A"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135DE8F6" w14:textId="77777777" w:rsidTr="00A41632">
        <w:trPr>
          <w:trHeight w:val="276"/>
          <w:jc w:val="center"/>
        </w:trPr>
        <w:tc>
          <w:tcPr>
            <w:tcW w:w="955" w:type="dxa"/>
            <w:tcBorders>
              <w:top w:val="nil"/>
              <w:left w:val="single" w:sz="8" w:space="0" w:color="auto"/>
              <w:bottom w:val="nil"/>
              <w:right w:val="nil"/>
            </w:tcBorders>
            <w:noWrap/>
            <w:vAlign w:val="center"/>
            <w:hideMark/>
          </w:tcPr>
          <w:p w14:paraId="3EE4D373"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B90B5CC"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299B36D7" w14:textId="77777777" w:rsidR="00F3536C" w:rsidRPr="00A4272B" w:rsidRDefault="00F3536C" w:rsidP="00A41632">
            <w:pPr>
              <w:rPr>
                <w:color w:val="000000"/>
                <w:sz w:val="14"/>
                <w:szCs w:val="14"/>
                <w:lang w:val="en-US"/>
              </w:rPr>
            </w:pPr>
            <w:r w:rsidRPr="00A4272B">
              <w:rPr>
                <w:color w:val="000000"/>
                <w:sz w:val="14"/>
                <w:szCs w:val="14"/>
                <w:lang w:val="en-US"/>
              </w:rPr>
              <w:t>New York City</w:t>
            </w:r>
          </w:p>
        </w:tc>
        <w:tc>
          <w:tcPr>
            <w:tcW w:w="998" w:type="dxa"/>
            <w:noWrap/>
            <w:vAlign w:val="center"/>
            <w:hideMark/>
          </w:tcPr>
          <w:p w14:paraId="4293A6F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3578B81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33BB900" w14:textId="77777777" w:rsidR="00F3536C" w:rsidRPr="00A4272B" w:rsidRDefault="00F3536C" w:rsidP="00A41632">
            <w:pPr>
              <w:jc w:val="right"/>
              <w:rPr>
                <w:color w:val="000000"/>
                <w:sz w:val="14"/>
                <w:szCs w:val="14"/>
                <w:lang w:val="en-US"/>
              </w:rPr>
            </w:pPr>
            <w:r w:rsidRPr="00A4272B">
              <w:rPr>
                <w:color w:val="000000"/>
                <w:sz w:val="14"/>
                <w:szCs w:val="14"/>
                <w:lang w:val="en-US"/>
              </w:rPr>
              <w:t>40.712775</w:t>
            </w:r>
          </w:p>
        </w:tc>
        <w:tc>
          <w:tcPr>
            <w:tcW w:w="998" w:type="dxa"/>
            <w:noWrap/>
            <w:vAlign w:val="center"/>
            <w:hideMark/>
          </w:tcPr>
          <w:p w14:paraId="553522FE" w14:textId="77777777" w:rsidR="00F3536C" w:rsidRPr="00A4272B" w:rsidRDefault="00F3536C" w:rsidP="00A41632">
            <w:pPr>
              <w:jc w:val="right"/>
              <w:rPr>
                <w:color w:val="000000"/>
                <w:sz w:val="14"/>
                <w:szCs w:val="14"/>
                <w:lang w:val="en-US"/>
              </w:rPr>
            </w:pPr>
            <w:r w:rsidRPr="00A4272B">
              <w:rPr>
                <w:color w:val="000000"/>
                <w:sz w:val="14"/>
                <w:szCs w:val="14"/>
                <w:lang w:val="en-US"/>
              </w:rPr>
              <w:t>-74.005973</w:t>
            </w:r>
          </w:p>
        </w:tc>
        <w:tc>
          <w:tcPr>
            <w:tcW w:w="859" w:type="dxa"/>
            <w:tcBorders>
              <w:top w:val="nil"/>
              <w:left w:val="nil"/>
              <w:bottom w:val="nil"/>
              <w:right w:val="single" w:sz="8" w:space="0" w:color="auto"/>
            </w:tcBorders>
            <w:noWrap/>
            <w:vAlign w:val="center"/>
            <w:hideMark/>
          </w:tcPr>
          <w:p w14:paraId="728C5CF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DD8334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A33C47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F05FB3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383B7A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F29B54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E1C00F6"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5872F2D6" w14:textId="77777777" w:rsidTr="00A41632">
        <w:trPr>
          <w:trHeight w:val="276"/>
          <w:jc w:val="center"/>
        </w:trPr>
        <w:tc>
          <w:tcPr>
            <w:tcW w:w="955" w:type="dxa"/>
            <w:tcBorders>
              <w:top w:val="nil"/>
              <w:left w:val="single" w:sz="8" w:space="0" w:color="auto"/>
              <w:bottom w:val="nil"/>
              <w:right w:val="nil"/>
            </w:tcBorders>
            <w:noWrap/>
            <w:vAlign w:val="center"/>
            <w:hideMark/>
          </w:tcPr>
          <w:p w14:paraId="14BEE822"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ADC0DC1"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6708A829" w14:textId="77777777" w:rsidR="00F3536C" w:rsidRPr="00A4272B" w:rsidRDefault="00F3536C" w:rsidP="00A41632">
            <w:pPr>
              <w:rPr>
                <w:color w:val="000000"/>
                <w:sz w:val="14"/>
                <w:szCs w:val="14"/>
                <w:lang w:val="en-US"/>
              </w:rPr>
            </w:pPr>
            <w:r w:rsidRPr="00A4272B">
              <w:rPr>
                <w:color w:val="000000"/>
                <w:sz w:val="14"/>
                <w:szCs w:val="14"/>
                <w:lang w:val="en-US"/>
              </w:rPr>
              <w:t>Point Reyes, CA</w:t>
            </w:r>
          </w:p>
        </w:tc>
        <w:tc>
          <w:tcPr>
            <w:tcW w:w="998" w:type="dxa"/>
            <w:noWrap/>
            <w:vAlign w:val="center"/>
            <w:hideMark/>
          </w:tcPr>
          <w:p w14:paraId="52282142" w14:textId="77777777" w:rsidR="00F3536C" w:rsidRPr="00A4272B" w:rsidRDefault="00F3536C" w:rsidP="00A41632">
            <w:pPr>
              <w:jc w:val="center"/>
              <w:rPr>
                <w:color w:val="000000"/>
                <w:sz w:val="14"/>
                <w:szCs w:val="14"/>
                <w:lang w:val="en-US"/>
              </w:rPr>
            </w:pPr>
            <w:r w:rsidRPr="00A4272B">
              <w:rPr>
                <w:color w:val="000000"/>
                <w:sz w:val="14"/>
                <w:szCs w:val="14"/>
                <w:lang w:val="en-US"/>
              </w:rPr>
              <w:t>WE35</w:t>
            </w:r>
          </w:p>
        </w:tc>
        <w:tc>
          <w:tcPr>
            <w:tcW w:w="1342" w:type="dxa"/>
            <w:noWrap/>
            <w:vAlign w:val="center"/>
            <w:hideMark/>
          </w:tcPr>
          <w:p w14:paraId="6890BE2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3DD0FC8" w14:textId="77777777" w:rsidR="00F3536C" w:rsidRPr="00A4272B" w:rsidRDefault="00F3536C" w:rsidP="00A41632">
            <w:pPr>
              <w:jc w:val="right"/>
              <w:rPr>
                <w:color w:val="000000"/>
                <w:sz w:val="14"/>
                <w:szCs w:val="14"/>
                <w:lang w:val="en-US"/>
              </w:rPr>
            </w:pPr>
            <w:r w:rsidRPr="00A4272B">
              <w:rPr>
                <w:color w:val="000000"/>
                <w:sz w:val="14"/>
                <w:szCs w:val="14"/>
                <w:lang w:val="en-US"/>
              </w:rPr>
              <w:t>38.041550</w:t>
            </w:r>
          </w:p>
        </w:tc>
        <w:tc>
          <w:tcPr>
            <w:tcW w:w="998" w:type="dxa"/>
            <w:noWrap/>
            <w:vAlign w:val="center"/>
            <w:hideMark/>
          </w:tcPr>
          <w:p w14:paraId="22B3250E" w14:textId="77777777" w:rsidR="00F3536C" w:rsidRPr="00A4272B" w:rsidRDefault="00F3536C" w:rsidP="00A41632">
            <w:pPr>
              <w:jc w:val="right"/>
              <w:rPr>
                <w:color w:val="000000"/>
                <w:sz w:val="14"/>
                <w:szCs w:val="14"/>
                <w:lang w:val="en-US"/>
              </w:rPr>
            </w:pPr>
            <w:r w:rsidRPr="00A4272B">
              <w:rPr>
                <w:color w:val="000000"/>
                <w:sz w:val="14"/>
                <w:szCs w:val="14"/>
                <w:lang w:val="en-US"/>
              </w:rPr>
              <w:t>-122.794370</w:t>
            </w:r>
          </w:p>
        </w:tc>
        <w:tc>
          <w:tcPr>
            <w:tcW w:w="859" w:type="dxa"/>
            <w:tcBorders>
              <w:top w:val="nil"/>
              <w:left w:val="nil"/>
              <w:bottom w:val="nil"/>
              <w:right w:val="single" w:sz="8" w:space="0" w:color="auto"/>
            </w:tcBorders>
            <w:noWrap/>
            <w:vAlign w:val="center"/>
            <w:hideMark/>
          </w:tcPr>
          <w:p w14:paraId="4DA142CE" w14:textId="77777777" w:rsidR="00F3536C" w:rsidRPr="00A4272B" w:rsidRDefault="00F3536C" w:rsidP="00A41632">
            <w:pPr>
              <w:jc w:val="center"/>
              <w:rPr>
                <w:color w:val="000000"/>
                <w:sz w:val="14"/>
                <w:szCs w:val="14"/>
                <w:lang w:val="en-US"/>
              </w:rPr>
            </w:pPr>
            <w:r w:rsidRPr="00A4272B">
              <w:rPr>
                <w:color w:val="000000"/>
                <w:sz w:val="14"/>
                <w:szCs w:val="14"/>
                <w:lang w:val="en-US"/>
              </w:rPr>
              <w:t>37</w:t>
            </w:r>
          </w:p>
        </w:tc>
        <w:tc>
          <w:tcPr>
            <w:tcW w:w="792" w:type="dxa"/>
            <w:noWrap/>
            <w:vAlign w:val="center"/>
            <w:hideMark/>
          </w:tcPr>
          <w:p w14:paraId="3E8CC5E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992274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6F9DD9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AB7651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8ADFEC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613961F"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7872F557" w14:textId="77777777" w:rsidTr="00A41632">
        <w:trPr>
          <w:trHeight w:val="276"/>
          <w:jc w:val="center"/>
        </w:trPr>
        <w:tc>
          <w:tcPr>
            <w:tcW w:w="955" w:type="dxa"/>
            <w:tcBorders>
              <w:top w:val="nil"/>
              <w:left w:val="single" w:sz="8" w:space="0" w:color="auto"/>
              <w:bottom w:val="nil"/>
              <w:right w:val="nil"/>
            </w:tcBorders>
            <w:noWrap/>
            <w:vAlign w:val="center"/>
            <w:hideMark/>
          </w:tcPr>
          <w:p w14:paraId="4CDAD1D6"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1B0CD45"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76BF9153" w14:textId="77777777" w:rsidR="00F3536C" w:rsidRPr="00A4272B" w:rsidRDefault="00F3536C" w:rsidP="00A41632">
            <w:pPr>
              <w:rPr>
                <w:color w:val="000000"/>
                <w:sz w:val="14"/>
                <w:szCs w:val="14"/>
                <w:lang w:val="en-US"/>
              </w:rPr>
            </w:pPr>
            <w:r w:rsidRPr="00A4272B">
              <w:rPr>
                <w:color w:val="000000"/>
                <w:sz w:val="14"/>
                <w:szCs w:val="14"/>
                <w:lang w:val="en-US"/>
              </w:rPr>
              <w:t>St. Lawrence Island, AK</w:t>
            </w:r>
          </w:p>
        </w:tc>
        <w:tc>
          <w:tcPr>
            <w:tcW w:w="998" w:type="dxa"/>
            <w:noWrap/>
            <w:vAlign w:val="center"/>
            <w:hideMark/>
          </w:tcPr>
          <w:p w14:paraId="2E372560" w14:textId="77777777" w:rsidR="00F3536C" w:rsidRPr="00A4272B" w:rsidRDefault="00F3536C" w:rsidP="00A41632">
            <w:pPr>
              <w:jc w:val="center"/>
              <w:rPr>
                <w:color w:val="000000"/>
                <w:sz w:val="14"/>
                <w:szCs w:val="14"/>
                <w:lang w:val="en-US"/>
              </w:rPr>
            </w:pPr>
            <w:r w:rsidRPr="00A4272B">
              <w:rPr>
                <w:color w:val="000000"/>
                <w:sz w:val="14"/>
                <w:szCs w:val="14"/>
                <w:lang w:val="en-US"/>
              </w:rPr>
              <w:t>WE03</w:t>
            </w:r>
          </w:p>
        </w:tc>
        <w:tc>
          <w:tcPr>
            <w:tcW w:w="1342" w:type="dxa"/>
            <w:noWrap/>
            <w:vAlign w:val="center"/>
            <w:hideMark/>
          </w:tcPr>
          <w:p w14:paraId="14A1A6F9"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188F62CB" w14:textId="77777777" w:rsidR="00F3536C" w:rsidRPr="00A4272B" w:rsidRDefault="00F3536C" w:rsidP="00A41632">
            <w:pPr>
              <w:jc w:val="right"/>
              <w:rPr>
                <w:color w:val="000000"/>
                <w:sz w:val="14"/>
                <w:szCs w:val="14"/>
                <w:lang w:val="en-US"/>
              </w:rPr>
            </w:pPr>
            <w:r w:rsidRPr="00A4272B">
              <w:rPr>
                <w:color w:val="000000"/>
                <w:sz w:val="14"/>
                <w:szCs w:val="14"/>
                <w:lang w:val="en-US"/>
              </w:rPr>
              <w:t>63.696791</w:t>
            </w:r>
          </w:p>
        </w:tc>
        <w:tc>
          <w:tcPr>
            <w:tcW w:w="998" w:type="dxa"/>
            <w:noWrap/>
            <w:vAlign w:val="center"/>
            <w:hideMark/>
          </w:tcPr>
          <w:p w14:paraId="4FCDD266" w14:textId="77777777" w:rsidR="00F3536C" w:rsidRPr="00A4272B" w:rsidRDefault="00F3536C" w:rsidP="00A41632">
            <w:pPr>
              <w:jc w:val="right"/>
              <w:rPr>
                <w:color w:val="000000"/>
                <w:sz w:val="14"/>
                <w:szCs w:val="14"/>
                <w:lang w:val="en-US"/>
              </w:rPr>
            </w:pPr>
            <w:r w:rsidRPr="00A4272B">
              <w:rPr>
                <w:color w:val="000000"/>
                <w:sz w:val="14"/>
                <w:szCs w:val="14"/>
                <w:lang w:val="en-US"/>
              </w:rPr>
              <w:t>-170.498002</w:t>
            </w:r>
          </w:p>
        </w:tc>
        <w:tc>
          <w:tcPr>
            <w:tcW w:w="859" w:type="dxa"/>
            <w:tcBorders>
              <w:top w:val="nil"/>
              <w:left w:val="nil"/>
              <w:bottom w:val="nil"/>
              <w:right w:val="single" w:sz="8" w:space="0" w:color="auto"/>
            </w:tcBorders>
            <w:noWrap/>
            <w:vAlign w:val="center"/>
            <w:hideMark/>
          </w:tcPr>
          <w:p w14:paraId="260D65ED" w14:textId="77777777" w:rsidR="00F3536C" w:rsidRPr="00A4272B" w:rsidRDefault="00F3536C" w:rsidP="00A41632">
            <w:pPr>
              <w:jc w:val="center"/>
              <w:rPr>
                <w:color w:val="000000"/>
                <w:sz w:val="14"/>
                <w:szCs w:val="14"/>
                <w:lang w:val="en-US"/>
              </w:rPr>
            </w:pPr>
            <w:r w:rsidRPr="00A4272B">
              <w:rPr>
                <w:color w:val="000000"/>
                <w:sz w:val="14"/>
                <w:szCs w:val="14"/>
                <w:lang w:val="en-US"/>
              </w:rPr>
              <w:t>4</w:t>
            </w:r>
          </w:p>
        </w:tc>
        <w:tc>
          <w:tcPr>
            <w:tcW w:w="792" w:type="dxa"/>
            <w:noWrap/>
            <w:vAlign w:val="center"/>
            <w:hideMark/>
          </w:tcPr>
          <w:p w14:paraId="6B0C0AE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80AA5D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B89213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6CC1B5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F41A2B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40BEC3F" w14:textId="77777777" w:rsidR="00F3536C" w:rsidRPr="00A4272B" w:rsidRDefault="00F3536C" w:rsidP="00A41632">
            <w:pPr>
              <w:jc w:val="center"/>
              <w:rPr>
                <w:sz w:val="14"/>
                <w:szCs w:val="14"/>
                <w:lang w:val="en-US"/>
              </w:rPr>
            </w:pPr>
            <w:r w:rsidRPr="00A4272B">
              <w:rPr>
                <w:sz w:val="14"/>
                <w:szCs w:val="14"/>
                <w:lang w:val="en-US"/>
              </w:rPr>
              <w:t>2005</w:t>
            </w:r>
          </w:p>
        </w:tc>
      </w:tr>
      <w:tr w:rsidR="00F3536C" w:rsidRPr="00A4272B" w14:paraId="49D961CD"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6D3AFD3E"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tcBorders>
              <w:top w:val="nil"/>
              <w:left w:val="nil"/>
              <w:bottom w:val="single" w:sz="4" w:space="0" w:color="auto"/>
              <w:right w:val="nil"/>
            </w:tcBorders>
            <w:noWrap/>
            <w:vAlign w:val="center"/>
            <w:hideMark/>
          </w:tcPr>
          <w:p w14:paraId="0B12306F"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tcBorders>
              <w:top w:val="nil"/>
              <w:left w:val="nil"/>
              <w:bottom w:val="single" w:sz="4" w:space="0" w:color="auto"/>
              <w:right w:val="nil"/>
            </w:tcBorders>
            <w:noWrap/>
            <w:vAlign w:val="center"/>
            <w:hideMark/>
          </w:tcPr>
          <w:p w14:paraId="53D8BE02" w14:textId="77777777" w:rsidR="00F3536C" w:rsidRPr="00A4272B" w:rsidRDefault="00F3536C" w:rsidP="00A41632">
            <w:pPr>
              <w:rPr>
                <w:color w:val="000000"/>
                <w:sz w:val="14"/>
                <w:szCs w:val="14"/>
                <w:lang w:val="en-US"/>
              </w:rPr>
            </w:pPr>
            <w:r w:rsidRPr="00A4272B">
              <w:rPr>
                <w:color w:val="000000"/>
                <w:sz w:val="14"/>
                <w:szCs w:val="14"/>
                <w:lang w:val="en-US"/>
              </w:rPr>
              <w:t>Tula, American Samoa</w:t>
            </w:r>
          </w:p>
        </w:tc>
        <w:tc>
          <w:tcPr>
            <w:tcW w:w="998" w:type="dxa"/>
            <w:tcBorders>
              <w:top w:val="nil"/>
              <w:left w:val="nil"/>
              <w:bottom w:val="single" w:sz="4" w:space="0" w:color="auto"/>
              <w:right w:val="nil"/>
            </w:tcBorders>
            <w:noWrap/>
            <w:vAlign w:val="center"/>
            <w:hideMark/>
          </w:tcPr>
          <w:p w14:paraId="3CFE2898" w14:textId="77777777" w:rsidR="00F3536C" w:rsidRPr="00A4272B" w:rsidRDefault="00F3536C" w:rsidP="00A41632">
            <w:pPr>
              <w:jc w:val="center"/>
              <w:rPr>
                <w:color w:val="000000"/>
                <w:sz w:val="14"/>
                <w:szCs w:val="14"/>
                <w:lang w:val="en-US"/>
              </w:rPr>
            </w:pPr>
            <w:r w:rsidRPr="00A4272B">
              <w:rPr>
                <w:color w:val="000000"/>
                <w:sz w:val="14"/>
                <w:szCs w:val="14"/>
                <w:lang w:val="en-US"/>
              </w:rPr>
              <w:t>WE38</w:t>
            </w:r>
          </w:p>
        </w:tc>
        <w:tc>
          <w:tcPr>
            <w:tcW w:w="1342" w:type="dxa"/>
            <w:tcBorders>
              <w:top w:val="nil"/>
              <w:left w:val="nil"/>
              <w:bottom w:val="single" w:sz="4" w:space="0" w:color="auto"/>
              <w:right w:val="nil"/>
            </w:tcBorders>
            <w:noWrap/>
            <w:vAlign w:val="center"/>
            <w:hideMark/>
          </w:tcPr>
          <w:p w14:paraId="7D682F3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nil"/>
              <w:left w:val="nil"/>
              <w:bottom w:val="single" w:sz="4" w:space="0" w:color="auto"/>
              <w:right w:val="nil"/>
            </w:tcBorders>
            <w:noWrap/>
            <w:vAlign w:val="center"/>
            <w:hideMark/>
          </w:tcPr>
          <w:p w14:paraId="20E7AB85" w14:textId="77777777" w:rsidR="00F3536C" w:rsidRPr="00A4272B" w:rsidRDefault="00F3536C" w:rsidP="00A41632">
            <w:pPr>
              <w:jc w:val="right"/>
              <w:rPr>
                <w:color w:val="000000"/>
                <w:sz w:val="14"/>
                <w:szCs w:val="14"/>
                <w:lang w:val="en-US"/>
              </w:rPr>
            </w:pPr>
            <w:r w:rsidRPr="00A4272B">
              <w:rPr>
                <w:color w:val="000000"/>
                <w:sz w:val="14"/>
                <w:szCs w:val="14"/>
                <w:lang w:val="en-US"/>
              </w:rPr>
              <w:t>-14.240000</w:t>
            </w:r>
          </w:p>
        </w:tc>
        <w:tc>
          <w:tcPr>
            <w:tcW w:w="998" w:type="dxa"/>
            <w:tcBorders>
              <w:top w:val="nil"/>
              <w:left w:val="nil"/>
              <w:bottom w:val="single" w:sz="4" w:space="0" w:color="auto"/>
              <w:right w:val="nil"/>
            </w:tcBorders>
            <w:noWrap/>
            <w:vAlign w:val="center"/>
            <w:hideMark/>
          </w:tcPr>
          <w:p w14:paraId="72ABC7AF" w14:textId="77777777" w:rsidR="00F3536C" w:rsidRPr="00A4272B" w:rsidRDefault="00F3536C" w:rsidP="00A41632">
            <w:pPr>
              <w:jc w:val="right"/>
              <w:rPr>
                <w:color w:val="000000"/>
                <w:sz w:val="14"/>
                <w:szCs w:val="14"/>
                <w:lang w:val="en-US"/>
              </w:rPr>
            </w:pPr>
            <w:r w:rsidRPr="00A4272B">
              <w:rPr>
                <w:color w:val="000000"/>
                <w:sz w:val="14"/>
                <w:szCs w:val="14"/>
                <w:lang w:val="en-US"/>
              </w:rPr>
              <w:t>-170.570000</w:t>
            </w:r>
          </w:p>
        </w:tc>
        <w:tc>
          <w:tcPr>
            <w:tcW w:w="859" w:type="dxa"/>
            <w:tcBorders>
              <w:top w:val="nil"/>
              <w:left w:val="nil"/>
              <w:bottom w:val="single" w:sz="4" w:space="0" w:color="auto"/>
              <w:right w:val="single" w:sz="8" w:space="0" w:color="auto"/>
            </w:tcBorders>
            <w:noWrap/>
            <w:vAlign w:val="center"/>
            <w:hideMark/>
          </w:tcPr>
          <w:p w14:paraId="43187185" w14:textId="77777777" w:rsidR="00F3536C" w:rsidRPr="00A4272B" w:rsidRDefault="00F3536C" w:rsidP="00A41632">
            <w:pPr>
              <w:jc w:val="center"/>
              <w:rPr>
                <w:color w:val="000000"/>
                <w:sz w:val="14"/>
                <w:szCs w:val="14"/>
                <w:lang w:val="en-US"/>
              </w:rPr>
            </w:pPr>
            <w:r w:rsidRPr="00A4272B">
              <w:rPr>
                <w:color w:val="000000"/>
                <w:sz w:val="14"/>
                <w:szCs w:val="14"/>
                <w:lang w:val="en-US"/>
              </w:rPr>
              <w:t>42</w:t>
            </w:r>
          </w:p>
        </w:tc>
        <w:tc>
          <w:tcPr>
            <w:tcW w:w="792" w:type="dxa"/>
            <w:tcBorders>
              <w:top w:val="nil"/>
              <w:left w:val="nil"/>
              <w:bottom w:val="single" w:sz="4" w:space="0" w:color="auto"/>
              <w:right w:val="nil"/>
            </w:tcBorders>
            <w:noWrap/>
            <w:vAlign w:val="center"/>
            <w:hideMark/>
          </w:tcPr>
          <w:p w14:paraId="1BC7D95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nil"/>
              <w:left w:val="nil"/>
              <w:bottom w:val="single" w:sz="4" w:space="0" w:color="auto"/>
              <w:right w:val="nil"/>
            </w:tcBorders>
            <w:noWrap/>
            <w:vAlign w:val="center"/>
            <w:hideMark/>
          </w:tcPr>
          <w:p w14:paraId="5CEA29F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nil"/>
              <w:left w:val="nil"/>
              <w:bottom w:val="single" w:sz="4" w:space="0" w:color="auto"/>
              <w:right w:val="nil"/>
            </w:tcBorders>
            <w:noWrap/>
            <w:vAlign w:val="center"/>
            <w:hideMark/>
          </w:tcPr>
          <w:p w14:paraId="1E589B2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nil"/>
              <w:left w:val="nil"/>
              <w:bottom w:val="single" w:sz="4" w:space="0" w:color="auto"/>
              <w:right w:val="nil"/>
            </w:tcBorders>
            <w:noWrap/>
            <w:vAlign w:val="center"/>
            <w:hideMark/>
          </w:tcPr>
          <w:p w14:paraId="484530B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nil"/>
              <w:left w:val="nil"/>
              <w:bottom w:val="single" w:sz="4" w:space="0" w:color="auto"/>
              <w:right w:val="nil"/>
            </w:tcBorders>
            <w:noWrap/>
            <w:vAlign w:val="center"/>
            <w:hideMark/>
          </w:tcPr>
          <w:p w14:paraId="216B890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35744DCC"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2980C015"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3389D562" w14:textId="77777777" w:rsidR="00F3536C" w:rsidRPr="00A4272B" w:rsidRDefault="00F3536C" w:rsidP="00A41632">
            <w:pPr>
              <w:rPr>
                <w:color w:val="000000"/>
                <w:sz w:val="14"/>
                <w:szCs w:val="14"/>
                <w:lang w:val="en-US"/>
              </w:rPr>
            </w:pPr>
            <w:r w:rsidRPr="00A4272B">
              <w:rPr>
                <w:color w:val="000000"/>
                <w:sz w:val="14"/>
                <w:szCs w:val="14"/>
                <w:lang w:val="en-US"/>
              </w:rPr>
              <w:t>GLB</w:t>
            </w:r>
          </w:p>
        </w:tc>
        <w:tc>
          <w:tcPr>
            <w:tcW w:w="1391" w:type="dxa"/>
            <w:tcBorders>
              <w:top w:val="single" w:sz="4" w:space="0" w:color="auto"/>
              <w:left w:val="nil"/>
              <w:bottom w:val="nil"/>
              <w:right w:val="nil"/>
            </w:tcBorders>
            <w:noWrap/>
            <w:vAlign w:val="center"/>
            <w:hideMark/>
          </w:tcPr>
          <w:p w14:paraId="49CBD742"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tcBorders>
              <w:top w:val="single" w:sz="4" w:space="0" w:color="auto"/>
              <w:left w:val="nil"/>
              <w:bottom w:val="nil"/>
              <w:right w:val="nil"/>
            </w:tcBorders>
            <w:noWrap/>
            <w:vAlign w:val="center"/>
            <w:hideMark/>
          </w:tcPr>
          <w:p w14:paraId="2C0DE3D5" w14:textId="77777777" w:rsidR="00F3536C" w:rsidRPr="00A4272B" w:rsidRDefault="00F3536C" w:rsidP="00A41632">
            <w:pPr>
              <w:rPr>
                <w:color w:val="000000"/>
                <w:sz w:val="14"/>
                <w:szCs w:val="14"/>
                <w:lang w:val="en-US"/>
              </w:rPr>
            </w:pPr>
            <w:r w:rsidRPr="00A4272B">
              <w:rPr>
                <w:color w:val="000000"/>
                <w:sz w:val="14"/>
                <w:szCs w:val="14"/>
                <w:lang w:val="en-US"/>
              </w:rPr>
              <w:t>Georgian Bay Island National Park</w:t>
            </w:r>
          </w:p>
        </w:tc>
        <w:tc>
          <w:tcPr>
            <w:tcW w:w="998" w:type="dxa"/>
            <w:tcBorders>
              <w:top w:val="single" w:sz="4" w:space="0" w:color="auto"/>
              <w:left w:val="nil"/>
              <w:bottom w:val="nil"/>
              <w:right w:val="nil"/>
            </w:tcBorders>
            <w:noWrap/>
            <w:vAlign w:val="center"/>
            <w:hideMark/>
          </w:tcPr>
          <w:p w14:paraId="2BEA289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single" w:sz="4" w:space="0" w:color="auto"/>
              <w:left w:val="nil"/>
              <w:bottom w:val="nil"/>
              <w:right w:val="nil"/>
            </w:tcBorders>
            <w:noWrap/>
            <w:vAlign w:val="center"/>
            <w:hideMark/>
          </w:tcPr>
          <w:p w14:paraId="5123E3E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single" w:sz="4" w:space="0" w:color="auto"/>
              <w:left w:val="nil"/>
              <w:bottom w:val="nil"/>
              <w:right w:val="nil"/>
            </w:tcBorders>
            <w:noWrap/>
            <w:vAlign w:val="center"/>
            <w:hideMark/>
          </w:tcPr>
          <w:p w14:paraId="68EACD7D" w14:textId="77777777" w:rsidR="00F3536C" w:rsidRPr="00A4272B" w:rsidRDefault="00F3536C" w:rsidP="00A41632">
            <w:pPr>
              <w:jc w:val="right"/>
              <w:rPr>
                <w:color w:val="000000"/>
                <w:sz w:val="14"/>
                <w:szCs w:val="14"/>
                <w:lang w:val="en-US"/>
              </w:rPr>
            </w:pPr>
            <w:r w:rsidRPr="00A4272B">
              <w:rPr>
                <w:color w:val="000000"/>
                <w:sz w:val="14"/>
                <w:szCs w:val="14"/>
                <w:lang w:val="en-US"/>
              </w:rPr>
              <w:t>44.847700</w:t>
            </w:r>
          </w:p>
        </w:tc>
        <w:tc>
          <w:tcPr>
            <w:tcW w:w="998" w:type="dxa"/>
            <w:tcBorders>
              <w:top w:val="single" w:sz="4" w:space="0" w:color="auto"/>
              <w:left w:val="nil"/>
              <w:bottom w:val="nil"/>
              <w:right w:val="nil"/>
            </w:tcBorders>
            <w:noWrap/>
            <w:vAlign w:val="center"/>
            <w:hideMark/>
          </w:tcPr>
          <w:p w14:paraId="12DA1392" w14:textId="77777777" w:rsidR="00F3536C" w:rsidRPr="00A4272B" w:rsidRDefault="00F3536C" w:rsidP="00A41632">
            <w:pPr>
              <w:jc w:val="right"/>
              <w:rPr>
                <w:color w:val="000000"/>
                <w:sz w:val="14"/>
                <w:szCs w:val="14"/>
                <w:lang w:val="en-US"/>
              </w:rPr>
            </w:pPr>
            <w:r w:rsidRPr="00A4272B">
              <w:rPr>
                <w:color w:val="000000"/>
                <w:sz w:val="14"/>
                <w:szCs w:val="14"/>
                <w:lang w:val="en-US"/>
              </w:rPr>
              <w:t>-79.864300</w:t>
            </w:r>
          </w:p>
        </w:tc>
        <w:tc>
          <w:tcPr>
            <w:tcW w:w="859" w:type="dxa"/>
            <w:tcBorders>
              <w:top w:val="single" w:sz="4" w:space="0" w:color="auto"/>
              <w:left w:val="nil"/>
              <w:bottom w:val="nil"/>
              <w:right w:val="single" w:sz="8" w:space="0" w:color="auto"/>
            </w:tcBorders>
            <w:noWrap/>
            <w:vAlign w:val="center"/>
            <w:hideMark/>
          </w:tcPr>
          <w:p w14:paraId="532D95B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left w:val="nil"/>
              <w:bottom w:val="nil"/>
              <w:right w:val="nil"/>
            </w:tcBorders>
            <w:noWrap/>
            <w:vAlign w:val="center"/>
            <w:hideMark/>
          </w:tcPr>
          <w:p w14:paraId="16D65B5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left w:val="nil"/>
              <w:bottom w:val="nil"/>
              <w:right w:val="nil"/>
            </w:tcBorders>
            <w:noWrap/>
            <w:vAlign w:val="center"/>
            <w:hideMark/>
          </w:tcPr>
          <w:p w14:paraId="387BC13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nil"/>
              <w:right w:val="nil"/>
            </w:tcBorders>
            <w:noWrap/>
            <w:vAlign w:val="center"/>
            <w:hideMark/>
          </w:tcPr>
          <w:p w14:paraId="7EB16C2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left w:val="nil"/>
              <w:bottom w:val="nil"/>
              <w:right w:val="nil"/>
            </w:tcBorders>
            <w:noWrap/>
            <w:vAlign w:val="center"/>
            <w:hideMark/>
          </w:tcPr>
          <w:p w14:paraId="778EB49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single" w:sz="4" w:space="0" w:color="auto"/>
              <w:left w:val="nil"/>
              <w:bottom w:val="nil"/>
              <w:right w:val="nil"/>
            </w:tcBorders>
            <w:noWrap/>
            <w:vAlign w:val="center"/>
            <w:hideMark/>
          </w:tcPr>
          <w:p w14:paraId="38B3B78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single" w:sz="4" w:space="0" w:color="auto"/>
              <w:left w:val="nil"/>
              <w:bottom w:val="nil"/>
              <w:right w:val="single" w:sz="8" w:space="0" w:color="auto"/>
            </w:tcBorders>
            <w:noWrap/>
            <w:vAlign w:val="center"/>
            <w:hideMark/>
          </w:tcPr>
          <w:p w14:paraId="6194EE24"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15A58B98" w14:textId="77777777" w:rsidTr="00A41632">
        <w:trPr>
          <w:trHeight w:val="276"/>
          <w:jc w:val="center"/>
        </w:trPr>
        <w:tc>
          <w:tcPr>
            <w:tcW w:w="955" w:type="dxa"/>
            <w:tcBorders>
              <w:top w:val="nil"/>
              <w:left w:val="single" w:sz="8" w:space="0" w:color="auto"/>
              <w:bottom w:val="nil"/>
              <w:right w:val="nil"/>
            </w:tcBorders>
            <w:noWrap/>
            <w:vAlign w:val="center"/>
            <w:hideMark/>
          </w:tcPr>
          <w:p w14:paraId="4B55B9C6" w14:textId="77777777" w:rsidR="00F3536C" w:rsidRPr="00A4272B" w:rsidRDefault="00F3536C" w:rsidP="00A41632">
            <w:pPr>
              <w:rPr>
                <w:color w:val="000000"/>
                <w:sz w:val="14"/>
                <w:szCs w:val="14"/>
                <w:lang w:val="en-US"/>
              </w:rPr>
            </w:pPr>
            <w:r w:rsidRPr="00A4272B">
              <w:rPr>
                <w:color w:val="000000"/>
                <w:sz w:val="14"/>
                <w:szCs w:val="14"/>
                <w:lang w:val="en-US"/>
              </w:rPr>
              <w:t>GLB</w:t>
            </w:r>
          </w:p>
        </w:tc>
        <w:tc>
          <w:tcPr>
            <w:tcW w:w="1391" w:type="dxa"/>
            <w:noWrap/>
            <w:vAlign w:val="center"/>
            <w:hideMark/>
          </w:tcPr>
          <w:p w14:paraId="32C4BA18"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40240A67" w14:textId="77777777" w:rsidR="00F3536C" w:rsidRPr="00A4272B" w:rsidRDefault="00F3536C" w:rsidP="00A41632">
            <w:pPr>
              <w:rPr>
                <w:color w:val="000000"/>
                <w:sz w:val="14"/>
                <w:szCs w:val="14"/>
                <w:lang w:val="en-US"/>
              </w:rPr>
            </w:pPr>
            <w:r w:rsidRPr="00A4272B">
              <w:rPr>
                <w:color w:val="000000"/>
                <w:sz w:val="14"/>
                <w:szCs w:val="14"/>
                <w:lang w:val="en-US"/>
              </w:rPr>
              <w:t>Gros Cap</w:t>
            </w:r>
          </w:p>
        </w:tc>
        <w:tc>
          <w:tcPr>
            <w:tcW w:w="998" w:type="dxa"/>
            <w:noWrap/>
            <w:vAlign w:val="center"/>
            <w:hideMark/>
          </w:tcPr>
          <w:p w14:paraId="41AFE98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49EF7A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18E7A36" w14:textId="77777777" w:rsidR="00F3536C" w:rsidRPr="00A4272B" w:rsidRDefault="00F3536C" w:rsidP="00A41632">
            <w:pPr>
              <w:jc w:val="right"/>
              <w:rPr>
                <w:color w:val="000000"/>
                <w:sz w:val="14"/>
                <w:szCs w:val="14"/>
                <w:lang w:val="en-US"/>
              </w:rPr>
            </w:pPr>
            <w:r w:rsidRPr="00A4272B">
              <w:rPr>
                <w:color w:val="000000"/>
                <w:sz w:val="14"/>
                <w:szCs w:val="14"/>
                <w:lang w:val="en-US"/>
              </w:rPr>
              <w:t>46.541600</w:t>
            </w:r>
          </w:p>
        </w:tc>
        <w:tc>
          <w:tcPr>
            <w:tcW w:w="998" w:type="dxa"/>
            <w:noWrap/>
            <w:vAlign w:val="center"/>
            <w:hideMark/>
          </w:tcPr>
          <w:p w14:paraId="41F32F3A" w14:textId="77777777" w:rsidR="00F3536C" w:rsidRPr="00A4272B" w:rsidRDefault="00F3536C" w:rsidP="00A41632">
            <w:pPr>
              <w:jc w:val="right"/>
              <w:rPr>
                <w:color w:val="000000"/>
                <w:sz w:val="14"/>
                <w:szCs w:val="14"/>
                <w:lang w:val="en-US"/>
              </w:rPr>
            </w:pPr>
            <w:r w:rsidRPr="00A4272B">
              <w:rPr>
                <w:color w:val="000000"/>
                <w:sz w:val="14"/>
                <w:szCs w:val="14"/>
                <w:lang w:val="en-US"/>
              </w:rPr>
              <w:t>-84.591800</w:t>
            </w:r>
          </w:p>
        </w:tc>
        <w:tc>
          <w:tcPr>
            <w:tcW w:w="859" w:type="dxa"/>
            <w:tcBorders>
              <w:top w:val="nil"/>
              <w:left w:val="nil"/>
              <w:bottom w:val="nil"/>
              <w:right w:val="single" w:sz="8" w:space="0" w:color="auto"/>
            </w:tcBorders>
            <w:noWrap/>
            <w:vAlign w:val="center"/>
            <w:hideMark/>
          </w:tcPr>
          <w:p w14:paraId="2967941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5A9364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7935E23"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B8F4E9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3C6C39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B4A04F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1AD6FC5"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7DB419B6" w14:textId="77777777" w:rsidTr="00A41632">
        <w:trPr>
          <w:trHeight w:val="276"/>
          <w:jc w:val="center"/>
        </w:trPr>
        <w:tc>
          <w:tcPr>
            <w:tcW w:w="955" w:type="dxa"/>
            <w:tcBorders>
              <w:top w:val="nil"/>
              <w:left w:val="single" w:sz="8" w:space="0" w:color="auto"/>
              <w:bottom w:val="nil"/>
              <w:right w:val="nil"/>
            </w:tcBorders>
            <w:noWrap/>
            <w:vAlign w:val="center"/>
            <w:hideMark/>
          </w:tcPr>
          <w:p w14:paraId="0AE91473" w14:textId="77777777" w:rsidR="00F3536C" w:rsidRPr="00A4272B" w:rsidRDefault="00F3536C" w:rsidP="00A41632">
            <w:pPr>
              <w:rPr>
                <w:color w:val="000000"/>
                <w:sz w:val="14"/>
                <w:szCs w:val="14"/>
                <w:lang w:val="en-US"/>
              </w:rPr>
            </w:pPr>
            <w:r w:rsidRPr="00A4272B">
              <w:rPr>
                <w:color w:val="000000"/>
                <w:sz w:val="14"/>
                <w:szCs w:val="14"/>
                <w:lang w:val="en-US"/>
              </w:rPr>
              <w:t>GLB</w:t>
            </w:r>
          </w:p>
        </w:tc>
        <w:tc>
          <w:tcPr>
            <w:tcW w:w="1391" w:type="dxa"/>
            <w:noWrap/>
            <w:vAlign w:val="center"/>
            <w:hideMark/>
          </w:tcPr>
          <w:p w14:paraId="2AC2252B"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7518AE98" w14:textId="77777777" w:rsidR="00F3536C" w:rsidRPr="00A4272B" w:rsidRDefault="00F3536C" w:rsidP="00A41632">
            <w:pPr>
              <w:rPr>
                <w:color w:val="000000"/>
                <w:sz w:val="14"/>
                <w:szCs w:val="14"/>
                <w:lang w:val="en-US"/>
              </w:rPr>
            </w:pPr>
            <w:r w:rsidRPr="00A4272B">
              <w:rPr>
                <w:color w:val="000000"/>
                <w:sz w:val="14"/>
                <w:szCs w:val="14"/>
                <w:lang w:val="en-US"/>
              </w:rPr>
              <w:t>Manitoulin Island/Evansville</w:t>
            </w:r>
          </w:p>
        </w:tc>
        <w:tc>
          <w:tcPr>
            <w:tcW w:w="998" w:type="dxa"/>
            <w:noWrap/>
            <w:vAlign w:val="center"/>
            <w:hideMark/>
          </w:tcPr>
          <w:p w14:paraId="4EEF047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28B1DD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E040443" w14:textId="77777777" w:rsidR="00F3536C" w:rsidRPr="00A4272B" w:rsidRDefault="00F3536C" w:rsidP="00A41632">
            <w:pPr>
              <w:jc w:val="right"/>
              <w:rPr>
                <w:color w:val="000000"/>
                <w:sz w:val="14"/>
                <w:szCs w:val="14"/>
                <w:lang w:val="en-US"/>
              </w:rPr>
            </w:pPr>
            <w:r w:rsidRPr="00A4272B">
              <w:rPr>
                <w:color w:val="000000"/>
                <w:sz w:val="14"/>
                <w:szCs w:val="14"/>
                <w:lang w:val="en-US"/>
              </w:rPr>
              <w:t>45.819300</w:t>
            </w:r>
          </w:p>
        </w:tc>
        <w:tc>
          <w:tcPr>
            <w:tcW w:w="998" w:type="dxa"/>
            <w:noWrap/>
            <w:vAlign w:val="center"/>
            <w:hideMark/>
          </w:tcPr>
          <w:p w14:paraId="2B246BA9" w14:textId="77777777" w:rsidR="00F3536C" w:rsidRPr="00A4272B" w:rsidRDefault="00F3536C" w:rsidP="00A41632">
            <w:pPr>
              <w:jc w:val="right"/>
              <w:rPr>
                <w:color w:val="000000"/>
                <w:sz w:val="14"/>
                <w:szCs w:val="14"/>
                <w:lang w:val="en-US"/>
              </w:rPr>
            </w:pPr>
            <w:r w:rsidRPr="00A4272B">
              <w:rPr>
                <w:color w:val="000000"/>
                <w:sz w:val="14"/>
                <w:szCs w:val="14"/>
                <w:lang w:val="en-US"/>
              </w:rPr>
              <w:t>-82.651500</w:t>
            </w:r>
          </w:p>
        </w:tc>
        <w:tc>
          <w:tcPr>
            <w:tcW w:w="859" w:type="dxa"/>
            <w:tcBorders>
              <w:top w:val="nil"/>
              <w:left w:val="nil"/>
              <w:bottom w:val="nil"/>
              <w:right w:val="single" w:sz="8" w:space="0" w:color="auto"/>
            </w:tcBorders>
            <w:noWrap/>
            <w:vAlign w:val="center"/>
            <w:hideMark/>
          </w:tcPr>
          <w:p w14:paraId="2F430CD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A502A6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078C31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3E1DA6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A842AA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B646FC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721FB57"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6067EEE8" w14:textId="77777777" w:rsidTr="00A41632">
        <w:trPr>
          <w:trHeight w:val="276"/>
          <w:jc w:val="center"/>
        </w:trPr>
        <w:tc>
          <w:tcPr>
            <w:tcW w:w="955" w:type="dxa"/>
            <w:tcBorders>
              <w:top w:val="nil"/>
              <w:left w:val="single" w:sz="8" w:space="0" w:color="auto"/>
              <w:bottom w:val="nil"/>
              <w:right w:val="nil"/>
            </w:tcBorders>
            <w:noWrap/>
            <w:vAlign w:val="center"/>
            <w:hideMark/>
          </w:tcPr>
          <w:p w14:paraId="014B448C" w14:textId="77777777" w:rsidR="00F3536C" w:rsidRPr="00A4272B" w:rsidRDefault="00F3536C" w:rsidP="00A41632">
            <w:pPr>
              <w:rPr>
                <w:color w:val="000000"/>
                <w:sz w:val="14"/>
                <w:szCs w:val="14"/>
                <w:lang w:val="en-US"/>
              </w:rPr>
            </w:pPr>
            <w:r w:rsidRPr="00A4272B">
              <w:rPr>
                <w:color w:val="000000"/>
                <w:sz w:val="14"/>
                <w:szCs w:val="14"/>
                <w:lang w:val="en-US"/>
              </w:rPr>
              <w:t>GLB</w:t>
            </w:r>
          </w:p>
        </w:tc>
        <w:tc>
          <w:tcPr>
            <w:tcW w:w="1391" w:type="dxa"/>
            <w:noWrap/>
            <w:vAlign w:val="center"/>
            <w:hideMark/>
          </w:tcPr>
          <w:p w14:paraId="3F9151DA"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44FDEB5E" w14:textId="77777777" w:rsidR="00F3536C" w:rsidRPr="00A4272B" w:rsidRDefault="00F3536C" w:rsidP="00A41632">
            <w:pPr>
              <w:rPr>
                <w:color w:val="000000"/>
                <w:sz w:val="14"/>
                <w:szCs w:val="14"/>
                <w:lang w:val="en-US"/>
              </w:rPr>
            </w:pPr>
            <w:r w:rsidRPr="00A4272B">
              <w:rPr>
                <w:color w:val="000000"/>
                <w:sz w:val="14"/>
                <w:szCs w:val="14"/>
                <w:lang w:val="en-US"/>
              </w:rPr>
              <w:t>Point Pelee</w:t>
            </w:r>
          </w:p>
        </w:tc>
        <w:tc>
          <w:tcPr>
            <w:tcW w:w="998" w:type="dxa"/>
            <w:noWrap/>
            <w:vAlign w:val="center"/>
            <w:hideMark/>
          </w:tcPr>
          <w:p w14:paraId="5C3B4BE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69DC36E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0326500" w14:textId="77777777" w:rsidR="00F3536C" w:rsidRPr="00A4272B" w:rsidRDefault="00F3536C" w:rsidP="00A41632">
            <w:pPr>
              <w:jc w:val="right"/>
              <w:rPr>
                <w:color w:val="000000"/>
                <w:sz w:val="14"/>
                <w:szCs w:val="14"/>
                <w:lang w:val="en-US"/>
              </w:rPr>
            </w:pPr>
            <w:r w:rsidRPr="00A4272B">
              <w:rPr>
                <w:color w:val="000000"/>
                <w:sz w:val="14"/>
                <w:szCs w:val="14"/>
                <w:lang w:val="en-US"/>
              </w:rPr>
              <w:t>41.966700</w:t>
            </w:r>
          </w:p>
        </w:tc>
        <w:tc>
          <w:tcPr>
            <w:tcW w:w="998" w:type="dxa"/>
            <w:noWrap/>
            <w:vAlign w:val="center"/>
            <w:hideMark/>
          </w:tcPr>
          <w:p w14:paraId="6859963A" w14:textId="77777777" w:rsidR="00F3536C" w:rsidRPr="00A4272B" w:rsidRDefault="00F3536C" w:rsidP="00A41632">
            <w:pPr>
              <w:jc w:val="right"/>
              <w:rPr>
                <w:color w:val="000000"/>
                <w:sz w:val="14"/>
                <w:szCs w:val="14"/>
                <w:lang w:val="en-US"/>
              </w:rPr>
            </w:pPr>
            <w:r w:rsidRPr="00A4272B">
              <w:rPr>
                <w:color w:val="000000"/>
                <w:sz w:val="14"/>
                <w:szCs w:val="14"/>
                <w:lang w:val="en-US"/>
              </w:rPr>
              <w:t>-82.532800</w:t>
            </w:r>
          </w:p>
        </w:tc>
        <w:tc>
          <w:tcPr>
            <w:tcW w:w="859" w:type="dxa"/>
            <w:tcBorders>
              <w:top w:val="nil"/>
              <w:left w:val="nil"/>
              <w:bottom w:val="nil"/>
              <w:right w:val="single" w:sz="8" w:space="0" w:color="auto"/>
            </w:tcBorders>
            <w:noWrap/>
            <w:vAlign w:val="center"/>
            <w:hideMark/>
          </w:tcPr>
          <w:p w14:paraId="4FE5181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2DB2A1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CE9889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62B095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C111BD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7655EB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6EF965A"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1CC981DE" w14:textId="77777777" w:rsidTr="00A41632">
        <w:trPr>
          <w:trHeight w:val="276"/>
          <w:jc w:val="center"/>
        </w:trPr>
        <w:tc>
          <w:tcPr>
            <w:tcW w:w="955" w:type="dxa"/>
            <w:tcBorders>
              <w:top w:val="nil"/>
              <w:left w:val="single" w:sz="8" w:space="0" w:color="auto"/>
              <w:bottom w:val="nil"/>
              <w:right w:val="nil"/>
            </w:tcBorders>
            <w:noWrap/>
            <w:vAlign w:val="center"/>
            <w:hideMark/>
          </w:tcPr>
          <w:p w14:paraId="0E452FFF" w14:textId="77777777" w:rsidR="00F3536C" w:rsidRPr="00A4272B" w:rsidRDefault="00F3536C" w:rsidP="00A41632">
            <w:pPr>
              <w:rPr>
                <w:color w:val="000000"/>
                <w:sz w:val="14"/>
                <w:szCs w:val="14"/>
                <w:lang w:val="en-US"/>
              </w:rPr>
            </w:pPr>
            <w:r w:rsidRPr="00A4272B">
              <w:rPr>
                <w:color w:val="000000"/>
                <w:sz w:val="14"/>
                <w:szCs w:val="14"/>
                <w:lang w:val="en-US"/>
              </w:rPr>
              <w:t>GLB</w:t>
            </w:r>
          </w:p>
        </w:tc>
        <w:tc>
          <w:tcPr>
            <w:tcW w:w="1391" w:type="dxa"/>
            <w:noWrap/>
            <w:vAlign w:val="center"/>
            <w:hideMark/>
          </w:tcPr>
          <w:p w14:paraId="0F4F0AD4"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665F1B8A" w14:textId="77777777" w:rsidR="00F3536C" w:rsidRPr="00A4272B" w:rsidRDefault="00F3536C" w:rsidP="00A41632">
            <w:pPr>
              <w:rPr>
                <w:color w:val="000000"/>
                <w:sz w:val="14"/>
                <w:szCs w:val="14"/>
                <w:lang w:val="en-US"/>
              </w:rPr>
            </w:pPr>
            <w:r w:rsidRPr="00A4272B">
              <w:rPr>
                <w:color w:val="000000"/>
                <w:sz w:val="14"/>
                <w:szCs w:val="14"/>
                <w:lang w:val="en-US"/>
              </w:rPr>
              <w:t>Georgian Bay Island National Park</w:t>
            </w:r>
          </w:p>
        </w:tc>
        <w:tc>
          <w:tcPr>
            <w:tcW w:w="998" w:type="dxa"/>
            <w:noWrap/>
            <w:vAlign w:val="center"/>
            <w:hideMark/>
          </w:tcPr>
          <w:p w14:paraId="69B063A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2EEB2A4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EC192E7" w14:textId="77777777" w:rsidR="00F3536C" w:rsidRPr="00A4272B" w:rsidRDefault="00F3536C" w:rsidP="00A41632">
            <w:pPr>
              <w:jc w:val="right"/>
              <w:rPr>
                <w:color w:val="000000"/>
                <w:sz w:val="14"/>
                <w:szCs w:val="14"/>
                <w:lang w:val="en-US"/>
              </w:rPr>
            </w:pPr>
            <w:r w:rsidRPr="00A4272B">
              <w:rPr>
                <w:color w:val="000000"/>
                <w:sz w:val="14"/>
                <w:szCs w:val="14"/>
                <w:lang w:val="en-US"/>
              </w:rPr>
              <w:t>44.847700</w:t>
            </w:r>
          </w:p>
        </w:tc>
        <w:tc>
          <w:tcPr>
            <w:tcW w:w="998" w:type="dxa"/>
            <w:noWrap/>
            <w:vAlign w:val="center"/>
            <w:hideMark/>
          </w:tcPr>
          <w:p w14:paraId="332D68BB" w14:textId="77777777" w:rsidR="00F3536C" w:rsidRPr="00A4272B" w:rsidRDefault="00F3536C" w:rsidP="00A41632">
            <w:pPr>
              <w:jc w:val="right"/>
              <w:rPr>
                <w:color w:val="000000"/>
                <w:sz w:val="14"/>
                <w:szCs w:val="14"/>
                <w:lang w:val="en-US"/>
              </w:rPr>
            </w:pPr>
            <w:r w:rsidRPr="00A4272B">
              <w:rPr>
                <w:color w:val="000000"/>
                <w:sz w:val="14"/>
                <w:szCs w:val="14"/>
                <w:lang w:val="en-US"/>
              </w:rPr>
              <w:t>-79.864300</w:t>
            </w:r>
          </w:p>
        </w:tc>
        <w:tc>
          <w:tcPr>
            <w:tcW w:w="859" w:type="dxa"/>
            <w:tcBorders>
              <w:top w:val="nil"/>
              <w:left w:val="nil"/>
              <w:bottom w:val="nil"/>
              <w:right w:val="single" w:sz="8" w:space="0" w:color="auto"/>
            </w:tcBorders>
            <w:noWrap/>
            <w:vAlign w:val="center"/>
            <w:hideMark/>
          </w:tcPr>
          <w:p w14:paraId="7017AC5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73B80B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0C5B0BE"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B1A2EB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67EACC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4B5F0C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2E3EB60"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66EDA2FE" w14:textId="77777777" w:rsidTr="00A41632">
        <w:trPr>
          <w:trHeight w:val="276"/>
          <w:jc w:val="center"/>
        </w:trPr>
        <w:tc>
          <w:tcPr>
            <w:tcW w:w="955" w:type="dxa"/>
            <w:tcBorders>
              <w:top w:val="nil"/>
              <w:left w:val="single" w:sz="8" w:space="0" w:color="auto"/>
              <w:bottom w:val="nil"/>
              <w:right w:val="nil"/>
            </w:tcBorders>
            <w:noWrap/>
            <w:vAlign w:val="center"/>
            <w:hideMark/>
          </w:tcPr>
          <w:p w14:paraId="7987D9C4" w14:textId="77777777" w:rsidR="00F3536C" w:rsidRPr="00A4272B" w:rsidRDefault="00F3536C" w:rsidP="00A41632">
            <w:pPr>
              <w:rPr>
                <w:color w:val="000000"/>
                <w:sz w:val="14"/>
                <w:szCs w:val="14"/>
                <w:lang w:val="en-US"/>
              </w:rPr>
            </w:pPr>
            <w:r w:rsidRPr="00A4272B">
              <w:rPr>
                <w:color w:val="000000"/>
                <w:sz w:val="14"/>
                <w:szCs w:val="14"/>
                <w:lang w:val="en-US"/>
              </w:rPr>
              <w:t>GLB</w:t>
            </w:r>
          </w:p>
        </w:tc>
        <w:tc>
          <w:tcPr>
            <w:tcW w:w="1391" w:type="dxa"/>
            <w:noWrap/>
            <w:vAlign w:val="center"/>
            <w:hideMark/>
          </w:tcPr>
          <w:p w14:paraId="6BBA3647"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61C12838" w14:textId="77777777" w:rsidR="00F3536C" w:rsidRPr="00A4272B" w:rsidRDefault="00F3536C" w:rsidP="00A41632">
            <w:pPr>
              <w:rPr>
                <w:color w:val="000000"/>
                <w:sz w:val="14"/>
                <w:szCs w:val="14"/>
                <w:lang w:val="en-US"/>
              </w:rPr>
            </w:pPr>
            <w:r w:rsidRPr="00A4272B">
              <w:rPr>
                <w:color w:val="000000"/>
                <w:sz w:val="14"/>
                <w:szCs w:val="14"/>
                <w:lang w:val="en-US"/>
              </w:rPr>
              <w:t>Gros Cap</w:t>
            </w:r>
          </w:p>
        </w:tc>
        <w:tc>
          <w:tcPr>
            <w:tcW w:w="998" w:type="dxa"/>
            <w:noWrap/>
            <w:vAlign w:val="center"/>
            <w:hideMark/>
          </w:tcPr>
          <w:p w14:paraId="4A30D1D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DF0369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36A61B9" w14:textId="77777777" w:rsidR="00F3536C" w:rsidRPr="00A4272B" w:rsidRDefault="00F3536C" w:rsidP="00A41632">
            <w:pPr>
              <w:jc w:val="right"/>
              <w:rPr>
                <w:color w:val="000000"/>
                <w:sz w:val="14"/>
                <w:szCs w:val="14"/>
                <w:lang w:val="en-US"/>
              </w:rPr>
            </w:pPr>
            <w:r w:rsidRPr="00A4272B">
              <w:rPr>
                <w:color w:val="000000"/>
                <w:sz w:val="14"/>
                <w:szCs w:val="14"/>
                <w:lang w:val="en-US"/>
              </w:rPr>
              <w:t>46.541600</w:t>
            </w:r>
          </w:p>
        </w:tc>
        <w:tc>
          <w:tcPr>
            <w:tcW w:w="998" w:type="dxa"/>
            <w:noWrap/>
            <w:vAlign w:val="center"/>
            <w:hideMark/>
          </w:tcPr>
          <w:p w14:paraId="7333B226" w14:textId="77777777" w:rsidR="00F3536C" w:rsidRPr="00A4272B" w:rsidRDefault="00F3536C" w:rsidP="00A41632">
            <w:pPr>
              <w:jc w:val="right"/>
              <w:rPr>
                <w:color w:val="000000"/>
                <w:sz w:val="14"/>
                <w:szCs w:val="14"/>
                <w:lang w:val="en-US"/>
              </w:rPr>
            </w:pPr>
            <w:r w:rsidRPr="00A4272B">
              <w:rPr>
                <w:color w:val="000000"/>
                <w:sz w:val="14"/>
                <w:szCs w:val="14"/>
                <w:lang w:val="en-US"/>
              </w:rPr>
              <w:t>-84.591800</w:t>
            </w:r>
          </w:p>
        </w:tc>
        <w:tc>
          <w:tcPr>
            <w:tcW w:w="859" w:type="dxa"/>
            <w:tcBorders>
              <w:top w:val="nil"/>
              <w:left w:val="nil"/>
              <w:bottom w:val="nil"/>
              <w:right w:val="single" w:sz="8" w:space="0" w:color="auto"/>
            </w:tcBorders>
            <w:noWrap/>
            <w:vAlign w:val="center"/>
            <w:hideMark/>
          </w:tcPr>
          <w:p w14:paraId="214641A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F50B80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6AF8ACC"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76CBA2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12E68B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C74530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5A21ADE"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590E52F0" w14:textId="77777777" w:rsidTr="00A41632">
        <w:trPr>
          <w:trHeight w:val="276"/>
          <w:jc w:val="center"/>
        </w:trPr>
        <w:tc>
          <w:tcPr>
            <w:tcW w:w="955" w:type="dxa"/>
            <w:tcBorders>
              <w:top w:val="nil"/>
              <w:left w:val="single" w:sz="8" w:space="0" w:color="auto"/>
              <w:bottom w:val="nil"/>
              <w:right w:val="nil"/>
            </w:tcBorders>
            <w:noWrap/>
            <w:vAlign w:val="center"/>
            <w:hideMark/>
          </w:tcPr>
          <w:p w14:paraId="4592DD4A" w14:textId="77777777" w:rsidR="00F3536C" w:rsidRPr="00A4272B" w:rsidRDefault="00F3536C" w:rsidP="00A41632">
            <w:pPr>
              <w:rPr>
                <w:color w:val="000000"/>
                <w:sz w:val="14"/>
                <w:szCs w:val="14"/>
                <w:lang w:val="en-US"/>
              </w:rPr>
            </w:pPr>
            <w:r w:rsidRPr="00A4272B">
              <w:rPr>
                <w:color w:val="000000"/>
                <w:sz w:val="14"/>
                <w:szCs w:val="14"/>
                <w:lang w:val="en-US"/>
              </w:rPr>
              <w:t>GLB</w:t>
            </w:r>
          </w:p>
        </w:tc>
        <w:tc>
          <w:tcPr>
            <w:tcW w:w="1391" w:type="dxa"/>
            <w:noWrap/>
            <w:vAlign w:val="center"/>
            <w:hideMark/>
          </w:tcPr>
          <w:p w14:paraId="2E4032C1"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6FE7EBE7" w14:textId="77777777" w:rsidR="00F3536C" w:rsidRPr="00A4272B" w:rsidRDefault="00F3536C" w:rsidP="00A41632">
            <w:pPr>
              <w:rPr>
                <w:color w:val="000000"/>
                <w:sz w:val="14"/>
                <w:szCs w:val="14"/>
                <w:lang w:val="en-US"/>
              </w:rPr>
            </w:pPr>
            <w:r w:rsidRPr="00A4272B">
              <w:rPr>
                <w:color w:val="000000"/>
                <w:sz w:val="14"/>
                <w:szCs w:val="14"/>
                <w:lang w:val="en-US"/>
              </w:rPr>
              <w:t>Manitoulin Island/Evansville</w:t>
            </w:r>
          </w:p>
        </w:tc>
        <w:tc>
          <w:tcPr>
            <w:tcW w:w="998" w:type="dxa"/>
            <w:noWrap/>
            <w:vAlign w:val="center"/>
            <w:hideMark/>
          </w:tcPr>
          <w:p w14:paraId="2F51FC4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7748C15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D2EA06B" w14:textId="77777777" w:rsidR="00F3536C" w:rsidRPr="00A4272B" w:rsidRDefault="00F3536C" w:rsidP="00A41632">
            <w:pPr>
              <w:jc w:val="right"/>
              <w:rPr>
                <w:color w:val="000000"/>
                <w:sz w:val="14"/>
                <w:szCs w:val="14"/>
                <w:lang w:val="en-US"/>
              </w:rPr>
            </w:pPr>
            <w:r w:rsidRPr="00A4272B">
              <w:rPr>
                <w:color w:val="000000"/>
                <w:sz w:val="14"/>
                <w:szCs w:val="14"/>
                <w:lang w:val="en-US"/>
              </w:rPr>
              <w:t>45.819300</w:t>
            </w:r>
          </w:p>
        </w:tc>
        <w:tc>
          <w:tcPr>
            <w:tcW w:w="998" w:type="dxa"/>
            <w:noWrap/>
            <w:vAlign w:val="center"/>
            <w:hideMark/>
          </w:tcPr>
          <w:p w14:paraId="40CCF320" w14:textId="77777777" w:rsidR="00F3536C" w:rsidRPr="00A4272B" w:rsidRDefault="00F3536C" w:rsidP="00A41632">
            <w:pPr>
              <w:jc w:val="right"/>
              <w:rPr>
                <w:color w:val="000000"/>
                <w:sz w:val="14"/>
                <w:szCs w:val="14"/>
                <w:lang w:val="en-US"/>
              </w:rPr>
            </w:pPr>
            <w:r w:rsidRPr="00A4272B">
              <w:rPr>
                <w:color w:val="000000"/>
                <w:sz w:val="14"/>
                <w:szCs w:val="14"/>
                <w:lang w:val="en-US"/>
              </w:rPr>
              <w:t>-82.651500</w:t>
            </w:r>
          </w:p>
        </w:tc>
        <w:tc>
          <w:tcPr>
            <w:tcW w:w="859" w:type="dxa"/>
            <w:tcBorders>
              <w:top w:val="nil"/>
              <w:left w:val="nil"/>
              <w:bottom w:val="nil"/>
              <w:right w:val="single" w:sz="8" w:space="0" w:color="auto"/>
            </w:tcBorders>
            <w:noWrap/>
            <w:vAlign w:val="center"/>
            <w:hideMark/>
          </w:tcPr>
          <w:p w14:paraId="1197ECB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C60028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A4D4EFA"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2DBC28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3C2C2F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1BE0BE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2DB1054"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4CB1A3CE" w14:textId="77777777" w:rsidTr="00A41632">
        <w:trPr>
          <w:trHeight w:val="276"/>
          <w:jc w:val="center"/>
        </w:trPr>
        <w:tc>
          <w:tcPr>
            <w:tcW w:w="955" w:type="dxa"/>
            <w:tcBorders>
              <w:top w:val="nil"/>
              <w:left w:val="single" w:sz="8" w:space="0" w:color="auto"/>
              <w:bottom w:val="nil"/>
              <w:right w:val="nil"/>
            </w:tcBorders>
            <w:noWrap/>
            <w:vAlign w:val="center"/>
            <w:hideMark/>
          </w:tcPr>
          <w:p w14:paraId="1590ABAA" w14:textId="77777777" w:rsidR="00F3536C" w:rsidRPr="00A4272B" w:rsidRDefault="00F3536C" w:rsidP="00A41632">
            <w:pPr>
              <w:rPr>
                <w:color w:val="000000"/>
                <w:sz w:val="14"/>
                <w:szCs w:val="14"/>
                <w:lang w:val="en-US"/>
              </w:rPr>
            </w:pPr>
            <w:r w:rsidRPr="00A4272B">
              <w:rPr>
                <w:color w:val="000000"/>
                <w:sz w:val="14"/>
                <w:szCs w:val="14"/>
                <w:lang w:val="en-US"/>
              </w:rPr>
              <w:t>GLB</w:t>
            </w:r>
          </w:p>
        </w:tc>
        <w:tc>
          <w:tcPr>
            <w:tcW w:w="1391" w:type="dxa"/>
            <w:noWrap/>
            <w:vAlign w:val="center"/>
            <w:hideMark/>
          </w:tcPr>
          <w:p w14:paraId="6A165081"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751B4418" w14:textId="77777777" w:rsidR="00F3536C" w:rsidRPr="00A4272B" w:rsidRDefault="00F3536C" w:rsidP="00A41632">
            <w:pPr>
              <w:rPr>
                <w:color w:val="000000"/>
                <w:sz w:val="14"/>
                <w:szCs w:val="14"/>
                <w:lang w:val="en-US"/>
              </w:rPr>
            </w:pPr>
            <w:r w:rsidRPr="00A4272B">
              <w:rPr>
                <w:color w:val="000000"/>
                <w:sz w:val="14"/>
                <w:szCs w:val="14"/>
                <w:lang w:val="en-US"/>
              </w:rPr>
              <w:t>Point Pelee</w:t>
            </w:r>
          </w:p>
        </w:tc>
        <w:tc>
          <w:tcPr>
            <w:tcW w:w="998" w:type="dxa"/>
            <w:noWrap/>
            <w:vAlign w:val="center"/>
            <w:hideMark/>
          </w:tcPr>
          <w:p w14:paraId="321047C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359D747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48A6374" w14:textId="77777777" w:rsidR="00F3536C" w:rsidRPr="00A4272B" w:rsidRDefault="00F3536C" w:rsidP="00A41632">
            <w:pPr>
              <w:jc w:val="right"/>
              <w:rPr>
                <w:color w:val="000000"/>
                <w:sz w:val="14"/>
                <w:szCs w:val="14"/>
                <w:lang w:val="en-US"/>
              </w:rPr>
            </w:pPr>
            <w:r w:rsidRPr="00A4272B">
              <w:rPr>
                <w:color w:val="000000"/>
                <w:sz w:val="14"/>
                <w:szCs w:val="14"/>
                <w:lang w:val="en-US"/>
              </w:rPr>
              <w:t>41.966700</w:t>
            </w:r>
          </w:p>
        </w:tc>
        <w:tc>
          <w:tcPr>
            <w:tcW w:w="998" w:type="dxa"/>
            <w:noWrap/>
            <w:vAlign w:val="center"/>
            <w:hideMark/>
          </w:tcPr>
          <w:p w14:paraId="7C1651FF" w14:textId="77777777" w:rsidR="00F3536C" w:rsidRPr="00A4272B" w:rsidRDefault="00F3536C" w:rsidP="00A41632">
            <w:pPr>
              <w:jc w:val="right"/>
              <w:rPr>
                <w:color w:val="000000"/>
                <w:sz w:val="14"/>
                <w:szCs w:val="14"/>
                <w:lang w:val="en-US"/>
              </w:rPr>
            </w:pPr>
            <w:r w:rsidRPr="00A4272B">
              <w:rPr>
                <w:color w:val="000000"/>
                <w:sz w:val="14"/>
                <w:szCs w:val="14"/>
                <w:lang w:val="en-US"/>
              </w:rPr>
              <w:t>-82.532800</w:t>
            </w:r>
          </w:p>
        </w:tc>
        <w:tc>
          <w:tcPr>
            <w:tcW w:w="859" w:type="dxa"/>
            <w:tcBorders>
              <w:top w:val="nil"/>
              <w:left w:val="nil"/>
              <w:bottom w:val="nil"/>
              <w:right w:val="single" w:sz="8" w:space="0" w:color="auto"/>
            </w:tcBorders>
            <w:noWrap/>
            <w:vAlign w:val="center"/>
            <w:hideMark/>
          </w:tcPr>
          <w:p w14:paraId="7F54A36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D0D01A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704504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B88CF6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A8A1FF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FF9871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2BFA1DE"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4770B282" w14:textId="77777777" w:rsidTr="00A41632">
        <w:trPr>
          <w:trHeight w:val="276"/>
          <w:jc w:val="center"/>
        </w:trPr>
        <w:tc>
          <w:tcPr>
            <w:tcW w:w="955" w:type="dxa"/>
            <w:tcBorders>
              <w:top w:val="nil"/>
              <w:left w:val="single" w:sz="8" w:space="0" w:color="auto"/>
              <w:bottom w:val="nil"/>
              <w:right w:val="nil"/>
            </w:tcBorders>
            <w:noWrap/>
            <w:vAlign w:val="center"/>
            <w:hideMark/>
          </w:tcPr>
          <w:p w14:paraId="55E5EDBA" w14:textId="77777777" w:rsidR="00F3536C" w:rsidRPr="00A4272B" w:rsidRDefault="00F3536C" w:rsidP="00A41632">
            <w:pPr>
              <w:rPr>
                <w:color w:val="000000"/>
                <w:sz w:val="14"/>
                <w:szCs w:val="14"/>
                <w:lang w:val="en-US"/>
              </w:rPr>
            </w:pPr>
            <w:r w:rsidRPr="00A4272B">
              <w:rPr>
                <w:color w:val="000000"/>
                <w:sz w:val="14"/>
                <w:szCs w:val="14"/>
                <w:lang w:val="en-US"/>
              </w:rPr>
              <w:t>GLB/IADN</w:t>
            </w:r>
          </w:p>
        </w:tc>
        <w:tc>
          <w:tcPr>
            <w:tcW w:w="1391" w:type="dxa"/>
            <w:noWrap/>
            <w:vAlign w:val="center"/>
            <w:hideMark/>
          </w:tcPr>
          <w:p w14:paraId="70DDD4E1"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093CB38D" w14:textId="77777777" w:rsidR="00F3536C" w:rsidRPr="00A4272B" w:rsidRDefault="00F3536C" w:rsidP="00A41632">
            <w:pPr>
              <w:rPr>
                <w:color w:val="000000"/>
                <w:sz w:val="14"/>
                <w:szCs w:val="14"/>
                <w:lang w:val="en-US"/>
              </w:rPr>
            </w:pPr>
            <w:r w:rsidRPr="00A4272B">
              <w:rPr>
                <w:color w:val="000000"/>
                <w:sz w:val="14"/>
                <w:szCs w:val="14"/>
                <w:lang w:val="en-US"/>
              </w:rPr>
              <w:t>Point Petre</w:t>
            </w:r>
          </w:p>
        </w:tc>
        <w:tc>
          <w:tcPr>
            <w:tcW w:w="998" w:type="dxa"/>
            <w:noWrap/>
            <w:vAlign w:val="center"/>
            <w:hideMark/>
          </w:tcPr>
          <w:p w14:paraId="78C0ECC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C489637"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27B782A4" w14:textId="77777777" w:rsidR="00F3536C" w:rsidRPr="00A4272B" w:rsidRDefault="00F3536C" w:rsidP="00A41632">
            <w:pPr>
              <w:jc w:val="right"/>
              <w:rPr>
                <w:color w:val="000000"/>
                <w:sz w:val="14"/>
                <w:szCs w:val="14"/>
                <w:lang w:val="en-US"/>
              </w:rPr>
            </w:pPr>
            <w:r w:rsidRPr="00A4272B">
              <w:rPr>
                <w:color w:val="000000"/>
                <w:sz w:val="14"/>
                <w:szCs w:val="14"/>
                <w:lang w:val="en-US"/>
              </w:rPr>
              <w:t>43.833300</w:t>
            </w:r>
          </w:p>
        </w:tc>
        <w:tc>
          <w:tcPr>
            <w:tcW w:w="998" w:type="dxa"/>
            <w:noWrap/>
            <w:vAlign w:val="center"/>
            <w:hideMark/>
          </w:tcPr>
          <w:p w14:paraId="461B8C11" w14:textId="77777777" w:rsidR="00F3536C" w:rsidRPr="00A4272B" w:rsidRDefault="00F3536C" w:rsidP="00A41632">
            <w:pPr>
              <w:jc w:val="right"/>
              <w:rPr>
                <w:color w:val="000000"/>
                <w:sz w:val="14"/>
                <w:szCs w:val="14"/>
                <w:lang w:val="en-US"/>
              </w:rPr>
            </w:pPr>
            <w:r w:rsidRPr="00A4272B">
              <w:rPr>
                <w:color w:val="000000"/>
                <w:sz w:val="14"/>
                <w:szCs w:val="14"/>
                <w:lang w:val="en-US"/>
              </w:rPr>
              <w:t>-77.150000</w:t>
            </w:r>
          </w:p>
        </w:tc>
        <w:tc>
          <w:tcPr>
            <w:tcW w:w="859" w:type="dxa"/>
            <w:tcBorders>
              <w:top w:val="nil"/>
              <w:left w:val="nil"/>
              <w:bottom w:val="nil"/>
              <w:right w:val="single" w:sz="8" w:space="0" w:color="auto"/>
            </w:tcBorders>
            <w:noWrap/>
            <w:vAlign w:val="center"/>
            <w:hideMark/>
          </w:tcPr>
          <w:p w14:paraId="29D954C0" w14:textId="77777777" w:rsidR="00F3536C" w:rsidRPr="00A4272B" w:rsidRDefault="00F3536C" w:rsidP="00A41632">
            <w:pPr>
              <w:jc w:val="center"/>
              <w:rPr>
                <w:color w:val="000000"/>
                <w:sz w:val="14"/>
                <w:szCs w:val="14"/>
                <w:lang w:val="en-US"/>
              </w:rPr>
            </w:pPr>
            <w:r w:rsidRPr="00A4272B">
              <w:rPr>
                <w:color w:val="000000"/>
                <w:sz w:val="14"/>
                <w:szCs w:val="14"/>
                <w:lang w:val="en-US"/>
              </w:rPr>
              <w:t>78</w:t>
            </w:r>
          </w:p>
        </w:tc>
        <w:tc>
          <w:tcPr>
            <w:tcW w:w="792" w:type="dxa"/>
            <w:noWrap/>
            <w:vAlign w:val="center"/>
            <w:hideMark/>
          </w:tcPr>
          <w:p w14:paraId="119504CC"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1CE5BEA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4D0F85F" w14:textId="77777777" w:rsidR="00F3536C" w:rsidRPr="00A4272B" w:rsidRDefault="00F3536C" w:rsidP="00A41632">
            <w:pPr>
              <w:jc w:val="center"/>
              <w:rPr>
                <w:color w:val="000000"/>
                <w:sz w:val="14"/>
                <w:szCs w:val="14"/>
                <w:lang w:val="en-US"/>
              </w:rPr>
            </w:pPr>
            <w:r w:rsidRPr="00A4272B">
              <w:rPr>
                <w:color w:val="000000"/>
                <w:sz w:val="14"/>
                <w:szCs w:val="14"/>
                <w:lang w:val="en-US"/>
              </w:rPr>
              <w:t>~350 m³/d</w:t>
            </w:r>
          </w:p>
        </w:tc>
        <w:tc>
          <w:tcPr>
            <w:tcW w:w="831" w:type="dxa"/>
            <w:noWrap/>
            <w:vAlign w:val="center"/>
            <w:hideMark/>
          </w:tcPr>
          <w:p w14:paraId="4FD52236" w14:textId="77777777" w:rsidR="00F3536C" w:rsidRPr="00A4272B" w:rsidRDefault="00F3536C" w:rsidP="00A41632">
            <w:pPr>
              <w:jc w:val="center"/>
              <w:rPr>
                <w:color w:val="000000"/>
                <w:sz w:val="14"/>
                <w:szCs w:val="14"/>
                <w:lang w:val="en-US"/>
              </w:rPr>
            </w:pPr>
            <w:r w:rsidRPr="00A4272B">
              <w:rPr>
                <w:color w:val="000000"/>
                <w:sz w:val="14"/>
                <w:szCs w:val="14"/>
                <w:lang w:val="en-US"/>
              </w:rPr>
              <w:t>24 hr</w:t>
            </w:r>
          </w:p>
        </w:tc>
        <w:tc>
          <w:tcPr>
            <w:tcW w:w="924" w:type="dxa"/>
            <w:noWrap/>
            <w:vAlign w:val="center"/>
            <w:hideMark/>
          </w:tcPr>
          <w:p w14:paraId="3E8E5951" w14:textId="77777777" w:rsidR="00F3536C" w:rsidRPr="00A4272B" w:rsidRDefault="00F3536C" w:rsidP="00A41632">
            <w:pPr>
              <w:jc w:val="center"/>
              <w:rPr>
                <w:color w:val="000000"/>
                <w:sz w:val="14"/>
                <w:szCs w:val="14"/>
                <w:lang w:val="en-US"/>
              </w:rPr>
            </w:pPr>
            <w:r w:rsidRPr="00A4272B">
              <w:rPr>
                <w:color w:val="000000"/>
                <w:sz w:val="14"/>
                <w:szCs w:val="14"/>
                <w:lang w:val="en-US"/>
              </w:rPr>
              <w:t>36 days</w:t>
            </w:r>
          </w:p>
        </w:tc>
        <w:tc>
          <w:tcPr>
            <w:tcW w:w="612" w:type="dxa"/>
            <w:tcBorders>
              <w:top w:val="nil"/>
              <w:left w:val="nil"/>
              <w:bottom w:val="nil"/>
              <w:right w:val="single" w:sz="8" w:space="0" w:color="auto"/>
            </w:tcBorders>
            <w:noWrap/>
            <w:vAlign w:val="center"/>
            <w:hideMark/>
          </w:tcPr>
          <w:p w14:paraId="7605613F" w14:textId="77777777" w:rsidR="00F3536C" w:rsidRPr="00A4272B" w:rsidRDefault="00F3536C" w:rsidP="00A41632">
            <w:pPr>
              <w:jc w:val="center"/>
              <w:rPr>
                <w:sz w:val="14"/>
                <w:szCs w:val="14"/>
                <w:lang w:val="en-US"/>
              </w:rPr>
            </w:pPr>
            <w:r w:rsidRPr="00A4272B">
              <w:rPr>
                <w:sz w:val="14"/>
                <w:szCs w:val="14"/>
                <w:lang w:val="en-US"/>
              </w:rPr>
              <w:t>1992</w:t>
            </w:r>
          </w:p>
        </w:tc>
      </w:tr>
      <w:tr w:rsidR="00F3536C" w:rsidRPr="00A4272B" w14:paraId="74AB6F53" w14:textId="77777777" w:rsidTr="00A41632">
        <w:trPr>
          <w:trHeight w:val="276"/>
          <w:jc w:val="center"/>
        </w:trPr>
        <w:tc>
          <w:tcPr>
            <w:tcW w:w="955" w:type="dxa"/>
            <w:tcBorders>
              <w:top w:val="nil"/>
              <w:left w:val="single" w:sz="8" w:space="0" w:color="auto"/>
              <w:bottom w:val="nil"/>
              <w:right w:val="nil"/>
            </w:tcBorders>
            <w:noWrap/>
            <w:vAlign w:val="center"/>
            <w:hideMark/>
          </w:tcPr>
          <w:p w14:paraId="497D128C" w14:textId="77777777" w:rsidR="00F3536C" w:rsidRPr="00A4272B" w:rsidRDefault="00F3536C" w:rsidP="00A41632">
            <w:pPr>
              <w:rPr>
                <w:color w:val="000000"/>
                <w:sz w:val="14"/>
                <w:szCs w:val="14"/>
                <w:lang w:val="en-US"/>
              </w:rPr>
            </w:pPr>
            <w:r w:rsidRPr="00A4272B">
              <w:rPr>
                <w:color w:val="000000"/>
                <w:sz w:val="14"/>
                <w:szCs w:val="14"/>
                <w:lang w:val="en-US"/>
              </w:rPr>
              <w:t>IADN</w:t>
            </w:r>
          </w:p>
        </w:tc>
        <w:tc>
          <w:tcPr>
            <w:tcW w:w="1391" w:type="dxa"/>
            <w:noWrap/>
            <w:vAlign w:val="center"/>
            <w:hideMark/>
          </w:tcPr>
          <w:p w14:paraId="5E3D5F39"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737AE9CB" w14:textId="77777777" w:rsidR="00F3536C" w:rsidRPr="00A4272B" w:rsidRDefault="00F3536C" w:rsidP="00A41632">
            <w:pPr>
              <w:rPr>
                <w:color w:val="000000"/>
                <w:sz w:val="14"/>
                <w:szCs w:val="14"/>
                <w:lang w:val="en-US"/>
              </w:rPr>
            </w:pPr>
            <w:r w:rsidRPr="00A4272B">
              <w:rPr>
                <w:color w:val="000000"/>
                <w:sz w:val="14"/>
                <w:szCs w:val="14"/>
                <w:lang w:val="en-US"/>
              </w:rPr>
              <w:t>Chicago</w:t>
            </w:r>
          </w:p>
        </w:tc>
        <w:tc>
          <w:tcPr>
            <w:tcW w:w="998" w:type="dxa"/>
            <w:noWrap/>
            <w:vAlign w:val="center"/>
            <w:hideMark/>
          </w:tcPr>
          <w:p w14:paraId="4D67F3A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27FB1E84"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67CE876A" w14:textId="77777777" w:rsidR="00F3536C" w:rsidRPr="00A4272B" w:rsidRDefault="00F3536C" w:rsidP="00A41632">
            <w:pPr>
              <w:jc w:val="right"/>
              <w:rPr>
                <w:color w:val="000000"/>
                <w:sz w:val="14"/>
                <w:szCs w:val="14"/>
                <w:lang w:val="en-US"/>
              </w:rPr>
            </w:pPr>
            <w:r w:rsidRPr="00A4272B">
              <w:rPr>
                <w:color w:val="000000"/>
                <w:sz w:val="14"/>
                <w:szCs w:val="14"/>
                <w:lang w:val="en-US"/>
              </w:rPr>
              <w:t>41.834400</w:t>
            </w:r>
          </w:p>
        </w:tc>
        <w:tc>
          <w:tcPr>
            <w:tcW w:w="998" w:type="dxa"/>
            <w:noWrap/>
            <w:vAlign w:val="center"/>
            <w:hideMark/>
          </w:tcPr>
          <w:p w14:paraId="792DE910" w14:textId="77777777" w:rsidR="00F3536C" w:rsidRPr="00A4272B" w:rsidRDefault="00F3536C" w:rsidP="00A41632">
            <w:pPr>
              <w:jc w:val="right"/>
              <w:rPr>
                <w:color w:val="000000"/>
                <w:sz w:val="14"/>
                <w:szCs w:val="14"/>
                <w:lang w:val="en-US"/>
              </w:rPr>
            </w:pPr>
            <w:r w:rsidRPr="00A4272B">
              <w:rPr>
                <w:color w:val="000000"/>
                <w:sz w:val="14"/>
                <w:szCs w:val="14"/>
                <w:lang w:val="en-US"/>
              </w:rPr>
              <w:t>-87.624720</w:t>
            </w:r>
          </w:p>
        </w:tc>
        <w:tc>
          <w:tcPr>
            <w:tcW w:w="859" w:type="dxa"/>
            <w:tcBorders>
              <w:top w:val="nil"/>
              <w:left w:val="nil"/>
              <w:bottom w:val="nil"/>
              <w:right w:val="single" w:sz="8" w:space="0" w:color="auto"/>
            </w:tcBorders>
            <w:noWrap/>
            <w:vAlign w:val="center"/>
            <w:hideMark/>
          </w:tcPr>
          <w:p w14:paraId="7152F8CE" w14:textId="77777777" w:rsidR="00F3536C" w:rsidRPr="00A4272B" w:rsidRDefault="00F3536C" w:rsidP="00A41632">
            <w:pPr>
              <w:jc w:val="center"/>
              <w:rPr>
                <w:color w:val="000000"/>
                <w:sz w:val="14"/>
                <w:szCs w:val="14"/>
                <w:lang w:val="en-US"/>
              </w:rPr>
            </w:pPr>
            <w:r w:rsidRPr="00A4272B">
              <w:rPr>
                <w:color w:val="000000"/>
                <w:sz w:val="14"/>
                <w:szCs w:val="14"/>
                <w:lang w:val="en-US"/>
              </w:rPr>
              <w:t>199</w:t>
            </w:r>
          </w:p>
        </w:tc>
        <w:tc>
          <w:tcPr>
            <w:tcW w:w="792" w:type="dxa"/>
            <w:noWrap/>
            <w:vAlign w:val="center"/>
            <w:hideMark/>
          </w:tcPr>
          <w:p w14:paraId="171FE98E"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3E4FA3A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0465148" w14:textId="77777777" w:rsidR="00F3536C" w:rsidRPr="00A4272B" w:rsidRDefault="00F3536C" w:rsidP="00A41632">
            <w:pPr>
              <w:jc w:val="center"/>
              <w:rPr>
                <w:color w:val="000000"/>
                <w:sz w:val="14"/>
                <w:szCs w:val="14"/>
                <w:lang w:val="en-US"/>
              </w:rPr>
            </w:pPr>
            <w:r w:rsidRPr="00A4272B">
              <w:rPr>
                <w:color w:val="000000"/>
                <w:sz w:val="14"/>
                <w:szCs w:val="14"/>
                <w:lang w:val="en-US"/>
              </w:rPr>
              <w:t>~815 m³/d</w:t>
            </w:r>
          </w:p>
        </w:tc>
        <w:tc>
          <w:tcPr>
            <w:tcW w:w="831" w:type="dxa"/>
            <w:noWrap/>
            <w:vAlign w:val="center"/>
            <w:hideMark/>
          </w:tcPr>
          <w:p w14:paraId="74A8E42F" w14:textId="77777777" w:rsidR="00F3536C" w:rsidRPr="00A4272B" w:rsidRDefault="00F3536C" w:rsidP="00A41632">
            <w:pPr>
              <w:jc w:val="center"/>
              <w:rPr>
                <w:color w:val="000000"/>
                <w:sz w:val="14"/>
                <w:szCs w:val="14"/>
                <w:lang w:val="en-US"/>
              </w:rPr>
            </w:pPr>
            <w:r w:rsidRPr="00A4272B">
              <w:rPr>
                <w:color w:val="000000"/>
                <w:sz w:val="14"/>
                <w:szCs w:val="14"/>
                <w:lang w:val="en-US"/>
              </w:rPr>
              <w:t>24 hr</w:t>
            </w:r>
          </w:p>
        </w:tc>
        <w:tc>
          <w:tcPr>
            <w:tcW w:w="924" w:type="dxa"/>
            <w:noWrap/>
            <w:vAlign w:val="center"/>
            <w:hideMark/>
          </w:tcPr>
          <w:p w14:paraId="0E46E5A6" w14:textId="77777777" w:rsidR="00F3536C" w:rsidRPr="00A4272B" w:rsidRDefault="00F3536C" w:rsidP="00A41632">
            <w:pPr>
              <w:jc w:val="center"/>
              <w:rPr>
                <w:color w:val="000000"/>
                <w:sz w:val="14"/>
                <w:szCs w:val="14"/>
                <w:lang w:val="en-US"/>
              </w:rPr>
            </w:pPr>
            <w:r w:rsidRPr="00A4272B">
              <w:rPr>
                <w:color w:val="000000"/>
                <w:sz w:val="14"/>
                <w:szCs w:val="14"/>
                <w:lang w:val="en-US"/>
              </w:rPr>
              <w:t>12 days</w:t>
            </w:r>
          </w:p>
        </w:tc>
        <w:tc>
          <w:tcPr>
            <w:tcW w:w="612" w:type="dxa"/>
            <w:tcBorders>
              <w:top w:val="nil"/>
              <w:left w:val="nil"/>
              <w:bottom w:val="nil"/>
              <w:right w:val="single" w:sz="8" w:space="0" w:color="auto"/>
            </w:tcBorders>
            <w:noWrap/>
            <w:vAlign w:val="center"/>
            <w:hideMark/>
          </w:tcPr>
          <w:p w14:paraId="50E4CD79" w14:textId="77777777" w:rsidR="00F3536C" w:rsidRPr="00A4272B" w:rsidRDefault="00F3536C" w:rsidP="00A41632">
            <w:pPr>
              <w:jc w:val="center"/>
              <w:rPr>
                <w:sz w:val="14"/>
                <w:szCs w:val="14"/>
                <w:lang w:val="en-US"/>
              </w:rPr>
            </w:pPr>
            <w:r w:rsidRPr="00A4272B">
              <w:rPr>
                <w:sz w:val="14"/>
                <w:szCs w:val="14"/>
                <w:lang w:val="en-US"/>
              </w:rPr>
              <w:t>1996</w:t>
            </w:r>
          </w:p>
        </w:tc>
      </w:tr>
      <w:tr w:rsidR="00F3536C" w:rsidRPr="00A4272B" w14:paraId="093521D7" w14:textId="77777777" w:rsidTr="00A41632">
        <w:trPr>
          <w:trHeight w:val="276"/>
          <w:jc w:val="center"/>
        </w:trPr>
        <w:tc>
          <w:tcPr>
            <w:tcW w:w="955" w:type="dxa"/>
            <w:tcBorders>
              <w:top w:val="nil"/>
              <w:left w:val="single" w:sz="8" w:space="0" w:color="auto"/>
              <w:bottom w:val="nil"/>
              <w:right w:val="nil"/>
            </w:tcBorders>
            <w:noWrap/>
            <w:vAlign w:val="center"/>
            <w:hideMark/>
          </w:tcPr>
          <w:p w14:paraId="6FDAB138" w14:textId="77777777" w:rsidR="00F3536C" w:rsidRPr="00A4272B" w:rsidRDefault="00F3536C" w:rsidP="00A41632">
            <w:pPr>
              <w:rPr>
                <w:color w:val="000000"/>
                <w:sz w:val="14"/>
                <w:szCs w:val="14"/>
                <w:lang w:val="en-US"/>
              </w:rPr>
            </w:pPr>
            <w:r w:rsidRPr="00A4272B">
              <w:rPr>
                <w:color w:val="000000"/>
                <w:sz w:val="14"/>
                <w:szCs w:val="14"/>
                <w:lang w:val="en-US"/>
              </w:rPr>
              <w:t>IADN</w:t>
            </w:r>
          </w:p>
        </w:tc>
        <w:tc>
          <w:tcPr>
            <w:tcW w:w="1391" w:type="dxa"/>
            <w:noWrap/>
            <w:vAlign w:val="center"/>
            <w:hideMark/>
          </w:tcPr>
          <w:p w14:paraId="33CDAB1A"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7429E4BA" w14:textId="77777777" w:rsidR="00F3536C" w:rsidRPr="00A4272B" w:rsidRDefault="00F3536C" w:rsidP="00A41632">
            <w:pPr>
              <w:rPr>
                <w:color w:val="000000"/>
                <w:sz w:val="14"/>
                <w:szCs w:val="14"/>
                <w:lang w:val="en-US"/>
              </w:rPr>
            </w:pPr>
            <w:r w:rsidRPr="00A4272B">
              <w:rPr>
                <w:color w:val="000000"/>
                <w:sz w:val="14"/>
                <w:szCs w:val="14"/>
                <w:lang w:val="en-US"/>
              </w:rPr>
              <w:t>Cleveland</w:t>
            </w:r>
          </w:p>
        </w:tc>
        <w:tc>
          <w:tcPr>
            <w:tcW w:w="998" w:type="dxa"/>
            <w:noWrap/>
            <w:vAlign w:val="center"/>
            <w:hideMark/>
          </w:tcPr>
          <w:p w14:paraId="06389D1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4EE8BCA"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0E758C78" w14:textId="77777777" w:rsidR="00F3536C" w:rsidRPr="00A4272B" w:rsidRDefault="00F3536C" w:rsidP="00A41632">
            <w:pPr>
              <w:jc w:val="right"/>
              <w:rPr>
                <w:color w:val="000000"/>
                <w:sz w:val="14"/>
                <w:szCs w:val="14"/>
                <w:lang w:val="en-US"/>
              </w:rPr>
            </w:pPr>
            <w:r w:rsidRPr="00A4272B">
              <w:rPr>
                <w:color w:val="000000"/>
                <w:sz w:val="14"/>
                <w:szCs w:val="14"/>
                <w:lang w:val="en-US"/>
              </w:rPr>
              <w:t>41.492100</w:t>
            </w:r>
          </w:p>
        </w:tc>
        <w:tc>
          <w:tcPr>
            <w:tcW w:w="998" w:type="dxa"/>
            <w:noWrap/>
            <w:vAlign w:val="center"/>
            <w:hideMark/>
          </w:tcPr>
          <w:p w14:paraId="4E9A8107" w14:textId="77777777" w:rsidR="00F3536C" w:rsidRPr="00A4272B" w:rsidRDefault="00F3536C" w:rsidP="00A41632">
            <w:pPr>
              <w:jc w:val="right"/>
              <w:rPr>
                <w:color w:val="000000"/>
                <w:sz w:val="14"/>
                <w:szCs w:val="14"/>
                <w:lang w:val="en-US"/>
              </w:rPr>
            </w:pPr>
            <w:r w:rsidRPr="00A4272B">
              <w:rPr>
                <w:color w:val="000000"/>
                <w:sz w:val="14"/>
                <w:szCs w:val="14"/>
                <w:lang w:val="en-US"/>
              </w:rPr>
              <w:t>-81.678500</w:t>
            </w:r>
          </w:p>
        </w:tc>
        <w:tc>
          <w:tcPr>
            <w:tcW w:w="859" w:type="dxa"/>
            <w:tcBorders>
              <w:top w:val="nil"/>
              <w:left w:val="nil"/>
              <w:bottom w:val="nil"/>
              <w:right w:val="single" w:sz="8" w:space="0" w:color="auto"/>
            </w:tcBorders>
            <w:noWrap/>
            <w:vAlign w:val="center"/>
            <w:hideMark/>
          </w:tcPr>
          <w:p w14:paraId="1854D48B" w14:textId="77777777" w:rsidR="00F3536C" w:rsidRPr="00A4272B" w:rsidRDefault="00F3536C" w:rsidP="00A41632">
            <w:pPr>
              <w:jc w:val="center"/>
              <w:rPr>
                <w:color w:val="000000"/>
                <w:sz w:val="14"/>
                <w:szCs w:val="14"/>
                <w:lang w:val="en-US"/>
              </w:rPr>
            </w:pPr>
            <w:r w:rsidRPr="00A4272B">
              <w:rPr>
                <w:color w:val="000000"/>
                <w:sz w:val="14"/>
                <w:szCs w:val="14"/>
                <w:lang w:val="en-US"/>
              </w:rPr>
              <w:t>204</w:t>
            </w:r>
          </w:p>
        </w:tc>
        <w:tc>
          <w:tcPr>
            <w:tcW w:w="792" w:type="dxa"/>
            <w:noWrap/>
            <w:vAlign w:val="center"/>
            <w:hideMark/>
          </w:tcPr>
          <w:p w14:paraId="096A9AA9"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59BC07C8"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D835AF3" w14:textId="77777777" w:rsidR="00F3536C" w:rsidRPr="00A4272B" w:rsidRDefault="00F3536C" w:rsidP="00A41632">
            <w:pPr>
              <w:jc w:val="center"/>
              <w:rPr>
                <w:color w:val="000000"/>
                <w:sz w:val="14"/>
                <w:szCs w:val="14"/>
                <w:lang w:val="en-US"/>
              </w:rPr>
            </w:pPr>
            <w:r w:rsidRPr="00A4272B">
              <w:rPr>
                <w:color w:val="000000"/>
                <w:sz w:val="14"/>
                <w:szCs w:val="14"/>
                <w:lang w:val="en-US"/>
              </w:rPr>
              <w:t>~815 m³/d</w:t>
            </w:r>
          </w:p>
        </w:tc>
        <w:tc>
          <w:tcPr>
            <w:tcW w:w="831" w:type="dxa"/>
            <w:noWrap/>
            <w:vAlign w:val="center"/>
            <w:hideMark/>
          </w:tcPr>
          <w:p w14:paraId="5344E734" w14:textId="77777777" w:rsidR="00F3536C" w:rsidRPr="00A4272B" w:rsidRDefault="00F3536C" w:rsidP="00A41632">
            <w:pPr>
              <w:jc w:val="center"/>
              <w:rPr>
                <w:color w:val="000000"/>
                <w:sz w:val="14"/>
                <w:szCs w:val="14"/>
                <w:lang w:val="en-US"/>
              </w:rPr>
            </w:pPr>
            <w:r w:rsidRPr="00A4272B">
              <w:rPr>
                <w:color w:val="000000"/>
                <w:sz w:val="14"/>
                <w:szCs w:val="14"/>
                <w:lang w:val="en-US"/>
              </w:rPr>
              <w:t>24 hr</w:t>
            </w:r>
          </w:p>
        </w:tc>
        <w:tc>
          <w:tcPr>
            <w:tcW w:w="924" w:type="dxa"/>
            <w:noWrap/>
            <w:vAlign w:val="center"/>
            <w:hideMark/>
          </w:tcPr>
          <w:p w14:paraId="1566A84F" w14:textId="77777777" w:rsidR="00F3536C" w:rsidRPr="00A4272B" w:rsidRDefault="00F3536C" w:rsidP="00A41632">
            <w:pPr>
              <w:jc w:val="center"/>
              <w:rPr>
                <w:color w:val="000000"/>
                <w:sz w:val="14"/>
                <w:szCs w:val="14"/>
                <w:lang w:val="en-US"/>
              </w:rPr>
            </w:pPr>
            <w:r w:rsidRPr="00A4272B">
              <w:rPr>
                <w:color w:val="000000"/>
                <w:sz w:val="14"/>
                <w:szCs w:val="14"/>
                <w:lang w:val="en-US"/>
              </w:rPr>
              <w:t>12 days</w:t>
            </w:r>
          </w:p>
        </w:tc>
        <w:tc>
          <w:tcPr>
            <w:tcW w:w="612" w:type="dxa"/>
            <w:tcBorders>
              <w:top w:val="nil"/>
              <w:left w:val="nil"/>
              <w:bottom w:val="nil"/>
              <w:right w:val="single" w:sz="8" w:space="0" w:color="auto"/>
            </w:tcBorders>
            <w:noWrap/>
            <w:vAlign w:val="center"/>
            <w:hideMark/>
          </w:tcPr>
          <w:p w14:paraId="1E53A030" w14:textId="77777777" w:rsidR="00F3536C" w:rsidRPr="00A4272B" w:rsidRDefault="00F3536C" w:rsidP="00A41632">
            <w:pPr>
              <w:jc w:val="center"/>
              <w:rPr>
                <w:sz w:val="14"/>
                <w:szCs w:val="14"/>
                <w:lang w:val="en-US"/>
              </w:rPr>
            </w:pPr>
            <w:r w:rsidRPr="00A4272B">
              <w:rPr>
                <w:sz w:val="14"/>
                <w:szCs w:val="14"/>
                <w:lang w:val="en-US"/>
              </w:rPr>
              <w:t>2003</w:t>
            </w:r>
          </w:p>
        </w:tc>
      </w:tr>
      <w:tr w:rsidR="00F3536C" w:rsidRPr="00A4272B" w14:paraId="212A1FFC" w14:textId="77777777" w:rsidTr="00A41632">
        <w:trPr>
          <w:trHeight w:val="276"/>
          <w:jc w:val="center"/>
        </w:trPr>
        <w:tc>
          <w:tcPr>
            <w:tcW w:w="955" w:type="dxa"/>
            <w:tcBorders>
              <w:top w:val="nil"/>
              <w:left w:val="single" w:sz="8" w:space="0" w:color="auto"/>
              <w:bottom w:val="nil"/>
              <w:right w:val="nil"/>
            </w:tcBorders>
            <w:noWrap/>
            <w:vAlign w:val="center"/>
            <w:hideMark/>
          </w:tcPr>
          <w:p w14:paraId="565FE4C2" w14:textId="77777777" w:rsidR="00F3536C" w:rsidRPr="00A4272B" w:rsidRDefault="00F3536C" w:rsidP="00A41632">
            <w:pPr>
              <w:rPr>
                <w:color w:val="000000"/>
                <w:sz w:val="14"/>
                <w:szCs w:val="14"/>
                <w:lang w:val="en-US"/>
              </w:rPr>
            </w:pPr>
            <w:r w:rsidRPr="00A4272B">
              <w:rPr>
                <w:color w:val="000000"/>
                <w:sz w:val="14"/>
                <w:szCs w:val="14"/>
                <w:lang w:val="en-US"/>
              </w:rPr>
              <w:t>IADN</w:t>
            </w:r>
          </w:p>
        </w:tc>
        <w:tc>
          <w:tcPr>
            <w:tcW w:w="1391" w:type="dxa"/>
            <w:noWrap/>
            <w:vAlign w:val="center"/>
            <w:hideMark/>
          </w:tcPr>
          <w:p w14:paraId="37D7D466"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6DFC1270" w14:textId="77777777" w:rsidR="00F3536C" w:rsidRPr="00A4272B" w:rsidRDefault="00F3536C" w:rsidP="00A41632">
            <w:pPr>
              <w:rPr>
                <w:color w:val="000000"/>
                <w:sz w:val="14"/>
                <w:szCs w:val="14"/>
                <w:lang w:val="en-US"/>
              </w:rPr>
            </w:pPr>
            <w:r w:rsidRPr="00A4272B">
              <w:rPr>
                <w:color w:val="000000"/>
                <w:sz w:val="14"/>
                <w:szCs w:val="14"/>
                <w:lang w:val="en-US"/>
              </w:rPr>
              <w:t>Eagle harbor</w:t>
            </w:r>
          </w:p>
        </w:tc>
        <w:tc>
          <w:tcPr>
            <w:tcW w:w="998" w:type="dxa"/>
            <w:noWrap/>
            <w:vAlign w:val="center"/>
            <w:hideMark/>
          </w:tcPr>
          <w:p w14:paraId="7A5C342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3E4A3B99"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40DD3EAA" w14:textId="77777777" w:rsidR="00F3536C" w:rsidRPr="00A4272B" w:rsidRDefault="00F3536C" w:rsidP="00A41632">
            <w:pPr>
              <w:jc w:val="right"/>
              <w:rPr>
                <w:color w:val="000000"/>
                <w:sz w:val="14"/>
                <w:szCs w:val="14"/>
                <w:lang w:val="en-US"/>
              </w:rPr>
            </w:pPr>
            <w:r w:rsidRPr="00A4272B">
              <w:rPr>
                <w:color w:val="000000"/>
                <w:sz w:val="14"/>
                <w:szCs w:val="14"/>
                <w:lang w:val="en-US"/>
              </w:rPr>
              <w:t>47.459700</w:t>
            </w:r>
          </w:p>
        </w:tc>
        <w:tc>
          <w:tcPr>
            <w:tcW w:w="998" w:type="dxa"/>
            <w:noWrap/>
            <w:vAlign w:val="center"/>
            <w:hideMark/>
          </w:tcPr>
          <w:p w14:paraId="02B9D0AF" w14:textId="77777777" w:rsidR="00F3536C" w:rsidRPr="00A4272B" w:rsidRDefault="00F3536C" w:rsidP="00A41632">
            <w:pPr>
              <w:jc w:val="right"/>
              <w:rPr>
                <w:color w:val="000000"/>
                <w:sz w:val="14"/>
                <w:szCs w:val="14"/>
                <w:lang w:val="en-US"/>
              </w:rPr>
            </w:pPr>
            <w:r w:rsidRPr="00A4272B">
              <w:rPr>
                <w:color w:val="000000"/>
                <w:sz w:val="14"/>
                <w:szCs w:val="14"/>
                <w:lang w:val="en-US"/>
              </w:rPr>
              <w:t>-88.149200</w:t>
            </w:r>
          </w:p>
        </w:tc>
        <w:tc>
          <w:tcPr>
            <w:tcW w:w="859" w:type="dxa"/>
            <w:tcBorders>
              <w:top w:val="nil"/>
              <w:left w:val="nil"/>
              <w:bottom w:val="nil"/>
              <w:right w:val="single" w:sz="8" w:space="0" w:color="auto"/>
            </w:tcBorders>
            <w:noWrap/>
            <w:vAlign w:val="center"/>
            <w:hideMark/>
          </w:tcPr>
          <w:p w14:paraId="2D8783A5" w14:textId="77777777" w:rsidR="00F3536C" w:rsidRPr="00A4272B" w:rsidRDefault="00F3536C" w:rsidP="00A41632">
            <w:pPr>
              <w:jc w:val="center"/>
              <w:rPr>
                <w:color w:val="000000"/>
                <w:sz w:val="14"/>
                <w:szCs w:val="14"/>
                <w:lang w:val="en-US"/>
              </w:rPr>
            </w:pPr>
            <w:r w:rsidRPr="00A4272B">
              <w:rPr>
                <w:color w:val="000000"/>
                <w:sz w:val="14"/>
                <w:szCs w:val="14"/>
                <w:lang w:val="en-US"/>
              </w:rPr>
              <w:t>185</w:t>
            </w:r>
          </w:p>
        </w:tc>
        <w:tc>
          <w:tcPr>
            <w:tcW w:w="792" w:type="dxa"/>
            <w:noWrap/>
            <w:vAlign w:val="center"/>
            <w:hideMark/>
          </w:tcPr>
          <w:p w14:paraId="42D22204"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126FD27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6E9DEFE" w14:textId="77777777" w:rsidR="00F3536C" w:rsidRPr="00A4272B" w:rsidRDefault="00F3536C" w:rsidP="00A41632">
            <w:pPr>
              <w:jc w:val="center"/>
              <w:rPr>
                <w:color w:val="000000"/>
                <w:sz w:val="14"/>
                <w:szCs w:val="14"/>
                <w:lang w:val="en-US"/>
              </w:rPr>
            </w:pPr>
            <w:r w:rsidRPr="00A4272B">
              <w:rPr>
                <w:color w:val="000000"/>
                <w:sz w:val="14"/>
                <w:szCs w:val="14"/>
                <w:lang w:val="en-US"/>
              </w:rPr>
              <w:t>~815 m³/d</w:t>
            </w:r>
          </w:p>
        </w:tc>
        <w:tc>
          <w:tcPr>
            <w:tcW w:w="831" w:type="dxa"/>
            <w:noWrap/>
            <w:vAlign w:val="center"/>
            <w:hideMark/>
          </w:tcPr>
          <w:p w14:paraId="351CA638" w14:textId="77777777" w:rsidR="00F3536C" w:rsidRPr="00A4272B" w:rsidRDefault="00F3536C" w:rsidP="00A41632">
            <w:pPr>
              <w:jc w:val="center"/>
              <w:rPr>
                <w:color w:val="000000"/>
                <w:sz w:val="14"/>
                <w:szCs w:val="14"/>
                <w:lang w:val="en-US"/>
              </w:rPr>
            </w:pPr>
            <w:r w:rsidRPr="00A4272B">
              <w:rPr>
                <w:color w:val="000000"/>
                <w:sz w:val="14"/>
                <w:szCs w:val="14"/>
                <w:lang w:val="en-US"/>
              </w:rPr>
              <w:t>24 hr</w:t>
            </w:r>
          </w:p>
        </w:tc>
        <w:tc>
          <w:tcPr>
            <w:tcW w:w="924" w:type="dxa"/>
            <w:noWrap/>
            <w:vAlign w:val="center"/>
            <w:hideMark/>
          </w:tcPr>
          <w:p w14:paraId="2721740F" w14:textId="77777777" w:rsidR="00F3536C" w:rsidRPr="00A4272B" w:rsidRDefault="00F3536C" w:rsidP="00A41632">
            <w:pPr>
              <w:jc w:val="center"/>
              <w:rPr>
                <w:color w:val="000000"/>
                <w:sz w:val="14"/>
                <w:szCs w:val="14"/>
                <w:lang w:val="en-US"/>
              </w:rPr>
            </w:pPr>
            <w:r w:rsidRPr="00A4272B">
              <w:rPr>
                <w:color w:val="000000"/>
                <w:sz w:val="14"/>
                <w:szCs w:val="14"/>
                <w:lang w:val="en-US"/>
              </w:rPr>
              <w:t>12 days</w:t>
            </w:r>
          </w:p>
        </w:tc>
        <w:tc>
          <w:tcPr>
            <w:tcW w:w="612" w:type="dxa"/>
            <w:tcBorders>
              <w:top w:val="nil"/>
              <w:left w:val="nil"/>
              <w:bottom w:val="nil"/>
              <w:right w:val="single" w:sz="8" w:space="0" w:color="auto"/>
            </w:tcBorders>
            <w:noWrap/>
            <w:vAlign w:val="center"/>
            <w:hideMark/>
          </w:tcPr>
          <w:p w14:paraId="496E2264" w14:textId="77777777" w:rsidR="00F3536C" w:rsidRPr="00A4272B" w:rsidRDefault="00F3536C" w:rsidP="00A41632">
            <w:pPr>
              <w:jc w:val="center"/>
              <w:rPr>
                <w:sz w:val="14"/>
                <w:szCs w:val="14"/>
                <w:lang w:val="en-US"/>
              </w:rPr>
            </w:pPr>
            <w:r w:rsidRPr="00A4272B">
              <w:rPr>
                <w:sz w:val="14"/>
                <w:szCs w:val="14"/>
                <w:lang w:val="en-US"/>
              </w:rPr>
              <w:t>1990</w:t>
            </w:r>
          </w:p>
        </w:tc>
      </w:tr>
      <w:tr w:rsidR="00F3536C" w:rsidRPr="00A4272B" w14:paraId="5FEE4B0F" w14:textId="77777777" w:rsidTr="00A41632">
        <w:trPr>
          <w:trHeight w:val="276"/>
          <w:jc w:val="center"/>
        </w:trPr>
        <w:tc>
          <w:tcPr>
            <w:tcW w:w="955" w:type="dxa"/>
            <w:tcBorders>
              <w:top w:val="nil"/>
              <w:left w:val="single" w:sz="8" w:space="0" w:color="auto"/>
              <w:bottom w:val="nil"/>
              <w:right w:val="nil"/>
            </w:tcBorders>
            <w:noWrap/>
            <w:vAlign w:val="center"/>
            <w:hideMark/>
          </w:tcPr>
          <w:p w14:paraId="6819CF3A" w14:textId="77777777" w:rsidR="00F3536C" w:rsidRPr="00A4272B" w:rsidRDefault="00F3536C" w:rsidP="00A41632">
            <w:pPr>
              <w:rPr>
                <w:color w:val="000000"/>
                <w:sz w:val="14"/>
                <w:szCs w:val="14"/>
                <w:lang w:val="en-US"/>
              </w:rPr>
            </w:pPr>
            <w:r w:rsidRPr="00A4272B">
              <w:rPr>
                <w:color w:val="000000"/>
                <w:sz w:val="14"/>
                <w:szCs w:val="14"/>
                <w:lang w:val="en-US"/>
              </w:rPr>
              <w:t>IADN</w:t>
            </w:r>
          </w:p>
        </w:tc>
        <w:tc>
          <w:tcPr>
            <w:tcW w:w="1391" w:type="dxa"/>
            <w:noWrap/>
            <w:vAlign w:val="center"/>
            <w:hideMark/>
          </w:tcPr>
          <w:p w14:paraId="412FC541"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noWrap/>
            <w:vAlign w:val="center"/>
            <w:hideMark/>
          </w:tcPr>
          <w:p w14:paraId="60AF18A4" w14:textId="77777777" w:rsidR="00F3536C" w:rsidRPr="00A4272B" w:rsidRDefault="00F3536C" w:rsidP="00A41632">
            <w:pPr>
              <w:rPr>
                <w:color w:val="000000"/>
                <w:sz w:val="14"/>
                <w:szCs w:val="14"/>
                <w:lang w:val="en-US"/>
              </w:rPr>
            </w:pPr>
            <w:r w:rsidRPr="00A4272B">
              <w:rPr>
                <w:color w:val="000000"/>
                <w:sz w:val="14"/>
                <w:szCs w:val="14"/>
                <w:lang w:val="en-US"/>
              </w:rPr>
              <w:t>Sleeping Bear Dunes</w:t>
            </w:r>
          </w:p>
        </w:tc>
        <w:tc>
          <w:tcPr>
            <w:tcW w:w="998" w:type="dxa"/>
            <w:noWrap/>
            <w:vAlign w:val="center"/>
            <w:hideMark/>
          </w:tcPr>
          <w:p w14:paraId="3851371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EBBAD06"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20E98B16" w14:textId="77777777" w:rsidR="00F3536C" w:rsidRPr="00A4272B" w:rsidRDefault="00F3536C" w:rsidP="00A41632">
            <w:pPr>
              <w:jc w:val="right"/>
              <w:rPr>
                <w:color w:val="000000"/>
                <w:sz w:val="14"/>
                <w:szCs w:val="14"/>
                <w:lang w:val="en-US"/>
              </w:rPr>
            </w:pPr>
            <w:r w:rsidRPr="00A4272B">
              <w:rPr>
                <w:color w:val="000000"/>
                <w:sz w:val="14"/>
                <w:szCs w:val="14"/>
                <w:lang w:val="en-US"/>
              </w:rPr>
              <w:t>44.761100</w:t>
            </w:r>
          </w:p>
        </w:tc>
        <w:tc>
          <w:tcPr>
            <w:tcW w:w="998" w:type="dxa"/>
            <w:noWrap/>
            <w:vAlign w:val="center"/>
            <w:hideMark/>
          </w:tcPr>
          <w:p w14:paraId="3A897E8B" w14:textId="77777777" w:rsidR="00F3536C" w:rsidRPr="00A4272B" w:rsidRDefault="00F3536C" w:rsidP="00A41632">
            <w:pPr>
              <w:jc w:val="right"/>
              <w:rPr>
                <w:color w:val="000000"/>
                <w:sz w:val="14"/>
                <w:szCs w:val="14"/>
                <w:lang w:val="en-US"/>
              </w:rPr>
            </w:pPr>
            <w:r w:rsidRPr="00A4272B">
              <w:rPr>
                <w:color w:val="000000"/>
                <w:sz w:val="14"/>
                <w:szCs w:val="14"/>
                <w:lang w:val="en-US"/>
              </w:rPr>
              <w:t>-86.058610</w:t>
            </w:r>
          </w:p>
        </w:tc>
        <w:tc>
          <w:tcPr>
            <w:tcW w:w="859" w:type="dxa"/>
            <w:tcBorders>
              <w:top w:val="nil"/>
              <w:left w:val="nil"/>
              <w:bottom w:val="nil"/>
              <w:right w:val="single" w:sz="8" w:space="0" w:color="auto"/>
            </w:tcBorders>
            <w:noWrap/>
            <w:vAlign w:val="center"/>
            <w:hideMark/>
          </w:tcPr>
          <w:p w14:paraId="47C87323" w14:textId="77777777" w:rsidR="00F3536C" w:rsidRPr="00A4272B" w:rsidRDefault="00F3536C" w:rsidP="00A41632">
            <w:pPr>
              <w:jc w:val="center"/>
              <w:rPr>
                <w:color w:val="000000"/>
                <w:sz w:val="14"/>
                <w:szCs w:val="14"/>
                <w:lang w:val="en-US"/>
              </w:rPr>
            </w:pPr>
            <w:r w:rsidRPr="00A4272B">
              <w:rPr>
                <w:color w:val="000000"/>
                <w:sz w:val="14"/>
                <w:szCs w:val="14"/>
                <w:lang w:val="en-US"/>
              </w:rPr>
              <w:t>241</w:t>
            </w:r>
          </w:p>
        </w:tc>
        <w:tc>
          <w:tcPr>
            <w:tcW w:w="792" w:type="dxa"/>
            <w:noWrap/>
            <w:vAlign w:val="center"/>
            <w:hideMark/>
          </w:tcPr>
          <w:p w14:paraId="6FF5DAFB"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45DEC42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0E17AE1D" w14:textId="77777777" w:rsidR="00F3536C" w:rsidRPr="00A4272B" w:rsidRDefault="00F3536C" w:rsidP="00A41632">
            <w:pPr>
              <w:jc w:val="center"/>
              <w:rPr>
                <w:color w:val="000000"/>
                <w:sz w:val="14"/>
                <w:szCs w:val="14"/>
                <w:lang w:val="en-US"/>
              </w:rPr>
            </w:pPr>
            <w:r w:rsidRPr="00A4272B">
              <w:rPr>
                <w:color w:val="000000"/>
                <w:sz w:val="14"/>
                <w:szCs w:val="14"/>
                <w:lang w:val="en-US"/>
              </w:rPr>
              <w:t>~815 m³/d</w:t>
            </w:r>
          </w:p>
        </w:tc>
        <w:tc>
          <w:tcPr>
            <w:tcW w:w="831" w:type="dxa"/>
            <w:noWrap/>
            <w:vAlign w:val="center"/>
            <w:hideMark/>
          </w:tcPr>
          <w:p w14:paraId="3D7F4CE0" w14:textId="77777777" w:rsidR="00F3536C" w:rsidRPr="00A4272B" w:rsidRDefault="00F3536C" w:rsidP="00A41632">
            <w:pPr>
              <w:jc w:val="center"/>
              <w:rPr>
                <w:color w:val="000000"/>
                <w:sz w:val="14"/>
                <w:szCs w:val="14"/>
                <w:lang w:val="en-US"/>
              </w:rPr>
            </w:pPr>
            <w:r w:rsidRPr="00A4272B">
              <w:rPr>
                <w:color w:val="000000"/>
                <w:sz w:val="14"/>
                <w:szCs w:val="14"/>
                <w:lang w:val="en-US"/>
              </w:rPr>
              <w:t>24 hr</w:t>
            </w:r>
          </w:p>
        </w:tc>
        <w:tc>
          <w:tcPr>
            <w:tcW w:w="924" w:type="dxa"/>
            <w:noWrap/>
            <w:vAlign w:val="center"/>
            <w:hideMark/>
          </w:tcPr>
          <w:p w14:paraId="57B50C02" w14:textId="77777777" w:rsidR="00F3536C" w:rsidRPr="00A4272B" w:rsidRDefault="00F3536C" w:rsidP="00A41632">
            <w:pPr>
              <w:jc w:val="center"/>
              <w:rPr>
                <w:color w:val="000000"/>
                <w:sz w:val="14"/>
                <w:szCs w:val="14"/>
                <w:lang w:val="en-US"/>
              </w:rPr>
            </w:pPr>
            <w:r w:rsidRPr="00A4272B">
              <w:rPr>
                <w:color w:val="000000"/>
                <w:sz w:val="14"/>
                <w:szCs w:val="14"/>
                <w:lang w:val="en-US"/>
              </w:rPr>
              <w:t>12 days</w:t>
            </w:r>
          </w:p>
        </w:tc>
        <w:tc>
          <w:tcPr>
            <w:tcW w:w="612" w:type="dxa"/>
            <w:tcBorders>
              <w:top w:val="nil"/>
              <w:left w:val="nil"/>
              <w:bottom w:val="nil"/>
              <w:right w:val="single" w:sz="8" w:space="0" w:color="auto"/>
            </w:tcBorders>
            <w:noWrap/>
            <w:vAlign w:val="center"/>
            <w:hideMark/>
          </w:tcPr>
          <w:p w14:paraId="579A9260" w14:textId="77777777" w:rsidR="00F3536C" w:rsidRPr="00A4272B" w:rsidRDefault="00F3536C" w:rsidP="00A41632">
            <w:pPr>
              <w:jc w:val="center"/>
              <w:rPr>
                <w:sz w:val="14"/>
                <w:szCs w:val="14"/>
                <w:lang w:val="en-US"/>
              </w:rPr>
            </w:pPr>
            <w:r w:rsidRPr="00A4272B">
              <w:rPr>
                <w:sz w:val="14"/>
                <w:szCs w:val="14"/>
                <w:lang w:val="en-US"/>
              </w:rPr>
              <w:t>1991</w:t>
            </w:r>
          </w:p>
        </w:tc>
      </w:tr>
      <w:tr w:rsidR="00F3536C" w:rsidRPr="00A4272B" w14:paraId="7A91450D"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53C264A7" w14:textId="77777777" w:rsidR="00F3536C" w:rsidRPr="00A4272B" w:rsidRDefault="00F3536C" w:rsidP="00A41632">
            <w:pPr>
              <w:rPr>
                <w:color w:val="000000"/>
                <w:sz w:val="14"/>
                <w:szCs w:val="14"/>
                <w:lang w:val="en-US"/>
              </w:rPr>
            </w:pPr>
            <w:r w:rsidRPr="00A4272B">
              <w:rPr>
                <w:color w:val="000000"/>
                <w:sz w:val="14"/>
                <w:szCs w:val="14"/>
                <w:lang w:val="en-US"/>
              </w:rPr>
              <w:t>IADN</w:t>
            </w:r>
          </w:p>
        </w:tc>
        <w:tc>
          <w:tcPr>
            <w:tcW w:w="1391" w:type="dxa"/>
            <w:tcBorders>
              <w:top w:val="nil"/>
              <w:left w:val="nil"/>
              <w:bottom w:val="single" w:sz="4" w:space="0" w:color="auto"/>
              <w:right w:val="nil"/>
            </w:tcBorders>
            <w:noWrap/>
            <w:vAlign w:val="center"/>
            <w:hideMark/>
          </w:tcPr>
          <w:p w14:paraId="639C2B37" w14:textId="77777777" w:rsidR="00F3536C" w:rsidRPr="00A4272B" w:rsidRDefault="00F3536C" w:rsidP="00A41632">
            <w:pPr>
              <w:rPr>
                <w:color w:val="000000"/>
                <w:sz w:val="14"/>
                <w:szCs w:val="14"/>
                <w:lang w:val="en-US"/>
              </w:rPr>
            </w:pPr>
            <w:r w:rsidRPr="00A4272B">
              <w:rPr>
                <w:color w:val="000000"/>
                <w:sz w:val="14"/>
                <w:szCs w:val="14"/>
                <w:lang w:val="en-US"/>
              </w:rPr>
              <w:t>United States</w:t>
            </w:r>
          </w:p>
        </w:tc>
        <w:tc>
          <w:tcPr>
            <w:tcW w:w="2504" w:type="dxa"/>
            <w:tcBorders>
              <w:top w:val="nil"/>
              <w:left w:val="nil"/>
              <w:bottom w:val="single" w:sz="4" w:space="0" w:color="auto"/>
              <w:right w:val="nil"/>
            </w:tcBorders>
            <w:noWrap/>
            <w:vAlign w:val="center"/>
            <w:hideMark/>
          </w:tcPr>
          <w:p w14:paraId="7932C0EF" w14:textId="77777777" w:rsidR="00F3536C" w:rsidRPr="00A4272B" w:rsidRDefault="00F3536C" w:rsidP="00A41632">
            <w:pPr>
              <w:rPr>
                <w:color w:val="000000"/>
                <w:sz w:val="14"/>
                <w:szCs w:val="14"/>
                <w:lang w:val="en-US"/>
              </w:rPr>
            </w:pPr>
            <w:r w:rsidRPr="00A4272B">
              <w:rPr>
                <w:color w:val="000000"/>
                <w:sz w:val="14"/>
                <w:szCs w:val="14"/>
                <w:lang w:val="en-US"/>
              </w:rPr>
              <w:t>Sturgeon Point</w:t>
            </w:r>
          </w:p>
        </w:tc>
        <w:tc>
          <w:tcPr>
            <w:tcW w:w="998" w:type="dxa"/>
            <w:tcBorders>
              <w:top w:val="nil"/>
              <w:left w:val="nil"/>
              <w:bottom w:val="single" w:sz="4" w:space="0" w:color="auto"/>
              <w:right w:val="nil"/>
            </w:tcBorders>
            <w:noWrap/>
            <w:vAlign w:val="center"/>
            <w:hideMark/>
          </w:tcPr>
          <w:p w14:paraId="2B20768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nil"/>
              <w:left w:val="nil"/>
              <w:bottom w:val="single" w:sz="4" w:space="0" w:color="auto"/>
              <w:right w:val="nil"/>
            </w:tcBorders>
            <w:noWrap/>
            <w:vAlign w:val="center"/>
            <w:hideMark/>
          </w:tcPr>
          <w:p w14:paraId="176EF913"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top w:val="nil"/>
              <w:left w:val="nil"/>
              <w:bottom w:val="single" w:sz="4" w:space="0" w:color="auto"/>
              <w:right w:val="nil"/>
            </w:tcBorders>
            <w:noWrap/>
            <w:vAlign w:val="center"/>
            <w:hideMark/>
          </w:tcPr>
          <w:p w14:paraId="175608F3" w14:textId="77777777" w:rsidR="00F3536C" w:rsidRPr="00A4272B" w:rsidRDefault="00F3536C" w:rsidP="00A41632">
            <w:pPr>
              <w:jc w:val="right"/>
              <w:rPr>
                <w:color w:val="000000"/>
                <w:sz w:val="14"/>
                <w:szCs w:val="14"/>
                <w:lang w:val="en-US"/>
              </w:rPr>
            </w:pPr>
            <w:r w:rsidRPr="00A4272B">
              <w:rPr>
                <w:color w:val="000000"/>
                <w:sz w:val="14"/>
                <w:szCs w:val="14"/>
                <w:lang w:val="en-US"/>
              </w:rPr>
              <w:t>42.692800</w:t>
            </w:r>
          </w:p>
        </w:tc>
        <w:tc>
          <w:tcPr>
            <w:tcW w:w="998" w:type="dxa"/>
            <w:tcBorders>
              <w:top w:val="nil"/>
              <w:left w:val="nil"/>
              <w:bottom w:val="single" w:sz="4" w:space="0" w:color="auto"/>
              <w:right w:val="nil"/>
            </w:tcBorders>
            <w:noWrap/>
            <w:vAlign w:val="center"/>
            <w:hideMark/>
          </w:tcPr>
          <w:p w14:paraId="5AA20AD9" w14:textId="77777777" w:rsidR="00F3536C" w:rsidRPr="00A4272B" w:rsidRDefault="00F3536C" w:rsidP="00A41632">
            <w:pPr>
              <w:jc w:val="right"/>
              <w:rPr>
                <w:color w:val="000000"/>
                <w:sz w:val="14"/>
                <w:szCs w:val="14"/>
                <w:lang w:val="en-US"/>
              </w:rPr>
            </w:pPr>
            <w:r w:rsidRPr="00A4272B">
              <w:rPr>
                <w:color w:val="000000"/>
                <w:sz w:val="14"/>
                <w:szCs w:val="14"/>
                <w:lang w:val="en-US"/>
              </w:rPr>
              <w:t>-79.038900</w:t>
            </w:r>
          </w:p>
        </w:tc>
        <w:tc>
          <w:tcPr>
            <w:tcW w:w="859" w:type="dxa"/>
            <w:tcBorders>
              <w:top w:val="nil"/>
              <w:left w:val="nil"/>
              <w:bottom w:val="single" w:sz="4" w:space="0" w:color="auto"/>
              <w:right w:val="single" w:sz="8" w:space="0" w:color="auto"/>
            </w:tcBorders>
            <w:noWrap/>
            <w:vAlign w:val="center"/>
            <w:hideMark/>
          </w:tcPr>
          <w:p w14:paraId="158705FE" w14:textId="77777777" w:rsidR="00F3536C" w:rsidRPr="00A4272B" w:rsidRDefault="00F3536C" w:rsidP="00A41632">
            <w:pPr>
              <w:jc w:val="center"/>
              <w:rPr>
                <w:color w:val="000000"/>
                <w:sz w:val="14"/>
                <w:szCs w:val="14"/>
                <w:lang w:val="en-US"/>
              </w:rPr>
            </w:pPr>
            <w:r w:rsidRPr="00A4272B">
              <w:rPr>
                <w:color w:val="000000"/>
                <w:sz w:val="14"/>
                <w:szCs w:val="14"/>
                <w:lang w:val="en-US"/>
              </w:rPr>
              <w:t>54</w:t>
            </w:r>
          </w:p>
        </w:tc>
        <w:tc>
          <w:tcPr>
            <w:tcW w:w="792" w:type="dxa"/>
            <w:tcBorders>
              <w:top w:val="nil"/>
              <w:left w:val="nil"/>
              <w:bottom w:val="single" w:sz="4" w:space="0" w:color="auto"/>
              <w:right w:val="nil"/>
            </w:tcBorders>
            <w:noWrap/>
            <w:vAlign w:val="center"/>
            <w:hideMark/>
          </w:tcPr>
          <w:p w14:paraId="77FDAEF9"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nil"/>
              <w:left w:val="nil"/>
              <w:bottom w:val="single" w:sz="4" w:space="0" w:color="auto"/>
              <w:right w:val="nil"/>
            </w:tcBorders>
            <w:noWrap/>
            <w:vAlign w:val="center"/>
            <w:hideMark/>
          </w:tcPr>
          <w:p w14:paraId="5A2E6E28"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nil"/>
              <w:left w:val="nil"/>
              <w:bottom w:val="single" w:sz="4" w:space="0" w:color="auto"/>
              <w:right w:val="nil"/>
            </w:tcBorders>
            <w:noWrap/>
            <w:vAlign w:val="center"/>
            <w:hideMark/>
          </w:tcPr>
          <w:p w14:paraId="4244DD5B" w14:textId="77777777" w:rsidR="00F3536C" w:rsidRPr="00A4272B" w:rsidRDefault="00F3536C" w:rsidP="00A41632">
            <w:pPr>
              <w:jc w:val="center"/>
              <w:rPr>
                <w:color w:val="000000"/>
                <w:sz w:val="14"/>
                <w:szCs w:val="14"/>
                <w:lang w:val="en-US"/>
              </w:rPr>
            </w:pPr>
            <w:r w:rsidRPr="00A4272B">
              <w:rPr>
                <w:color w:val="000000"/>
                <w:sz w:val="14"/>
                <w:szCs w:val="14"/>
                <w:lang w:val="en-US"/>
              </w:rPr>
              <w:t>~815 m³/d</w:t>
            </w:r>
          </w:p>
        </w:tc>
        <w:tc>
          <w:tcPr>
            <w:tcW w:w="831" w:type="dxa"/>
            <w:tcBorders>
              <w:top w:val="nil"/>
              <w:left w:val="nil"/>
              <w:bottom w:val="single" w:sz="4" w:space="0" w:color="auto"/>
              <w:right w:val="nil"/>
            </w:tcBorders>
            <w:noWrap/>
            <w:vAlign w:val="center"/>
            <w:hideMark/>
          </w:tcPr>
          <w:p w14:paraId="66ECCA51" w14:textId="77777777" w:rsidR="00F3536C" w:rsidRPr="00A4272B" w:rsidRDefault="00F3536C" w:rsidP="00A41632">
            <w:pPr>
              <w:jc w:val="center"/>
              <w:rPr>
                <w:color w:val="000000"/>
                <w:sz w:val="14"/>
                <w:szCs w:val="14"/>
                <w:lang w:val="en-US"/>
              </w:rPr>
            </w:pPr>
            <w:r w:rsidRPr="00A4272B">
              <w:rPr>
                <w:color w:val="000000"/>
                <w:sz w:val="14"/>
                <w:szCs w:val="14"/>
                <w:lang w:val="en-US"/>
              </w:rPr>
              <w:t>24 hr</w:t>
            </w:r>
          </w:p>
        </w:tc>
        <w:tc>
          <w:tcPr>
            <w:tcW w:w="924" w:type="dxa"/>
            <w:tcBorders>
              <w:top w:val="nil"/>
              <w:left w:val="nil"/>
              <w:bottom w:val="single" w:sz="4" w:space="0" w:color="auto"/>
              <w:right w:val="nil"/>
            </w:tcBorders>
            <w:noWrap/>
            <w:vAlign w:val="center"/>
            <w:hideMark/>
          </w:tcPr>
          <w:p w14:paraId="251A7299" w14:textId="77777777" w:rsidR="00F3536C" w:rsidRPr="00A4272B" w:rsidRDefault="00F3536C" w:rsidP="00A41632">
            <w:pPr>
              <w:jc w:val="center"/>
              <w:rPr>
                <w:color w:val="000000"/>
                <w:sz w:val="14"/>
                <w:szCs w:val="14"/>
                <w:lang w:val="en-US"/>
              </w:rPr>
            </w:pPr>
            <w:r w:rsidRPr="00A4272B">
              <w:rPr>
                <w:color w:val="000000"/>
                <w:sz w:val="14"/>
                <w:szCs w:val="14"/>
                <w:lang w:val="en-US"/>
              </w:rPr>
              <w:t>12 days</w:t>
            </w:r>
          </w:p>
        </w:tc>
        <w:tc>
          <w:tcPr>
            <w:tcW w:w="612" w:type="dxa"/>
            <w:tcBorders>
              <w:top w:val="nil"/>
              <w:left w:val="nil"/>
              <w:bottom w:val="single" w:sz="4" w:space="0" w:color="auto"/>
              <w:right w:val="single" w:sz="8" w:space="0" w:color="auto"/>
            </w:tcBorders>
            <w:noWrap/>
            <w:vAlign w:val="center"/>
            <w:hideMark/>
          </w:tcPr>
          <w:p w14:paraId="02AB2403" w14:textId="77777777" w:rsidR="00F3536C" w:rsidRPr="00A4272B" w:rsidRDefault="00F3536C" w:rsidP="00A41632">
            <w:pPr>
              <w:jc w:val="center"/>
              <w:rPr>
                <w:sz w:val="14"/>
                <w:szCs w:val="14"/>
                <w:lang w:val="en-US"/>
              </w:rPr>
            </w:pPr>
            <w:r w:rsidRPr="00A4272B">
              <w:rPr>
                <w:sz w:val="14"/>
                <w:szCs w:val="14"/>
                <w:lang w:val="en-US"/>
              </w:rPr>
              <w:t>1991</w:t>
            </w:r>
          </w:p>
        </w:tc>
      </w:tr>
      <w:tr w:rsidR="00F3536C" w:rsidRPr="00A4272B" w14:paraId="5628EC9B"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32130C3F"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tcBorders>
              <w:top w:val="single" w:sz="4" w:space="0" w:color="auto"/>
              <w:left w:val="nil"/>
              <w:bottom w:val="nil"/>
              <w:right w:val="nil"/>
            </w:tcBorders>
            <w:noWrap/>
            <w:vAlign w:val="center"/>
            <w:hideMark/>
          </w:tcPr>
          <w:p w14:paraId="1FC9957F"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tcBorders>
              <w:top w:val="single" w:sz="4" w:space="0" w:color="auto"/>
              <w:left w:val="nil"/>
              <w:bottom w:val="nil"/>
              <w:right w:val="nil"/>
            </w:tcBorders>
            <w:noWrap/>
            <w:vAlign w:val="center"/>
            <w:hideMark/>
          </w:tcPr>
          <w:p w14:paraId="1378DCFD" w14:textId="77777777" w:rsidR="00F3536C" w:rsidRPr="00A4272B" w:rsidRDefault="00F3536C" w:rsidP="00A41632">
            <w:pPr>
              <w:rPr>
                <w:color w:val="000000"/>
                <w:sz w:val="14"/>
                <w:szCs w:val="14"/>
                <w:lang w:val="en-US"/>
              </w:rPr>
            </w:pPr>
            <w:r w:rsidRPr="00A4272B">
              <w:rPr>
                <w:color w:val="000000"/>
                <w:sz w:val="14"/>
                <w:szCs w:val="14"/>
                <w:lang w:val="en-US"/>
              </w:rPr>
              <w:t>Alert, NU</w:t>
            </w:r>
          </w:p>
        </w:tc>
        <w:tc>
          <w:tcPr>
            <w:tcW w:w="998" w:type="dxa"/>
            <w:tcBorders>
              <w:top w:val="single" w:sz="4" w:space="0" w:color="auto"/>
              <w:left w:val="nil"/>
              <w:bottom w:val="nil"/>
              <w:right w:val="nil"/>
            </w:tcBorders>
            <w:noWrap/>
            <w:vAlign w:val="center"/>
            <w:hideMark/>
          </w:tcPr>
          <w:p w14:paraId="1EC2A41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single" w:sz="4" w:space="0" w:color="auto"/>
              <w:left w:val="nil"/>
              <w:bottom w:val="nil"/>
              <w:right w:val="nil"/>
            </w:tcBorders>
            <w:noWrap/>
            <w:vAlign w:val="center"/>
            <w:hideMark/>
          </w:tcPr>
          <w:p w14:paraId="2C1CBE9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single" w:sz="4" w:space="0" w:color="auto"/>
              <w:left w:val="nil"/>
              <w:bottom w:val="nil"/>
              <w:right w:val="nil"/>
            </w:tcBorders>
            <w:noWrap/>
            <w:vAlign w:val="center"/>
            <w:hideMark/>
          </w:tcPr>
          <w:p w14:paraId="65C8C3AE" w14:textId="77777777" w:rsidR="00F3536C" w:rsidRPr="00A4272B" w:rsidRDefault="00F3536C" w:rsidP="00A41632">
            <w:pPr>
              <w:jc w:val="right"/>
              <w:rPr>
                <w:color w:val="000000"/>
                <w:sz w:val="14"/>
                <w:szCs w:val="14"/>
                <w:lang w:val="en-US"/>
              </w:rPr>
            </w:pPr>
            <w:r w:rsidRPr="00A4272B">
              <w:rPr>
                <w:color w:val="000000"/>
                <w:sz w:val="14"/>
                <w:szCs w:val="14"/>
                <w:lang w:val="en-US"/>
              </w:rPr>
              <w:t>82.450133</w:t>
            </w:r>
          </w:p>
        </w:tc>
        <w:tc>
          <w:tcPr>
            <w:tcW w:w="998" w:type="dxa"/>
            <w:tcBorders>
              <w:top w:val="single" w:sz="4" w:space="0" w:color="auto"/>
              <w:left w:val="nil"/>
              <w:bottom w:val="nil"/>
              <w:right w:val="nil"/>
            </w:tcBorders>
            <w:noWrap/>
            <w:vAlign w:val="center"/>
            <w:hideMark/>
          </w:tcPr>
          <w:p w14:paraId="6207CAB8" w14:textId="77777777" w:rsidR="00F3536C" w:rsidRPr="00A4272B" w:rsidRDefault="00F3536C" w:rsidP="00A41632">
            <w:pPr>
              <w:jc w:val="right"/>
              <w:rPr>
                <w:color w:val="000000"/>
                <w:sz w:val="14"/>
                <w:szCs w:val="14"/>
                <w:lang w:val="en-US"/>
              </w:rPr>
            </w:pPr>
            <w:r w:rsidRPr="00A4272B">
              <w:rPr>
                <w:color w:val="000000"/>
                <w:sz w:val="14"/>
                <w:szCs w:val="14"/>
                <w:lang w:val="en-US"/>
              </w:rPr>
              <w:t>-63.503967</w:t>
            </w:r>
          </w:p>
        </w:tc>
        <w:tc>
          <w:tcPr>
            <w:tcW w:w="859" w:type="dxa"/>
            <w:tcBorders>
              <w:top w:val="single" w:sz="4" w:space="0" w:color="auto"/>
              <w:left w:val="nil"/>
              <w:bottom w:val="nil"/>
              <w:right w:val="single" w:sz="8" w:space="0" w:color="auto"/>
            </w:tcBorders>
            <w:noWrap/>
            <w:vAlign w:val="center"/>
            <w:hideMark/>
          </w:tcPr>
          <w:p w14:paraId="5FF8CCE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left w:val="nil"/>
              <w:bottom w:val="nil"/>
              <w:right w:val="nil"/>
            </w:tcBorders>
            <w:noWrap/>
            <w:vAlign w:val="center"/>
            <w:hideMark/>
          </w:tcPr>
          <w:p w14:paraId="66D8E459"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single" w:sz="4" w:space="0" w:color="auto"/>
              <w:left w:val="nil"/>
              <w:bottom w:val="nil"/>
              <w:right w:val="nil"/>
            </w:tcBorders>
            <w:noWrap/>
            <w:vAlign w:val="center"/>
            <w:hideMark/>
          </w:tcPr>
          <w:p w14:paraId="29BD19E7"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nil"/>
              <w:right w:val="nil"/>
            </w:tcBorders>
            <w:noWrap/>
            <w:vAlign w:val="center"/>
            <w:hideMark/>
          </w:tcPr>
          <w:p w14:paraId="5697782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left w:val="nil"/>
              <w:bottom w:val="nil"/>
              <w:right w:val="nil"/>
            </w:tcBorders>
            <w:noWrap/>
            <w:vAlign w:val="center"/>
            <w:hideMark/>
          </w:tcPr>
          <w:p w14:paraId="0BE943B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tcBorders>
              <w:top w:val="single" w:sz="4" w:space="0" w:color="auto"/>
              <w:left w:val="nil"/>
              <w:bottom w:val="nil"/>
              <w:right w:val="nil"/>
            </w:tcBorders>
            <w:noWrap/>
            <w:vAlign w:val="center"/>
            <w:hideMark/>
          </w:tcPr>
          <w:p w14:paraId="0ED78B4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612" w:type="dxa"/>
            <w:tcBorders>
              <w:top w:val="single" w:sz="4" w:space="0" w:color="auto"/>
              <w:left w:val="nil"/>
              <w:bottom w:val="nil"/>
              <w:right w:val="single" w:sz="8" w:space="0" w:color="auto"/>
            </w:tcBorders>
            <w:noWrap/>
            <w:vAlign w:val="center"/>
            <w:hideMark/>
          </w:tcPr>
          <w:p w14:paraId="7E0663A0" w14:textId="77777777" w:rsidR="00F3536C" w:rsidRPr="00A4272B" w:rsidRDefault="00F3536C" w:rsidP="00A41632">
            <w:pPr>
              <w:jc w:val="center"/>
              <w:rPr>
                <w:sz w:val="14"/>
                <w:szCs w:val="14"/>
                <w:lang w:val="en-US"/>
              </w:rPr>
            </w:pPr>
            <w:r w:rsidRPr="00A4272B">
              <w:rPr>
                <w:sz w:val="14"/>
                <w:szCs w:val="14"/>
                <w:lang w:val="en-US"/>
              </w:rPr>
              <w:t>1992</w:t>
            </w:r>
          </w:p>
        </w:tc>
      </w:tr>
      <w:tr w:rsidR="00F3536C" w:rsidRPr="00A4272B" w14:paraId="3723F651" w14:textId="77777777" w:rsidTr="00A41632">
        <w:trPr>
          <w:trHeight w:val="276"/>
          <w:jc w:val="center"/>
        </w:trPr>
        <w:tc>
          <w:tcPr>
            <w:tcW w:w="955" w:type="dxa"/>
            <w:tcBorders>
              <w:top w:val="nil"/>
              <w:left w:val="single" w:sz="8" w:space="0" w:color="auto"/>
              <w:bottom w:val="nil"/>
              <w:right w:val="nil"/>
            </w:tcBorders>
            <w:noWrap/>
            <w:vAlign w:val="center"/>
            <w:hideMark/>
          </w:tcPr>
          <w:p w14:paraId="7B09DD55"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447CFCB7"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09F7D59F" w14:textId="77777777" w:rsidR="00F3536C" w:rsidRPr="00A4272B" w:rsidRDefault="00F3536C" w:rsidP="00A41632">
            <w:pPr>
              <w:rPr>
                <w:color w:val="000000"/>
                <w:sz w:val="14"/>
                <w:szCs w:val="14"/>
                <w:lang w:val="en-US"/>
              </w:rPr>
            </w:pPr>
            <w:r w:rsidRPr="00A4272B">
              <w:rPr>
                <w:color w:val="000000"/>
                <w:sz w:val="14"/>
                <w:szCs w:val="14"/>
                <w:lang w:val="en-US"/>
              </w:rPr>
              <w:t>Cambridge Bay, NU</w:t>
            </w:r>
          </w:p>
        </w:tc>
        <w:tc>
          <w:tcPr>
            <w:tcW w:w="998" w:type="dxa"/>
            <w:noWrap/>
            <w:vAlign w:val="center"/>
            <w:hideMark/>
          </w:tcPr>
          <w:p w14:paraId="03CADFC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8F76C7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708301F" w14:textId="77777777" w:rsidR="00F3536C" w:rsidRPr="00A4272B" w:rsidRDefault="00F3536C" w:rsidP="00A41632">
            <w:pPr>
              <w:jc w:val="right"/>
              <w:rPr>
                <w:color w:val="000000"/>
                <w:sz w:val="14"/>
                <w:szCs w:val="14"/>
                <w:lang w:val="en-US"/>
              </w:rPr>
            </w:pPr>
            <w:r w:rsidRPr="00A4272B">
              <w:rPr>
                <w:color w:val="000000"/>
                <w:sz w:val="14"/>
                <w:szCs w:val="14"/>
                <w:lang w:val="en-US"/>
              </w:rPr>
              <w:t>69.133333</w:t>
            </w:r>
          </w:p>
        </w:tc>
        <w:tc>
          <w:tcPr>
            <w:tcW w:w="998" w:type="dxa"/>
            <w:noWrap/>
            <w:vAlign w:val="center"/>
            <w:hideMark/>
          </w:tcPr>
          <w:p w14:paraId="402B05E1" w14:textId="77777777" w:rsidR="00F3536C" w:rsidRPr="00A4272B" w:rsidRDefault="00F3536C" w:rsidP="00A41632">
            <w:pPr>
              <w:jc w:val="right"/>
              <w:rPr>
                <w:color w:val="000000"/>
                <w:sz w:val="14"/>
                <w:szCs w:val="14"/>
                <w:lang w:val="en-US"/>
              </w:rPr>
            </w:pPr>
            <w:r w:rsidRPr="00A4272B">
              <w:rPr>
                <w:color w:val="000000"/>
                <w:sz w:val="14"/>
                <w:szCs w:val="14"/>
                <w:lang w:val="en-US"/>
              </w:rPr>
              <w:t>-105.050000</w:t>
            </w:r>
          </w:p>
        </w:tc>
        <w:tc>
          <w:tcPr>
            <w:tcW w:w="859" w:type="dxa"/>
            <w:tcBorders>
              <w:top w:val="nil"/>
              <w:left w:val="nil"/>
              <w:bottom w:val="nil"/>
              <w:right w:val="single" w:sz="8" w:space="0" w:color="auto"/>
            </w:tcBorders>
            <w:noWrap/>
            <w:vAlign w:val="center"/>
            <w:hideMark/>
          </w:tcPr>
          <w:p w14:paraId="4D8D62C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414390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6DD74B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8D4B91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3CDDBA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B6FB0B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6DC292A"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4EA6C782" w14:textId="77777777" w:rsidTr="00A41632">
        <w:trPr>
          <w:trHeight w:val="276"/>
          <w:jc w:val="center"/>
        </w:trPr>
        <w:tc>
          <w:tcPr>
            <w:tcW w:w="955" w:type="dxa"/>
            <w:tcBorders>
              <w:top w:val="nil"/>
              <w:left w:val="single" w:sz="8" w:space="0" w:color="auto"/>
              <w:bottom w:val="nil"/>
              <w:right w:val="nil"/>
            </w:tcBorders>
            <w:noWrap/>
            <w:vAlign w:val="center"/>
            <w:hideMark/>
          </w:tcPr>
          <w:p w14:paraId="79AD54E5"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099EBC5F"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29AD40A2" w14:textId="77777777" w:rsidR="00F3536C" w:rsidRPr="00A4272B" w:rsidRDefault="00F3536C" w:rsidP="00A41632">
            <w:pPr>
              <w:rPr>
                <w:color w:val="000000"/>
                <w:sz w:val="14"/>
                <w:szCs w:val="14"/>
                <w:lang w:val="en-US"/>
              </w:rPr>
            </w:pPr>
            <w:r w:rsidRPr="00A4272B">
              <w:rPr>
                <w:color w:val="000000"/>
                <w:sz w:val="14"/>
                <w:szCs w:val="14"/>
                <w:lang w:val="en-US"/>
              </w:rPr>
              <w:t>Fort Resolution, NT</w:t>
            </w:r>
          </w:p>
        </w:tc>
        <w:tc>
          <w:tcPr>
            <w:tcW w:w="998" w:type="dxa"/>
            <w:noWrap/>
            <w:vAlign w:val="center"/>
            <w:hideMark/>
          </w:tcPr>
          <w:p w14:paraId="7695629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5BF314B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76F7C31" w14:textId="77777777" w:rsidR="00F3536C" w:rsidRPr="00A4272B" w:rsidRDefault="00F3536C" w:rsidP="00A41632">
            <w:pPr>
              <w:jc w:val="right"/>
              <w:rPr>
                <w:color w:val="000000"/>
                <w:sz w:val="14"/>
                <w:szCs w:val="14"/>
                <w:lang w:val="en-US"/>
              </w:rPr>
            </w:pPr>
            <w:r w:rsidRPr="00A4272B">
              <w:rPr>
                <w:color w:val="000000"/>
                <w:sz w:val="14"/>
                <w:szCs w:val="14"/>
                <w:lang w:val="en-US"/>
              </w:rPr>
              <w:t>61.166667</w:t>
            </w:r>
          </w:p>
        </w:tc>
        <w:tc>
          <w:tcPr>
            <w:tcW w:w="998" w:type="dxa"/>
            <w:noWrap/>
            <w:vAlign w:val="center"/>
            <w:hideMark/>
          </w:tcPr>
          <w:p w14:paraId="2AFC1C00" w14:textId="77777777" w:rsidR="00F3536C" w:rsidRPr="00A4272B" w:rsidRDefault="00F3536C" w:rsidP="00A41632">
            <w:pPr>
              <w:jc w:val="right"/>
              <w:rPr>
                <w:color w:val="000000"/>
                <w:sz w:val="14"/>
                <w:szCs w:val="14"/>
                <w:lang w:val="en-US"/>
              </w:rPr>
            </w:pPr>
            <w:r w:rsidRPr="00A4272B">
              <w:rPr>
                <w:color w:val="000000"/>
                <w:sz w:val="14"/>
                <w:szCs w:val="14"/>
                <w:lang w:val="en-US"/>
              </w:rPr>
              <w:t>-113.750000</w:t>
            </w:r>
          </w:p>
        </w:tc>
        <w:tc>
          <w:tcPr>
            <w:tcW w:w="859" w:type="dxa"/>
            <w:tcBorders>
              <w:top w:val="nil"/>
              <w:left w:val="nil"/>
              <w:bottom w:val="nil"/>
              <w:right w:val="single" w:sz="8" w:space="0" w:color="auto"/>
            </w:tcBorders>
            <w:noWrap/>
            <w:vAlign w:val="center"/>
            <w:hideMark/>
          </w:tcPr>
          <w:p w14:paraId="24CAE85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73F4DB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295E4C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B75E0E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4421CF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75F07B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3B8411E"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38552125" w14:textId="77777777" w:rsidTr="00A41632">
        <w:trPr>
          <w:trHeight w:val="276"/>
          <w:jc w:val="center"/>
        </w:trPr>
        <w:tc>
          <w:tcPr>
            <w:tcW w:w="955" w:type="dxa"/>
            <w:tcBorders>
              <w:top w:val="nil"/>
              <w:left w:val="single" w:sz="8" w:space="0" w:color="auto"/>
              <w:bottom w:val="nil"/>
              <w:right w:val="nil"/>
            </w:tcBorders>
            <w:noWrap/>
            <w:vAlign w:val="center"/>
            <w:hideMark/>
          </w:tcPr>
          <w:p w14:paraId="6F409520" w14:textId="77777777" w:rsidR="00F3536C" w:rsidRPr="00A4272B" w:rsidRDefault="00F3536C" w:rsidP="00A41632">
            <w:pPr>
              <w:rPr>
                <w:color w:val="000000"/>
                <w:sz w:val="14"/>
                <w:szCs w:val="14"/>
                <w:lang w:val="en-US"/>
              </w:rPr>
            </w:pPr>
            <w:r w:rsidRPr="00A4272B">
              <w:rPr>
                <w:color w:val="000000"/>
                <w:sz w:val="14"/>
                <w:szCs w:val="14"/>
                <w:lang w:val="en-US"/>
              </w:rPr>
              <w:lastRenderedPageBreak/>
              <w:t>NCP</w:t>
            </w:r>
          </w:p>
        </w:tc>
        <w:tc>
          <w:tcPr>
            <w:tcW w:w="1391" w:type="dxa"/>
            <w:noWrap/>
            <w:vAlign w:val="center"/>
            <w:hideMark/>
          </w:tcPr>
          <w:p w14:paraId="1BA5D0BB"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4345632F" w14:textId="77777777" w:rsidR="00F3536C" w:rsidRPr="00A4272B" w:rsidRDefault="00F3536C" w:rsidP="00A41632">
            <w:pPr>
              <w:rPr>
                <w:color w:val="000000"/>
                <w:sz w:val="14"/>
                <w:szCs w:val="14"/>
                <w:lang w:val="en-US"/>
              </w:rPr>
            </w:pPr>
            <w:r w:rsidRPr="00A4272B">
              <w:rPr>
                <w:color w:val="000000"/>
                <w:sz w:val="14"/>
                <w:szCs w:val="14"/>
                <w:lang w:val="en-US"/>
              </w:rPr>
              <w:t>Inuvik, NT</w:t>
            </w:r>
          </w:p>
        </w:tc>
        <w:tc>
          <w:tcPr>
            <w:tcW w:w="998" w:type="dxa"/>
            <w:noWrap/>
            <w:vAlign w:val="center"/>
            <w:hideMark/>
          </w:tcPr>
          <w:p w14:paraId="57FAE65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F62FFB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3F87868" w14:textId="77777777" w:rsidR="00F3536C" w:rsidRPr="00A4272B" w:rsidRDefault="00F3536C" w:rsidP="00A41632">
            <w:pPr>
              <w:jc w:val="right"/>
              <w:rPr>
                <w:color w:val="000000"/>
                <w:sz w:val="14"/>
                <w:szCs w:val="14"/>
                <w:lang w:val="en-US"/>
              </w:rPr>
            </w:pPr>
            <w:r w:rsidRPr="00A4272B">
              <w:rPr>
                <w:color w:val="000000"/>
                <w:sz w:val="14"/>
                <w:szCs w:val="14"/>
                <w:lang w:val="en-US"/>
              </w:rPr>
              <w:t>68.350000</w:t>
            </w:r>
          </w:p>
        </w:tc>
        <w:tc>
          <w:tcPr>
            <w:tcW w:w="998" w:type="dxa"/>
            <w:noWrap/>
            <w:vAlign w:val="center"/>
            <w:hideMark/>
          </w:tcPr>
          <w:p w14:paraId="0E2FE35C" w14:textId="77777777" w:rsidR="00F3536C" w:rsidRPr="00A4272B" w:rsidRDefault="00F3536C" w:rsidP="00A41632">
            <w:pPr>
              <w:jc w:val="right"/>
              <w:rPr>
                <w:color w:val="000000"/>
                <w:sz w:val="14"/>
                <w:szCs w:val="14"/>
                <w:lang w:val="en-US"/>
              </w:rPr>
            </w:pPr>
            <w:r w:rsidRPr="00A4272B">
              <w:rPr>
                <w:color w:val="000000"/>
                <w:sz w:val="14"/>
                <w:szCs w:val="14"/>
                <w:lang w:val="en-US"/>
              </w:rPr>
              <w:t>-133.716667</w:t>
            </w:r>
          </w:p>
        </w:tc>
        <w:tc>
          <w:tcPr>
            <w:tcW w:w="859" w:type="dxa"/>
            <w:tcBorders>
              <w:top w:val="nil"/>
              <w:left w:val="nil"/>
              <w:bottom w:val="nil"/>
              <w:right w:val="single" w:sz="8" w:space="0" w:color="auto"/>
            </w:tcBorders>
            <w:noWrap/>
            <w:vAlign w:val="center"/>
            <w:hideMark/>
          </w:tcPr>
          <w:p w14:paraId="5E31EF0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CABB8A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2D6F79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BE451E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127487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B14AC0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317EFBE"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217418C4" w14:textId="77777777" w:rsidTr="00A41632">
        <w:trPr>
          <w:trHeight w:val="276"/>
          <w:jc w:val="center"/>
        </w:trPr>
        <w:tc>
          <w:tcPr>
            <w:tcW w:w="955" w:type="dxa"/>
            <w:tcBorders>
              <w:top w:val="nil"/>
              <w:left w:val="single" w:sz="8" w:space="0" w:color="auto"/>
              <w:bottom w:val="nil"/>
              <w:right w:val="nil"/>
            </w:tcBorders>
            <w:noWrap/>
            <w:vAlign w:val="center"/>
            <w:hideMark/>
          </w:tcPr>
          <w:p w14:paraId="34E5491B"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5B326148"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36CAE425" w14:textId="77777777" w:rsidR="00F3536C" w:rsidRPr="00A4272B" w:rsidRDefault="00F3536C" w:rsidP="00A41632">
            <w:pPr>
              <w:rPr>
                <w:color w:val="000000"/>
                <w:sz w:val="14"/>
                <w:szCs w:val="14"/>
                <w:lang w:val="en-US"/>
              </w:rPr>
            </w:pPr>
            <w:r w:rsidRPr="00A4272B">
              <w:rPr>
                <w:color w:val="000000"/>
                <w:sz w:val="14"/>
                <w:szCs w:val="14"/>
                <w:lang w:val="en-US"/>
              </w:rPr>
              <w:t>Iqaluit, NU</w:t>
            </w:r>
          </w:p>
        </w:tc>
        <w:tc>
          <w:tcPr>
            <w:tcW w:w="998" w:type="dxa"/>
            <w:noWrap/>
            <w:vAlign w:val="center"/>
            <w:hideMark/>
          </w:tcPr>
          <w:p w14:paraId="209F22E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409D78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89D0118" w14:textId="77777777" w:rsidR="00F3536C" w:rsidRPr="00A4272B" w:rsidRDefault="00F3536C" w:rsidP="00A41632">
            <w:pPr>
              <w:jc w:val="right"/>
              <w:rPr>
                <w:color w:val="000000"/>
                <w:sz w:val="14"/>
                <w:szCs w:val="14"/>
                <w:lang w:val="en-US"/>
              </w:rPr>
            </w:pPr>
            <w:r w:rsidRPr="00A4272B">
              <w:rPr>
                <w:color w:val="000000"/>
                <w:sz w:val="14"/>
                <w:szCs w:val="14"/>
                <w:lang w:val="en-US"/>
              </w:rPr>
              <w:t>63.740972</w:t>
            </w:r>
          </w:p>
        </w:tc>
        <w:tc>
          <w:tcPr>
            <w:tcW w:w="998" w:type="dxa"/>
            <w:noWrap/>
            <w:vAlign w:val="center"/>
            <w:hideMark/>
          </w:tcPr>
          <w:p w14:paraId="1A3FED62" w14:textId="77777777" w:rsidR="00F3536C" w:rsidRPr="00A4272B" w:rsidRDefault="00F3536C" w:rsidP="00A41632">
            <w:pPr>
              <w:jc w:val="right"/>
              <w:rPr>
                <w:color w:val="000000"/>
                <w:sz w:val="14"/>
                <w:szCs w:val="14"/>
                <w:lang w:val="en-US"/>
              </w:rPr>
            </w:pPr>
            <w:r w:rsidRPr="00A4272B">
              <w:rPr>
                <w:color w:val="000000"/>
                <w:sz w:val="14"/>
                <w:szCs w:val="14"/>
                <w:lang w:val="en-US"/>
              </w:rPr>
              <w:t>-68.465833</w:t>
            </w:r>
          </w:p>
        </w:tc>
        <w:tc>
          <w:tcPr>
            <w:tcW w:w="859" w:type="dxa"/>
            <w:tcBorders>
              <w:top w:val="nil"/>
              <w:left w:val="nil"/>
              <w:bottom w:val="nil"/>
              <w:right w:val="single" w:sz="8" w:space="0" w:color="auto"/>
            </w:tcBorders>
            <w:noWrap/>
            <w:vAlign w:val="center"/>
            <w:hideMark/>
          </w:tcPr>
          <w:p w14:paraId="21827F2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654B7A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B15B21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A5E204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80A252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8403AA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3182C9C" w14:textId="77777777" w:rsidR="00F3536C" w:rsidRPr="00A4272B" w:rsidRDefault="00F3536C" w:rsidP="00A41632">
            <w:pPr>
              <w:jc w:val="center"/>
              <w:rPr>
                <w:sz w:val="14"/>
                <w:szCs w:val="14"/>
                <w:lang w:val="en-US"/>
              </w:rPr>
            </w:pPr>
            <w:r w:rsidRPr="00A4272B">
              <w:rPr>
                <w:sz w:val="14"/>
                <w:szCs w:val="14"/>
                <w:lang w:val="en-US"/>
              </w:rPr>
              <w:t>2014</w:t>
            </w:r>
          </w:p>
        </w:tc>
      </w:tr>
      <w:tr w:rsidR="00F3536C" w:rsidRPr="00A4272B" w14:paraId="291CC766" w14:textId="77777777" w:rsidTr="00A41632">
        <w:trPr>
          <w:trHeight w:val="276"/>
          <w:jc w:val="center"/>
        </w:trPr>
        <w:tc>
          <w:tcPr>
            <w:tcW w:w="955" w:type="dxa"/>
            <w:tcBorders>
              <w:top w:val="nil"/>
              <w:left w:val="single" w:sz="8" w:space="0" w:color="auto"/>
              <w:bottom w:val="nil"/>
              <w:right w:val="nil"/>
            </w:tcBorders>
            <w:noWrap/>
            <w:vAlign w:val="center"/>
            <w:hideMark/>
          </w:tcPr>
          <w:p w14:paraId="7DE6E49A"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1DDCDA23"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3CA943A9" w14:textId="77777777" w:rsidR="00F3536C" w:rsidRPr="00A4272B" w:rsidRDefault="00F3536C" w:rsidP="00A41632">
            <w:pPr>
              <w:rPr>
                <w:color w:val="000000"/>
                <w:sz w:val="14"/>
                <w:szCs w:val="14"/>
                <w:lang w:val="en-US"/>
              </w:rPr>
            </w:pPr>
            <w:r w:rsidRPr="00A4272B">
              <w:rPr>
                <w:color w:val="000000"/>
                <w:sz w:val="14"/>
                <w:szCs w:val="14"/>
                <w:lang w:val="en-US"/>
              </w:rPr>
              <w:t>Kuujjuaq, QC</w:t>
            </w:r>
          </w:p>
        </w:tc>
        <w:tc>
          <w:tcPr>
            <w:tcW w:w="998" w:type="dxa"/>
            <w:noWrap/>
            <w:vAlign w:val="center"/>
            <w:hideMark/>
          </w:tcPr>
          <w:p w14:paraId="4495872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376EDE6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357CDB8" w14:textId="77777777" w:rsidR="00F3536C" w:rsidRPr="00A4272B" w:rsidRDefault="00F3536C" w:rsidP="00A41632">
            <w:pPr>
              <w:jc w:val="right"/>
              <w:rPr>
                <w:color w:val="000000"/>
                <w:sz w:val="14"/>
                <w:szCs w:val="14"/>
                <w:lang w:val="en-US"/>
              </w:rPr>
            </w:pPr>
            <w:r w:rsidRPr="00A4272B">
              <w:rPr>
                <w:color w:val="000000"/>
                <w:sz w:val="14"/>
                <w:szCs w:val="14"/>
                <w:lang w:val="en-US"/>
              </w:rPr>
              <w:t>58.250000</w:t>
            </w:r>
          </w:p>
        </w:tc>
        <w:tc>
          <w:tcPr>
            <w:tcW w:w="998" w:type="dxa"/>
            <w:noWrap/>
            <w:vAlign w:val="center"/>
            <w:hideMark/>
          </w:tcPr>
          <w:p w14:paraId="4A7BE8AE" w14:textId="77777777" w:rsidR="00F3536C" w:rsidRPr="00A4272B" w:rsidRDefault="00F3536C" w:rsidP="00A41632">
            <w:pPr>
              <w:jc w:val="right"/>
              <w:rPr>
                <w:color w:val="000000"/>
                <w:sz w:val="14"/>
                <w:szCs w:val="14"/>
                <w:lang w:val="en-US"/>
              </w:rPr>
            </w:pPr>
            <w:r w:rsidRPr="00A4272B">
              <w:rPr>
                <w:color w:val="000000"/>
                <w:sz w:val="14"/>
                <w:szCs w:val="14"/>
                <w:lang w:val="en-US"/>
              </w:rPr>
              <w:t>-68.350000</w:t>
            </w:r>
          </w:p>
        </w:tc>
        <w:tc>
          <w:tcPr>
            <w:tcW w:w="859" w:type="dxa"/>
            <w:tcBorders>
              <w:top w:val="nil"/>
              <w:left w:val="nil"/>
              <w:bottom w:val="nil"/>
              <w:right w:val="single" w:sz="8" w:space="0" w:color="auto"/>
            </w:tcBorders>
            <w:noWrap/>
            <w:vAlign w:val="center"/>
            <w:hideMark/>
          </w:tcPr>
          <w:p w14:paraId="0E9A371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D3FA1E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D32F82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765E25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AA8904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FB3AC8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AEE0AAF"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1B1A70AA" w14:textId="77777777" w:rsidTr="00F006B1">
        <w:trPr>
          <w:trHeight w:val="276"/>
          <w:jc w:val="center"/>
        </w:trPr>
        <w:tc>
          <w:tcPr>
            <w:tcW w:w="955" w:type="dxa"/>
            <w:tcBorders>
              <w:top w:val="nil"/>
              <w:left w:val="single" w:sz="8" w:space="0" w:color="auto"/>
              <w:right w:val="nil"/>
            </w:tcBorders>
            <w:noWrap/>
            <w:vAlign w:val="center"/>
            <w:hideMark/>
          </w:tcPr>
          <w:p w14:paraId="501A5624"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1D6784DD"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2760C756" w14:textId="77777777" w:rsidR="00F3536C" w:rsidRPr="00A4272B" w:rsidRDefault="00F3536C" w:rsidP="00A41632">
            <w:pPr>
              <w:rPr>
                <w:color w:val="000000"/>
                <w:sz w:val="14"/>
                <w:szCs w:val="14"/>
                <w:lang w:val="en-US"/>
              </w:rPr>
            </w:pPr>
            <w:r w:rsidRPr="00A4272B">
              <w:rPr>
                <w:color w:val="000000"/>
                <w:sz w:val="14"/>
                <w:szCs w:val="14"/>
                <w:lang w:val="en-US"/>
              </w:rPr>
              <w:t>Nain, NL</w:t>
            </w:r>
          </w:p>
        </w:tc>
        <w:tc>
          <w:tcPr>
            <w:tcW w:w="998" w:type="dxa"/>
            <w:noWrap/>
            <w:vAlign w:val="center"/>
            <w:hideMark/>
          </w:tcPr>
          <w:p w14:paraId="46CBF8C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A1479B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E8D04AB" w14:textId="77777777" w:rsidR="00F3536C" w:rsidRPr="00A4272B" w:rsidRDefault="00F3536C" w:rsidP="00A41632">
            <w:pPr>
              <w:jc w:val="right"/>
              <w:rPr>
                <w:color w:val="000000"/>
                <w:sz w:val="14"/>
                <w:szCs w:val="14"/>
                <w:lang w:val="en-US"/>
              </w:rPr>
            </w:pPr>
            <w:r w:rsidRPr="00A4272B">
              <w:rPr>
                <w:color w:val="000000"/>
                <w:sz w:val="14"/>
                <w:szCs w:val="14"/>
                <w:lang w:val="en-US"/>
              </w:rPr>
              <w:t>56.525278</w:t>
            </w:r>
          </w:p>
        </w:tc>
        <w:tc>
          <w:tcPr>
            <w:tcW w:w="998" w:type="dxa"/>
            <w:noWrap/>
            <w:vAlign w:val="center"/>
            <w:hideMark/>
          </w:tcPr>
          <w:p w14:paraId="22F8E2A6" w14:textId="77777777" w:rsidR="00F3536C" w:rsidRPr="00A4272B" w:rsidRDefault="00F3536C" w:rsidP="00A41632">
            <w:pPr>
              <w:jc w:val="right"/>
              <w:rPr>
                <w:color w:val="000000"/>
                <w:sz w:val="14"/>
                <w:szCs w:val="14"/>
                <w:lang w:val="en-US"/>
              </w:rPr>
            </w:pPr>
            <w:r w:rsidRPr="00A4272B">
              <w:rPr>
                <w:color w:val="000000"/>
                <w:sz w:val="14"/>
                <w:szCs w:val="14"/>
                <w:lang w:val="en-US"/>
              </w:rPr>
              <w:t>-61.724722</w:t>
            </w:r>
          </w:p>
        </w:tc>
        <w:tc>
          <w:tcPr>
            <w:tcW w:w="859" w:type="dxa"/>
            <w:tcBorders>
              <w:top w:val="nil"/>
              <w:left w:val="nil"/>
              <w:right w:val="single" w:sz="8" w:space="0" w:color="auto"/>
            </w:tcBorders>
            <w:noWrap/>
            <w:vAlign w:val="center"/>
            <w:hideMark/>
          </w:tcPr>
          <w:p w14:paraId="411BBB9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FF78B8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6B0C2C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62D85D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B7372E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70ACDF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right w:val="single" w:sz="8" w:space="0" w:color="auto"/>
            </w:tcBorders>
            <w:noWrap/>
            <w:vAlign w:val="center"/>
            <w:hideMark/>
          </w:tcPr>
          <w:p w14:paraId="248B9D33"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5CBD3735"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6060FA01"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tcBorders>
              <w:bottom w:val="single" w:sz="4" w:space="0" w:color="auto"/>
            </w:tcBorders>
            <w:noWrap/>
            <w:vAlign w:val="center"/>
            <w:hideMark/>
          </w:tcPr>
          <w:p w14:paraId="0363E6D0"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tcBorders>
              <w:bottom w:val="single" w:sz="4" w:space="0" w:color="auto"/>
            </w:tcBorders>
            <w:noWrap/>
            <w:vAlign w:val="center"/>
            <w:hideMark/>
          </w:tcPr>
          <w:p w14:paraId="2A9A6300" w14:textId="77777777" w:rsidR="00F3536C" w:rsidRPr="00A4272B" w:rsidRDefault="00F3536C" w:rsidP="00A41632">
            <w:pPr>
              <w:rPr>
                <w:color w:val="000000"/>
                <w:sz w:val="14"/>
                <w:szCs w:val="14"/>
                <w:lang w:val="en-US"/>
              </w:rPr>
            </w:pPr>
            <w:r w:rsidRPr="00A4272B">
              <w:rPr>
                <w:color w:val="000000"/>
                <w:sz w:val="14"/>
                <w:szCs w:val="14"/>
                <w:lang w:val="en-US"/>
              </w:rPr>
              <w:t>Northwest River, NL</w:t>
            </w:r>
          </w:p>
        </w:tc>
        <w:tc>
          <w:tcPr>
            <w:tcW w:w="998" w:type="dxa"/>
            <w:tcBorders>
              <w:bottom w:val="single" w:sz="4" w:space="0" w:color="auto"/>
            </w:tcBorders>
            <w:noWrap/>
            <w:vAlign w:val="center"/>
            <w:hideMark/>
          </w:tcPr>
          <w:p w14:paraId="7FD4BBA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bottom w:val="single" w:sz="4" w:space="0" w:color="auto"/>
            </w:tcBorders>
            <w:noWrap/>
            <w:vAlign w:val="center"/>
            <w:hideMark/>
          </w:tcPr>
          <w:p w14:paraId="1F2F1E6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bottom w:val="single" w:sz="4" w:space="0" w:color="auto"/>
            </w:tcBorders>
            <w:noWrap/>
            <w:vAlign w:val="center"/>
            <w:hideMark/>
          </w:tcPr>
          <w:p w14:paraId="6DAD31B2" w14:textId="77777777" w:rsidR="00F3536C" w:rsidRPr="00A4272B" w:rsidRDefault="00F3536C" w:rsidP="00A41632">
            <w:pPr>
              <w:jc w:val="right"/>
              <w:rPr>
                <w:color w:val="000000"/>
                <w:sz w:val="14"/>
                <w:szCs w:val="14"/>
                <w:lang w:val="en-US"/>
              </w:rPr>
            </w:pPr>
            <w:r w:rsidRPr="00A4272B">
              <w:rPr>
                <w:color w:val="000000"/>
                <w:sz w:val="14"/>
                <w:szCs w:val="14"/>
                <w:lang w:val="en-US"/>
              </w:rPr>
              <w:t>53.560556</w:t>
            </w:r>
          </w:p>
        </w:tc>
        <w:tc>
          <w:tcPr>
            <w:tcW w:w="998" w:type="dxa"/>
            <w:tcBorders>
              <w:bottom w:val="single" w:sz="4" w:space="0" w:color="auto"/>
            </w:tcBorders>
            <w:noWrap/>
            <w:vAlign w:val="center"/>
            <w:hideMark/>
          </w:tcPr>
          <w:p w14:paraId="28587E4A" w14:textId="77777777" w:rsidR="00F3536C" w:rsidRPr="00A4272B" w:rsidRDefault="00F3536C" w:rsidP="00A41632">
            <w:pPr>
              <w:jc w:val="right"/>
              <w:rPr>
                <w:color w:val="000000"/>
                <w:sz w:val="14"/>
                <w:szCs w:val="14"/>
                <w:lang w:val="en-US"/>
              </w:rPr>
            </w:pPr>
            <w:r w:rsidRPr="00A4272B">
              <w:rPr>
                <w:color w:val="000000"/>
                <w:sz w:val="14"/>
                <w:szCs w:val="14"/>
                <w:lang w:val="en-US"/>
              </w:rPr>
              <w:t>-60.137222</w:t>
            </w:r>
          </w:p>
        </w:tc>
        <w:tc>
          <w:tcPr>
            <w:tcW w:w="859" w:type="dxa"/>
            <w:tcBorders>
              <w:top w:val="nil"/>
              <w:left w:val="nil"/>
              <w:bottom w:val="single" w:sz="4" w:space="0" w:color="auto"/>
              <w:right w:val="single" w:sz="8" w:space="0" w:color="auto"/>
            </w:tcBorders>
            <w:noWrap/>
            <w:vAlign w:val="center"/>
            <w:hideMark/>
          </w:tcPr>
          <w:p w14:paraId="65F1A3D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bottom w:val="single" w:sz="4" w:space="0" w:color="auto"/>
            </w:tcBorders>
            <w:noWrap/>
            <w:vAlign w:val="center"/>
            <w:hideMark/>
          </w:tcPr>
          <w:p w14:paraId="0227497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bottom w:val="single" w:sz="4" w:space="0" w:color="auto"/>
            </w:tcBorders>
            <w:noWrap/>
            <w:vAlign w:val="center"/>
            <w:hideMark/>
          </w:tcPr>
          <w:p w14:paraId="383A5CA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bottom w:val="single" w:sz="4" w:space="0" w:color="auto"/>
            </w:tcBorders>
            <w:noWrap/>
            <w:vAlign w:val="center"/>
            <w:hideMark/>
          </w:tcPr>
          <w:p w14:paraId="3202621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bottom w:val="single" w:sz="4" w:space="0" w:color="auto"/>
            </w:tcBorders>
            <w:noWrap/>
            <w:vAlign w:val="center"/>
            <w:hideMark/>
          </w:tcPr>
          <w:p w14:paraId="207B00C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bottom w:val="single" w:sz="4" w:space="0" w:color="auto"/>
            </w:tcBorders>
            <w:noWrap/>
            <w:vAlign w:val="center"/>
            <w:hideMark/>
          </w:tcPr>
          <w:p w14:paraId="29D8962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750505D2"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36C8596A"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61FBD813"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tcBorders>
              <w:top w:val="single" w:sz="4" w:space="0" w:color="auto"/>
            </w:tcBorders>
            <w:noWrap/>
            <w:vAlign w:val="center"/>
            <w:hideMark/>
          </w:tcPr>
          <w:p w14:paraId="159D395B"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tcBorders>
              <w:top w:val="single" w:sz="4" w:space="0" w:color="auto"/>
            </w:tcBorders>
            <w:noWrap/>
            <w:vAlign w:val="center"/>
            <w:hideMark/>
          </w:tcPr>
          <w:p w14:paraId="4BAE137A" w14:textId="77777777" w:rsidR="00F3536C" w:rsidRPr="00A4272B" w:rsidRDefault="00F3536C" w:rsidP="00A41632">
            <w:pPr>
              <w:rPr>
                <w:color w:val="000000"/>
                <w:sz w:val="14"/>
                <w:szCs w:val="14"/>
                <w:lang w:val="en-US"/>
              </w:rPr>
            </w:pPr>
            <w:r w:rsidRPr="00A4272B">
              <w:rPr>
                <w:color w:val="000000"/>
                <w:sz w:val="14"/>
                <w:szCs w:val="14"/>
                <w:lang w:val="en-US"/>
              </w:rPr>
              <w:t>Cambridge Bay, NU</w:t>
            </w:r>
          </w:p>
        </w:tc>
        <w:tc>
          <w:tcPr>
            <w:tcW w:w="998" w:type="dxa"/>
            <w:tcBorders>
              <w:top w:val="single" w:sz="4" w:space="0" w:color="auto"/>
            </w:tcBorders>
            <w:noWrap/>
            <w:vAlign w:val="center"/>
            <w:hideMark/>
          </w:tcPr>
          <w:p w14:paraId="702E0AB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single" w:sz="4" w:space="0" w:color="auto"/>
            </w:tcBorders>
            <w:noWrap/>
            <w:vAlign w:val="center"/>
            <w:hideMark/>
          </w:tcPr>
          <w:p w14:paraId="315E98D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single" w:sz="4" w:space="0" w:color="auto"/>
            </w:tcBorders>
            <w:noWrap/>
            <w:vAlign w:val="center"/>
            <w:hideMark/>
          </w:tcPr>
          <w:p w14:paraId="151AB2D9" w14:textId="77777777" w:rsidR="00F3536C" w:rsidRPr="00A4272B" w:rsidRDefault="00F3536C" w:rsidP="00A41632">
            <w:pPr>
              <w:jc w:val="right"/>
              <w:rPr>
                <w:color w:val="000000"/>
                <w:sz w:val="14"/>
                <w:szCs w:val="14"/>
                <w:lang w:val="en-US"/>
              </w:rPr>
            </w:pPr>
            <w:r w:rsidRPr="00A4272B">
              <w:rPr>
                <w:color w:val="000000"/>
                <w:sz w:val="14"/>
                <w:szCs w:val="14"/>
                <w:lang w:val="en-US"/>
              </w:rPr>
              <w:t>69.133333</w:t>
            </w:r>
          </w:p>
        </w:tc>
        <w:tc>
          <w:tcPr>
            <w:tcW w:w="998" w:type="dxa"/>
            <w:tcBorders>
              <w:top w:val="single" w:sz="4" w:space="0" w:color="auto"/>
            </w:tcBorders>
            <w:noWrap/>
            <w:vAlign w:val="center"/>
            <w:hideMark/>
          </w:tcPr>
          <w:p w14:paraId="3C4BE588" w14:textId="77777777" w:rsidR="00F3536C" w:rsidRPr="00A4272B" w:rsidRDefault="00F3536C" w:rsidP="00A41632">
            <w:pPr>
              <w:jc w:val="right"/>
              <w:rPr>
                <w:color w:val="000000"/>
                <w:sz w:val="14"/>
                <w:szCs w:val="14"/>
                <w:lang w:val="en-US"/>
              </w:rPr>
            </w:pPr>
            <w:r w:rsidRPr="00A4272B">
              <w:rPr>
                <w:color w:val="000000"/>
                <w:sz w:val="14"/>
                <w:szCs w:val="14"/>
                <w:lang w:val="en-US"/>
              </w:rPr>
              <w:t>-105.050000</w:t>
            </w:r>
          </w:p>
        </w:tc>
        <w:tc>
          <w:tcPr>
            <w:tcW w:w="859" w:type="dxa"/>
            <w:tcBorders>
              <w:top w:val="single" w:sz="4" w:space="0" w:color="auto"/>
              <w:left w:val="nil"/>
              <w:bottom w:val="nil"/>
              <w:right w:val="single" w:sz="8" w:space="0" w:color="auto"/>
            </w:tcBorders>
            <w:noWrap/>
            <w:vAlign w:val="center"/>
            <w:hideMark/>
          </w:tcPr>
          <w:p w14:paraId="46B15CC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tcBorders>
            <w:noWrap/>
            <w:vAlign w:val="center"/>
            <w:hideMark/>
          </w:tcPr>
          <w:p w14:paraId="1D42593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tcBorders>
            <w:noWrap/>
            <w:vAlign w:val="center"/>
            <w:hideMark/>
          </w:tcPr>
          <w:p w14:paraId="1564D7DD"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single" w:sz="4" w:space="0" w:color="auto"/>
            </w:tcBorders>
            <w:noWrap/>
            <w:vAlign w:val="center"/>
            <w:hideMark/>
          </w:tcPr>
          <w:p w14:paraId="58BA070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tcBorders>
            <w:noWrap/>
            <w:vAlign w:val="center"/>
            <w:hideMark/>
          </w:tcPr>
          <w:p w14:paraId="73ADB91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top w:val="single" w:sz="4" w:space="0" w:color="auto"/>
            </w:tcBorders>
            <w:noWrap/>
            <w:vAlign w:val="center"/>
            <w:hideMark/>
          </w:tcPr>
          <w:p w14:paraId="6AA3989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single" w:sz="4" w:space="0" w:color="auto"/>
              <w:left w:val="nil"/>
              <w:bottom w:val="nil"/>
              <w:right w:val="single" w:sz="8" w:space="0" w:color="auto"/>
            </w:tcBorders>
            <w:noWrap/>
            <w:vAlign w:val="center"/>
            <w:hideMark/>
          </w:tcPr>
          <w:p w14:paraId="21222A95"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768BA0D2" w14:textId="77777777" w:rsidTr="00A41632">
        <w:trPr>
          <w:trHeight w:val="276"/>
          <w:jc w:val="center"/>
        </w:trPr>
        <w:tc>
          <w:tcPr>
            <w:tcW w:w="955" w:type="dxa"/>
            <w:tcBorders>
              <w:top w:val="nil"/>
              <w:left w:val="single" w:sz="8" w:space="0" w:color="auto"/>
              <w:bottom w:val="nil"/>
              <w:right w:val="nil"/>
            </w:tcBorders>
            <w:noWrap/>
            <w:vAlign w:val="center"/>
            <w:hideMark/>
          </w:tcPr>
          <w:p w14:paraId="3F1B15B1"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0D1C0D82"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083EDE6A" w14:textId="77777777" w:rsidR="00F3536C" w:rsidRPr="00A4272B" w:rsidRDefault="00F3536C" w:rsidP="00A41632">
            <w:pPr>
              <w:rPr>
                <w:color w:val="000000"/>
                <w:sz w:val="14"/>
                <w:szCs w:val="14"/>
                <w:lang w:val="en-US"/>
              </w:rPr>
            </w:pPr>
            <w:r w:rsidRPr="00A4272B">
              <w:rPr>
                <w:color w:val="000000"/>
                <w:sz w:val="14"/>
                <w:szCs w:val="14"/>
                <w:lang w:val="en-US"/>
              </w:rPr>
              <w:t>Fort Resolution, NT</w:t>
            </w:r>
          </w:p>
        </w:tc>
        <w:tc>
          <w:tcPr>
            <w:tcW w:w="998" w:type="dxa"/>
            <w:noWrap/>
            <w:vAlign w:val="center"/>
            <w:hideMark/>
          </w:tcPr>
          <w:p w14:paraId="6EE7461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397912C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4D1890B" w14:textId="77777777" w:rsidR="00F3536C" w:rsidRPr="00A4272B" w:rsidRDefault="00F3536C" w:rsidP="00A41632">
            <w:pPr>
              <w:jc w:val="right"/>
              <w:rPr>
                <w:color w:val="000000"/>
                <w:sz w:val="14"/>
                <w:szCs w:val="14"/>
                <w:lang w:val="en-US"/>
              </w:rPr>
            </w:pPr>
            <w:r w:rsidRPr="00A4272B">
              <w:rPr>
                <w:color w:val="000000"/>
                <w:sz w:val="14"/>
                <w:szCs w:val="14"/>
                <w:lang w:val="en-US"/>
              </w:rPr>
              <w:t>61.166667</w:t>
            </w:r>
          </w:p>
        </w:tc>
        <w:tc>
          <w:tcPr>
            <w:tcW w:w="998" w:type="dxa"/>
            <w:noWrap/>
            <w:vAlign w:val="center"/>
            <w:hideMark/>
          </w:tcPr>
          <w:p w14:paraId="258372C5" w14:textId="77777777" w:rsidR="00F3536C" w:rsidRPr="00A4272B" w:rsidRDefault="00F3536C" w:rsidP="00A41632">
            <w:pPr>
              <w:jc w:val="right"/>
              <w:rPr>
                <w:color w:val="000000"/>
                <w:sz w:val="14"/>
                <w:szCs w:val="14"/>
                <w:lang w:val="en-US"/>
              </w:rPr>
            </w:pPr>
            <w:r w:rsidRPr="00A4272B">
              <w:rPr>
                <w:color w:val="000000"/>
                <w:sz w:val="14"/>
                <w:szCs w:val="14"/>
                <w:lang w:val="en-US"/>
              </w:rPr>
              <w:t>-113.750000</w:t>
            </w:r>
          </w:p>
        </w:tc>
        <w:tc>
          <w:tcPr>
            <w:tcW w:w="859" w:type="dxa"/>
            <w:tcBorders>
              <w:top w:val="nil"/>
              <w:left w:val="nil"/>
              <w:bottom w:val="nil"/>
              <w:right w:val="single" w:sz="8" w:space="0" w:color="auto"/>
            </w:tcBorders>
            <w:noWrap/>
            <w:vAlign w:val="center"/>
            <w:hideMark/>
          </w:tcPr>
          <w:p w14:paraId="3ED6A82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BFD25E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9A2D013"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0615509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AC20CC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170BFD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D7BEEF9"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3C6FF379" w14:textId="77777777" w:rsidTr="00A41632">
        <w:trPr>
          <w:trHeight w:val="276"/>
          <w:jc w:val="center"/>
        </w:trPr>
        <w:tc>
          <w:tcPr>
            <w:tcW w:w="955" w:type="dxa"/>
            <w:tcBorders>
              <w:top w:val="nil"/>
              <w:left w:val="single" w:sz="8" w:space="0" w:color="auto"/>
              <w:bottom w:val="nil"/>
              <w:right w:val="nil"/>
            </w:tcBorders>
            <w:noWrap/>
            <w:vAlign w:val="center"/>
            <w:hideMark/>
          </w:tcPr>
          <w:p w14:paraId="65A57FD7"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19263625"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69F7F784" w14:textId="77777777" w:rsidR="00F3536C" w:rsidRPr="00A4272B" w:rsidRDefault="00F3536C" w:rsidP="00A41632">
            <w:pPr>
              <w:rPr>
                <w:color w:val="000000"/>
                <w:sz w:val="14"/>
                <w:szCs w:val="14"/>
                <w:lang w:val="en-US"/>
              </w:rPr>
            </w:pPr>
            <w:r w:rsidRPr="00A4272B">
              <w:rPr>
                <w:color w:val="000000"/>
                <w:sz w:val="14"/>
                <w:szCs w:val="14"/>
                <w:lang w:val="en-US"/>
              </w:rPr>
              <w:t>Inuvik, NT</w:t>
            </w:r>
          </w:p>
        </w:tc>
        <w:tc>
          <w:tcPr>
            <w:tcW w:w="998" w:type="dxa"/>
            <w:noWrap/>
            <w:vAlign w:val="center"/>
            <w:hideMark/>
          </w:tcPr>
          <w:p w14:paraId="68DF672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5D84579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9205C2C" w14:textId="77777777" w:rsidR="00F3536C" w:rsidRPr="00A4272B" w:rsidRDefault="00F3536C" w:rsidP="00A41632">
            <w:pPr>
              <w:jc w:val="right"/>
              <w:rPr>
                <w:color w:val="000000"/>
                <w:sz w:val="14"/>
                <w:szCs w:val="14"/>
                <w:lang w:val="en-US"/>
              </w:rPr>
            </w:pPr>
            <w:r w:rsidRPr="00A4272B">
              <w:rPr>
                <w:color w:val="000000"/>
                <w:sz w:val="14"/>
                <w:szCs w:val="14"/>
                <w:lang w:val="en-US"/>
              </w:rPr>
              <w:t>68.350000</w:t>
            </w:r>
          </w:p>
        </w:tc>
        <w:tc>
          <w:tcPr>
            <w:tcW w:w="998" w:type="dxa"/>
            <w:noWrap/>
            <w:vAlign w:val="center"/>
            <w:hideMark/>
          </w:tcPr>
          <w:p w14:paraId="297CDF8C" w14:textId="77777777" w:rsidR="00F3536C" w:rsidRPr="00A4272B" w:rsidRDefault="00F3536C" w:rsidP="00A41632">
            <w:pPr>
              <w:jc w:val="right"/>
              <w:rPr>
                <w:color w:val="000000"/>
                <w:sz w:val="14"/>
                <w:szCs w:val="14"/>
                <w:lang w:val="en-US"/>
              </w:rPr>
            </w:pPr>
            <w:r w:rsidRPr="00A4272B">
              <w:rPr>
                <w:color w:val="000000"/>
                <w:sz w:val="14"/>
                <w:szCs w:val="14"/>
                <w:lang w:val="en-US"/>
              </w:rPr>
              <w:t>-133.716667</w:t>
            </w:r>
          </w:p>
        </w:tc>
        <w:tc>
          <w:tcPr>
            <w:tcW w:w="859" w:type="dxa"/>
            <w:tcBorders>
              <w:top w:val="nil"/>
              <w:left w:val="nil"/>
              <w:bottom w:val="nil"/>
              <w:right w:val="single" w:sz="8" w:space="0" w:color="auto"/>
            </w:tcBorders>
            <w:noWrap/>
            <w:vAlign w:val="center"/>
            <w:hideMark/>
          </w:tcPr>
          <w:p w14:paraId="3698D65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064020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7AE9D63"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0D8A67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276483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EBC656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C8B05F2"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44748D98" w14:textId="77777777" w:rsidTr="00A41632">
        <w:trPr>
          <w:trHeight w:val="276"/>
          <w:jc w:val="center"/>
        </w:trPr>
        <w:tc>
          <w:tcPr>
            <w:tcW w:w="955" w:type="dxa"/>
            <w:tcBorders>
              <w:top w:val="nil"/>
              <w:left w:val="single" w:sz="8" w:space="0" w:color="auto"/>
              <w:bottom w:val="nil"/>
              <w:right w:val="nil"/>
            </w:tcBorders>
            <w:noWrap/>
            <w:vAlign w:val="center"/>
            <w:hideMark/>
          </w:tcPr>
          <w:p w14:paraId="2DDC4BA4"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774E8E85"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1BBE6A26" w14:textId="77777777" w:rsidR="00F3536C" w:rsidRPr="00A4272B" w:rsidRDefault="00F3536C" w:rsidP="00A41632">
            <w:pPr>
              <w:rPr>
                <w:color w:val="000000"/>
                <w:sz w:val="14"/>
                <w:szCs w:val="14"/>
                <w:lang w:val="en-US"/>
              </w:rPr>
            </w:pPr>
            <w:r w:rsidRPr="00A4272B">
              <w:rPr>
                <w:color w:val="000000"/>
                <w:sz w:val="14"/>
                <w:szCs w:val="14"/>
                <w:lang w:val="en-US"/>
              </w:rPr>
              <w:t>Iqaluit, NU</w:t>
            </w:r>
          </w:p>
        </w:tc>
        <w:tc>
          <w:tcPr>
            <w:tcW w:w="998" w:type="dxa"/>
            <w:noWrap/>
            <w:vAlign w:val="center"/>
            <w:hideMark/>
          </w:tcPr>
          <w:p w14:paraId="72FAE19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DAD10A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364DCDE" w14:textId="77777777" w:rsidR="00F3536C" w:rsidRPr="00A4272B" w:rsidRDefault="00F3536C" w:rsidP="00A41632">
            <w:pPr>
              <w:jc w:val="right"/>
              <w:rPr>
                <w:color w:val="000000"/>
                <w:sz w:val="14"/>
                <w:szCs w:val="14"/>
                <w:lang w:val="en-US"/>
              </w:rPr>
            </w:pPr>
            <w:r w:rsidRPr="00A4272B">
              <w:rPr>
                <w:color w:val="000000"/>
                <w:sz w:val="14"/>
                <w:szCs w:val="14"/>
                <w:lang w:val="en-US"/>
              </w:rPr>
              <w:t>63.740972</w:t>
            </w:r>
          </w:p>
        </w:tc>
        <w:tc>
          <w:tcPr>
            <w:tcW w:w="998" w:type="dxa"/>
            <w:noWrap/>
            <w:vAlign w:val="center"/>
            <w:hideMark/>
          </w:tcPr>
          <w:p w14:paraId="1F79F057" w14:textId="77777777" w:rsidR="00F3536C" w:rsidRPr="00A4272B" w:rsidRDefault="00F3536C" w:rsidP="00A41632">
            <w:pPr>
              <w:jc w:val="right"/>
              <w:rPr>
                <w:color w:val="000000"/>
                <w:sz w:val="14"/>
                <w:szCs w:val="14"/>
                <w:lang w:val="en-US"/>
              </w:rPr>
            </w:pPr>
            <w:r w:rsidRPr="00A4272B">
              <w:rPr>
                <w:color w:val="000000"/>
                <w:sz w:val="14"/>
                <w:szCs w:val="14"/>
                <w:lang w:val="en-US"/>
              </w:rPr>
              <w:t>-68.465833</w:t>
            </w:r>
          </w:p>
        </w:tc>
        <w:tc>
          <w:tcPr>
            <w:tcW w:w="859" w:type="dxa"/>
            <w:tcBorders>
              <w:top w:val="nil"/>
              <w:left w:val="nil"/>
              <w:bottom w:val="nil"/>
              <w:right w:val="single" w:sz="8" w:space="0" w:color="auto"/>
            </w:tcBorders>
            <w:noWrap/>
            <w:vAlign w:val="center"/>
            <w:hideMark/>
          </w:tcPr>
          <w:p w14:paraId="2405FC3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4A9B62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DBEC14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A098DF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B98406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AEAA88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750DE80" w14:textId="77777777" w:rsidR="00F3536C" w:rsidRPr="00A4272B" w:rsidRDefault="00F3536C" w:rsidP="00A41632">
            <w:pPr>
              <w:jc w:val="center"/>
              <w:rPr>
                <w:sz w:val="14"/>
                <w:szCs w:val="14"/>
                <w:lang w:val="en-US"/>
              </w:rPr>
            </w:pPr>
            <w:r w:rsidRPr="00A4272B">
              <w:rPr>
                <w:sz w:val="14"/>
                <w:szCs w:val="14"/>
                <w:lang w:val="en-US"/>
              </w:rPr>
              <w:t>2014</w:t>
            </w:r>
          </w:p>
        </w:tc>
      </w:tr>
      <w:tr w:rsidR="00F3536C" w:rsidRPr="00A4272B" w14:paraId="699FB570" w14:textId="77777777" w:rsidTr="00A41632">
        <w:trPr>
          <w:trHeight w:val="276"/>
          <w:jc w:val="center"/>
        </w:trPr>
        <w:tc>
          <w:tcPr>
            <w:tcW w:w="955" w:type="dxa"/>
            <w:tcBorders>
              <w:top w:val="nil"/>
              <w:left w:val="single" w:sz="8" w:space="0" w:color="auto"/>
              <w:bottom w:val="nil"/>
              <w:right w:val="nil"/>
            </w:tcBorders>
            <w:noWrap/>
            <w:vAlign w:val="center"/>
            <w:hideMark/>
          </w:tcPr>
          <w:p w14:paraId="4668E9CB"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41DDE7F6"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7918B2B0" w14:textId="77777777" w:rsidR="00F3536C" w:rsidRPr="00A4272B" w:rsidRDefault="00F3536C" w:rsidP="00A41632">
            <w:pPr>
              <w:rPr>
                <w:color w:val="000000"/>
                <w:sz w:val="14"/>
                <w:szCs w:val="14"/>
                <w:lang w:val="en-US"/>
              </w:rPr>
            </w:pPr>
            <w:r w:rsidRPr="00A4272B">
              <w:rPr>
                <w:color w:val="000000"/>
                <w:sz w:val="14"/>
                <w:szCs w:val="14"/>
                <w:lang w:val="en-US"/>
              </w:rPr>
              <w:t>Kuujjuaq, QC</w:t>
            </w:r>
          </w:p>
        </w:tc>
        <w:tc>
          <w:tcPr>
            <w:tcW w:w="998" w:type="dxa"/>
            <w:noWrap/>
            <w:vAlign w:val="center"/>
            <w:hideMark/>
          </w:tcPr>
          <w:p w14:paraId="438C007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6CFB099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5AB7AFB" w14:textId="77777777" w:rsidR="00F3536C" w:rsidRPr="00A4272B" w:rsidRDefault="00F3536C" w:rsidP="00A41632">
            <w:pPr>
              <w:jc w:val="right"/>
              <w:rPr>
                <w:color w:val="000000"/>
                <w:sz w:val="14"/>
                <w:szCs w:val="14"/>
                <w:lang w:val="en-US"/>
              </w:rPr>
            </w:pPr>
            <w:r w:rsidRPr="00A4272B">
              <w:rPr>
                <w:color w:val="000000"/>
                <w:sz w:val="14"/>
                <w:szCs w:val="14"/>
                <w:lang w:val="en-US"/>
              </w:rPr>
              <w:t>58.250000</w:t>
            </w:r>
          </w:p>
        </w:tc>
        <w:tc>
          <w:tcPr>
            <w:tcW w:w="998" w:type="dxa"/>
            <w:noWrap/>
            <w:vAlign w:val="center"/>
            <w:hideMark/>
          </w:tcPr>
          <w:p w14:paraId="4E99F814" w14:textId="77777777" w:rsidR="00F3536C" w:rsidRPr="00A4272B" w:rsidRDefault="00F3536C" w:rsidP="00A41632">
            <w:pPr>
              <w:jc w:val="right"/>
              <w:rPr>
                <w:color w:val="000000"/>
                <w:sz w:val="14"/>
                <w:szCs w:val="14"/>
                <w:lang w:val="en-US"/>
              </w:rPr>
            </w:pPr>
            <w:r w:rsidRPr="00A4272B">
              <w:rPr>
                <w:color w:val="000000"/>
                <w:sz w:val="14"/>
                <w:szCs w:val="14"/>
                <w:lang w:val="en-US"/>
              </w:rPr>
              <w:t>-68.350000</w:t>
            </w:r>
          </w:p>
        </w:tc>
        <w:tc>
          <w:tcPr>
            <w:tcW w:w="859" w:type="dxa"/>
            <w:tcBorders>
              <w:top w:val="nil"/>
              <w:left w:val="nil"/>
              <w:bottom w:val="nil"/>
              <w:right w:val="single" w:sz="8" w:space="0" w:color="auto"/>
            </w:tcBorders>
            <w:noWrap/>
            <w:vAlign w:val="center"/>
            <w:hideMark/>
          </w:tcPr>
          <w:p w14:paraId="03CEEBB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43573C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1A801F3"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55F7A8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AEC702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B98393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9D8B4DF"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5D084BDC" w14:textId="77777777" w:rsidTr="00A41632">
        <w:trPr>
          <w:trHeight w:val="276"/>
          <w:jc w:val="center"/>
        </w:trPr>
        <w:tc>
          <w:tcPr>
            <w:tcW w:w="955" w:type="dxa"/>
            <w:tcBorders>
              <w:top w:val="nil"/>
              <w:left w:val="single" w:sz="8" w:space="0" w:color="auto"/>
              <w:bottom w:val="nil"/>
              <w:right w:val="nil"/>
            </w:tcBorders>
            <w:noWrap/>
            <w:vAlign w:val="center"/>
            <w:hideMark/>
          </w:tcPr>
          <w:p w14:paraId="2F006F24"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3EB48FAB"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2FF879ED" w14:textId="77777777" w:rsidR="00F3536C" w:rsidRPr="00A4272B" w:rsidRDefault="00F3536C" w:rsidP="00A41632">
            <w:pPr>
              <w:rPr>
                <w:color w:val="000000"/>
                <w:sz w:val="14"/>
                <w:szCs w:val="14"/>
                <w:lang w:val="en-US"/>
              </w:rPr>
            </w:pPr>
            <w:r w:rsidRPr="00A4272B">
              <w:rPr>
                <w:color w:val="000000"/>
                <w:sz w:val="14"/>
                <w:szCs w:val="14"/>
                <w:lang w:val="en-US"/>
              </w:rPr>
              <w:t>Nain, NL</w:t>
            </w:r>
          </w:p>
        </w:tc>
        <w:tc>
          <w:tcPr>
            <w:tcW w:w="998" w:type="dxa"/>
            <w:noWrap/>
            <w:vAlign w:val="center"/>
            <w:hideMark/>
          </w:tcPr>
          <w:p w14:paraId="6A6A34A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0773471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C7BBF7B" w14:textId="77777777" w:rsidR="00F3536C" w:rsidRPr="00A4272B" w:rsidRDefault="00F3536C" w:rsidP="00A41632">
            <w:pPr>
              <w:jc w:val="right"/>
              <w:rPr>
                <w:color w:val="000000"/>
                <w:sz w:val="14"/>
                <w:szCs w:val="14"/>
                <w:lang w:val="en-US"/>
              </w:rPr>
            </w:pPr>
            <w:r w:rsidRPr="00A4272B">
              <w:rPr>
                <w:color w:val="000000"/>
                <w:sz w:val="14"/>
                <w:szCs w:val="14"/>
                <w:lang w:val="en-US"/>
              </w:rPr>
              <w:t>56.525278</w:t>
            </w:r>
          </w:p>
        </w:tc>
        <w:tc>
          <w:tcPr>
            <w:tcW w:w="998" w:type="dxa"/>
            <w:noWrap/>
            <w:vAlign w:val="center"/>
            <w:hideMark/>
          </w:tcPr>
          <w:p w14:paraId="626DC85E" w14:textId="77777777" w:rsidR="00F3536C" w:rsidRPr="00A4272B" w:rsidRDefault="00F3536C" w:rsidP="00A41632">
            <w:pPr>
              <w:jc w:val="right"/>
              <w:rPr>
                <w:color w:val="000000"/>
                <w:sz w:val="14"/>
                <w:szCs w:val="14"/>
                <w:lang w:val="en-US"/>
              </w:rPr>
            </w:pPr>
            <w:r w:rsidRPr="00A4272B">
              <w:rPr>
                <w:color w:val="000000"/>
                <w:sz w:val="14"/>
                <w:szCs w:val="14"/>
                <w:lang w:val="en-US"/>
              </w:rPr>
              <w:t>-61.724722</w:t>
            </w:r>
          </w:p>
        </w:tc>
        <w:tc>
          <w:tcPr>
            <w:tcW w:w="859" w:type="dxa"/>
            <w:tcBorders>
              <w:top w:val="nil"/>
              <w:left w:val="nil"/>
              <w:bottom w:val="nil"/>
              <w:right w:val="single" w:sz="8" w:space="0" w:color="auto"/>
            </w:tcBorders>
            <w:noWrap/>
            <w:vAlign w:val="center"/>
            <w:hideMark/>
          </w:tcPr>
          <w:p w14:paraId="28ACB39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47166F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D88E34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784262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3B8C70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2B8A3C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070A8CB"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3207012C" w14:textId="77777777" w:rsidTr="00A41632">
        <w:trPr>
          <w:trHeight w:val="276"/>
          <w:jc w:val="center"/>
        </w:trPr>
        <w:tc>
          <w:tcPr>
            <w:tcW w:w="955" w:type="dxa"/>
            <w:tcBorders>
              <w:top w:val="nil"/>
              <w:left w:val="single" w:sz="8" w:space="0" w:color="auto"/>
              <w:bottom w:val="nil"/>
              <w:right w:val="nil"/>
            </w:tcBorders>
            <w:noWrap/>
            <w:vAlign w:val="center"/>
            <w:hideMark/>
          </w:tcPr>
          <w:p w14:paraId="22532824" w14:textId="77777777" w:rsidR="00F3536C" w:rsidRPr="00A4272B" w:rsidRDefault="00F3536C" w:rsidP="00A41632">
            <w:pPr>
              <w:rPr>
                <w:color w:val="000000"/>
                <w:sz w:val="14"/>
                <w:szCs w:val="14"/>
                <w:lang w:val="en-US"/>
              </w:rPr>
            </w:pPr>
            <w:r w:rsidRPr="00A4272B">
              <w:rPr>
                <w:color w:val="000000"/>
                <w:sz w:val="14"/>
                <w:szCs w:val="14"/>
                <w:lang w:val="en-US"/>
              </w:rPr>
              <w:t>NCP</w:t>
            </w:r>
          </w:p>
        </w:tc>
        <w:tc>
          <w:tcPr>
            <w:tcW w:w="1391" w:type="dxa"/>
            <w:noWrap/>
            <w:vAlign w:val="center"/>
            <w:hideMark/>
          </w:tcPr>
          <w:p w14:paraId="6B37B229" w14:textId="77777777" w:rsidR="00F3536C" w:rsidRPr="00A4272B" w:rsidRDefault="00F3536C" w:rsidP="00A41632">
            <w:pPr>
              <w:rPr>
                <w:color w:val="000000"/>
                <w:sz w:val="14"/>
                <w:szCs w:val="14"/>
                <w:lang w:val="en-US"/>
              </w:rPr>
            </w:pPr>
            <w:r w:rsidRPr="00A4272B">
              <w:rPr>
                <w:color w:val="000000"/>
                <w:sz w:val="14"/>
                <w:szCs w:val="14"/>
                <w:lang w:val="en-US"/>
              </w:rPr>
              <w:t>Canada</w:t>
            </w:r>
          </w:p>
        </w:tc>
        <w:tc>
          <w:tcPr>
            <w:tcW w:w="2504" w:type="dxa"/>
            <w:noWrap/>
            <w:vAlign w:val="center"/>
            <w:hideMark/>
          </w:tcPr>
          <w:p w14:paraId="52BABADE" w14:textId="77777777" w:rsidR="00F3536C" w:rsidRPr="00A4272B" w:rsidRDefault="00F3536C" w:rsidP="00A41632">
            <w:pPr>
              <w:rPr>
                <w:color w:val="000000"/>
                <w:sz w:val="14"/>
                <w:szCs w:val="14"/>
                <w:lang w:val="en-US"/>
              </w:rPr>
            </w:pPr>
            <w:r w:rsidRPr="00A4272B">
              <w:rPr>
                <w:color w:val="000000"/>
                <w:sz w:val="14"/>
                <w:szCs w:val="14"/>
                <w:lang w:val="en-US"/>
              </w:rPr>
              <w:t>Northwest River, NL</w:t>
            </w:r>
          </w:p>
        </w:tc>
        <w:tc>
          <w:tcPr>
            <w:tcW w:w="998" w:type="dxa"/>
            <w:noWrap/>
            <w:vAlign w:val="center"/>
            <w:hideMark/>
          </w:tcPr>
          <w:p w14:paraId="609FA6B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67CCCDE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703A23C" w14:textId="77777777" w:rsidR="00F3536C" w:rsidRPr="00A4272B" w:rsidRDefault="00F3536C" w:rsidP="00A41632">
            <w:pPr>
              <w:jc w:val="right"/>
              <w:rPr>
                <w:color w:val="000000"/>
                <w:sz w:val="14"/>
                <w:szCs w:val="14"/>
                <w:lang w:val="en-US"/>
              </w:rPr>
            </w:pPr>
            <w:r w:rsidRPr="00A4272B">
              <w:rPr>
                <w:color w:val="000000"/>
                <w:sz w:val="14"/>
                <w:szCs w:val="14"/>
                <w:lang w:val="en-US"/>
              </w:rPr>
              <w:t>53.560556</w:t>
            </w:r>
          </w:p>
        </w:tc>
        <w:tc>
          <w:tcPr>
            <w:tcW w:w="998" w:type="dxa"/>
            <w:noWrap/>
            <w:vAlign w:val="center"/>
            <w:hideMark/>
          </w:tcPr>
          <w:p w14:paraId="21739BAF" w14:textId="77777777" w:rsidR="00F3536C" w:rsidRPr="00A4272B" w:rsidRDefault="00F3536C" w:rsidP="00A41632">
            <w:pPr>
              <w:jc w:val="right"/>
              <w:rPr>
                <w:color w:val="000000"/>
                <w:sz w:val="14"/>
                <w:szCs w:val="14"/>
                <w:lang w:val="en-US"/>
              </w:rPr>
            </w:pPr>
            <w:r w:rsidRPr="00A4272B">
              <w:rPr>
                <w:color w:val="000000"/>
                <w:sz w:val="14"/>
                <w:szCs w:val="14"/>
                <w:lang w:val="en-US"/>
              </w:rPr>
              <w:t>-60.137222</w:t>
            </w:r>
          </w:p>
        </w:tc>
        <w:tc>
          <w:tcPr>
            <w:tcW w:w="859" w:type="dxa"/>
            <w:tcBorders>
              <w:top w:val="nil"/>
              <w:left w:val="nil"/>
              <w:bottom w:val="nil"/>
              <w:right w:val="single" w:sz="8" w:space="0" w:color="auto"/>
            </w:tcBorders>
            <w:noWrap/>
            <w:vAlign w:val="center"/>
            <w:hideMark/>
          </w:tcPr>
          <w:p w14:paraId="6B2851C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4D62AE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7384060"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40A6AA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EAA895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F62E3E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FCE224F"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06B800E5" w14:textId="77777777" w:rsidTr="00A41632">
        <w:trPr>
          <w:trHeight w:val="288"/>
          <w:jc w:val="center"/>
        </w:trPr>
        <w:tc>
          <w:tcPr>
            <w:tcW w:w="14633" w:type="dxa"/>
            <w:gridSpan w:val="14"/>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51C4D1F8" w14:textId="77777777" w:rsidR="00F3536C" w:rsidRPr="00A4272B" w:rsidRDefault="00F3536C" w:rsidP="00A41632">
            <w:pPr>
              <w:rPr>
                <w:b/>
                <w:bCs/>
                <w:sz w:val="14"/>
                <w:szCs w:val="14"/>
                <w:lang w:val="en-US"/>
              </w:rPr>
            </w:pPr>
            <w:r w:rsidRPr="00A4272B">
              <w:rPr>
                <w:b/>
                <w:bCs/>
                <w:sz w:val="14"/>
                <w:szCs w:val="14"/>
                <w:lang w:val="en-US"/>
              </w:rPr>
              <w:t>EUROPE &amp; WEST ASIA</w:t>
            </w:r>
          </w:p>
        </w:tc>
      </w:tr>
      <w:tr w:rsidR="00F3536C" w:rsidRPr="00A4272B" w14:paraId="0ACF0B15" w14:textId="77777777" w:rsidTr="00A41632">
        <w:trPr>
          <w:trHeight w:val="276"/>
          <w:jc w:val="center"/>
        </w:trPr>
        <w:tc>
          <w:tcPr>
            <w:tcW w:w="955" w:type="dxa"/>
            <w:tcBorders>
              <w:top w:val="nil"/>
              <w:left w:val="single" w:sz="8" w:space="0" w:color="auto"/>
              <w:bottom w:val="nil"/>
              <w:right w:val="nil"/>
            </w:tcBorders>
            <w:noWrap/>
            <w:vAlign w:val="center"/>
            <w:hideMark/>
          </w:tcPr>
          <w:p w14:paraId="5C0716F3" w14:textId="77777777" w:rsidR="00F3536C" w:rsidRPr="00A4272B" w:rsidRDefault="00F3536C" w:rsidP="00A41632">
            <w:pPr>
              <w:rPr>
                <w:color w:val="000000"/>
                <w:sz w:val="14"/>
                <w:szCs w:val="14"/>
                <w:lang w:val="en-US"/>
              </w:rPr>
            </w:pPr>
            <w:r w:rsidRPr="00A4272B">
              <w:rPr>
                <w:color w:val="000000"/>
                <w:sz w:val="14"/>
                <w:szCs w:val="14"/>
                <w:lang w:val="en-US"/>
              </w:rPr>
              <w:t>EMEP</w:t>
            </w:r>
          </w:p>
        </w:tc>
        <w:tc>
          <w:tcPr>
            <w:tcW w:w="1391" w:type="dxa"/>
            <w:noWrap/>
            <w:vAlign w:val="center"/>
            <w:hideMark/>
          </w:tcPr>
          <w:p w14:paraId="1708463E"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337B6375" w14:textId="77777777" w:rsidR="00F3536C" w:rsidRPr="00A4272B" w:rsidRDefault="00F3536C" w:rsidP="00A41632">
            <w:pPr>
              <w:rPr>
                <w:color w:val="000000"/>
                <w:sz w:val="14"/>
                <w:szCs w:val="14"/>
                <w:lang w:val="en-US"/>
              </w:rPr>
            </w:pPr>
            <w:r w:rsidRPr="00A4272B">
              <w:rPr>
                <w:color w:val="000000"/>
                <w:sz w:val="14"/>
                <w:szCs w:val="14"/>
                <w:lang w:val="en-US"/>
              </w:rPr>
              <w:t>Košetice</w:t>
            </w:r>
          </w:p>
        </w:tc>
        <w:tc>
          <w:tcPr>
            <w:tcW w:w="998" w:type="dxa"/>
            <w:noWrap/>
            <w:vAlign w:val="center"/>
            <w:hideMark/>
          </w:tcPr>
          <w:p w14:paraId="1FA35C6B" w14:textId="77777777" w:rsidR="00F3536C" w:rsidRPr="00A4272B" w:rsidRDefault="00F3536C" w:rsidP="00A41632">
            <w:pPr>
              <w:jc w:val="center"/>
              <w:rPr>
                <w:color w:val="000000"/>
                <w:sz w:val="14"/>
                <w:szCs w:val="14"/>
                <w:lang w:val="en-US"/>
              </w:rPr>
            </w:pPr>
            <w:r w:rsidRPr="00A4272B">
              <w:rPr>
                <w:color w:val="000000"/>
                <w:sz w:val="14"/>
                <w:szCs w:val="14"/>
                <w:lang w:val="en-US"/>
              </w:rPr>
              <w:t>CZ0003R</w:t>
            </w:r>
          </w:p>
        </w:tc>
        <w:tc>
          <w:tcPr>
            <w:tcW w:w="1342" w:type="dxa"/>
            <w:noWrap/>
            <w:vAlign w:val="center"/>
            <w:hideMark/>
          </w:tcPr>
          <w:p w14:paraId="591D3156"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4FFAA07C" w14:textId="77777777" w:rsidR="00F3536C" w:rsidRPr="00A4272B" w:rsidRDefault="00F3536C" w:rsidP="00A41632">
            <w:pPr>
              <w:jc w:val="right"/>
              <w:rPr>
                <w:color w:val="000000"/>
                <w:sz w:val="14"/>
                <w:szCs w:val="14"/>
                <w:lang w:val="en-US"/>
              </w:rPr>
            </w:pPr>
            <w:r w:rsidRPr="00A4272B">
              <w:rPr>
                <w:color w:val="000000"/>
                <w:sz w:val="14"/>
                <w:szCs w:val="14"/>
                <w:lang w:val="en-US"/>
              </w:rPr>
              <w:t>49.573450</w:t>
            </w:r>
          </w:p>
        </w:tc>
        <w:tc>
          <w:tcPr>
            <w:tcW w:w="998" w:type="dxa"/>
            <w:noWrap/>
            <w:vAlign w:val="center"/>
            <w:hideMark/>
          </w:tcPr>
          <w:p w14:paraId="5CEB92A2" w14:textId="77777777" w:rsidR="00F3536C" w:rsidRPr="00A4272B" w:rsidRDefault="00F3536C" w:rsidP="00A41632">
            <w:pPr>
              <w:jc w:val="right"/>
              <w:rPr>
                <w:color w:val="000000"/>
                <w:sz w:val="14"/>
                <w:szCs w:val="14"/>
                <w:lang w:val="en-US"/>
              </w:rPr>
            </w:pPr>
            <w:r w:rsidRPr="00A4272B">
              <w:rPr>
                <w:color w:val="000000"/>
                <w:sz w:val="14"/>
                <w:szCs w:val="14"/>
                <w:lang w:val="en-US"/>
              </w:rPr>
              <w:t>15.080410</w:t>
            </w:r>
          </w:p>
        </w:tc>
        <w:tc>
          <w:tcPr>
            <w:tcW w:w="859" w:type="dxa"/>
            <w:tcBorders>
              <w:top w:val="nil"/>
              <w:left w:val="nil"/>
              <w:bottom w:val="nil"/>
              <w:right w:val="single" w:sz="8" w:space="0" w:color="auto"/>
            </w:tcBorders>
            <w:noWrap/>
            <w:vAlign w:val="center"/>
            <w:hideMark/>
          </w:tcPr>
          <w:p w14:paraId="546525AB" w14:textId="77777777" w:rsidR="00F3536C" w:rsidRPr="00A4272B" w:rsidRDefault="00F3536C" w:rsidP="00A41632">
            <w:pPr>
              <w:jc w:val="center"/>
              <w:rPr>
                <w:color w:val="000000"/>
                <w:sz w:val="14"/>
                <w:szCs w:val="14"/>
                <w:lang w:val="en-US"/>
              </w:rPr>
            </w:pPr>
            <w:r w:rsidRPr="00A4272B">
              <w:rPr>
                <w:color w:val="000000"/>
                <w:sz w:val="14"/>
                <w:szCs w:val="14"/>
                <w:lang w:val="en-US"/>
              </w:rPr>
              <w:t>534</w:t>
            </w:r>
          </w:p>
        </w:tc>
        <w:tc>
          <w:tcPr>
            <w:tcW w:w="792" w:type="dxa"/>
            <w:noWrap/>
            <w:vAlign w:val="center"/>
            <w:hideMark/>
          </w:tcPr>
          <w:p w14:paraId="476302A3"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3C69082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46B5B79" w14:textId="77777777" w:rsidR="00F3536C" w:rsidRPr="00A4272B" w:rsidRDefault="00F3536C" w:rsidP="00A41632">
            <w:pPr>
              <w:jc w:val="center"/>
              <w:rPr>
                <w:color w:val="000000"/>
                <w:sz w:val="14"/>
                <w:szCs w:val="14"/>
                <w:lang w:val="en-US"/>
              </w:rPr>
            </w:pPr>
            <w:r w:rsidRPr="00A4272B">
              <w:rPr>
                <w:color w:val="000000"/>
                <w:sz w:val="14"/>
                <w:szCs w:val="14"/>
                <w:lang w:val="en-US"/>
              </w:rPr>
              <w:t>~700 m³/d</w:t>
            </w:r>
          </w:p>
        </w:tc>
        <w:tc>
          <w:tcPr>
            <w:tcW w:w="831" w:type="dxa"/>
            <w:noWrap/>
            <w:vAlign w:val="center"/>
            <w:hideMark/>
          </w:tcPr>
          <w:p w14:paraId="45A1027B" w14:textId="77777777" w:rsidR="00F3536C" w:rsidRPr="00A4272B" w:rsidRDefault="00F3536C" w:rsidP="00A41632">
            <w:pPr>
              <w:jc w:val="center"/>
              <w:rPr>
                <w:color w:val="000000"/>
                <w:sz w:val="14"/>
                <w:szCs w:val="14"/>
                <w:lang w:val="en-US"/>
              </w:rPr>
            </w:pPr>
            <w:r w:rsidRPr="00A4272B">
              <w:rPr>
                <w:color w:val="000000"/>
                <w:sz w:val="14"/>
                <w:szCs w:val="14"/>
                <w:lang w:val="en-US"/>
              </w:rPr>
              <w:t>24 h</w:t>
            </w:r>
          </w:p>
        </w:tc>
        <w:tc>
          <w:tcPr>
            <w:tcW w:w="924" w:type="dxa"/>
            <w:noWrap/>
            <w:vAlign w:val="center"/>
            <w:hideMark/>
          </w:tcPr>
          <w:p w14:paraId="4CE8F423"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612" w:type="dxa"/>
            <w:tcBorders>
              <w:top w:val="nil"/>
              <w:left w:val="nil"/>
              <w:bottom w:val="nil"/>
              <w:right w:val="single" w:sz="8" w:space="0" w:color="auto"/>
            </w:tcBorders>
            <w:noWrap/>
            <w:vAlign w:val="center"/>
            <w:hideMark/>
          </w:tcPr>
          <w:p w14:paraId="1FEAB92F" w14:textId="77777777" w:rsidR="00F3536C" w:rsidRPr="00A4272B" w:rsidRDefault="00F3536C" w:rsidP="00A41632">
            <w:pPr>
              <w:jc w:val="center"/>
              <w:rPr>
                <w:sz w:val="14"/>
                <w:szCs w:val="14"/>
                <w:lang w:val="en-US"/>
              </w:rPr>
            </w:pPr>
            <w:r w:rsidRPr="00A4272B">
              <w:rPr>
                <w:sz w:val="14"/>
                <w:szCs w:val="14"/>
                <w:lang w:val="en-US"/>
              </w:rPr>
              <w:t>2005</w:t>
            </w:r>
          </w:p>
        </w:tc>
      </w:tr>
      <w:tr w:rsidR="00F3536C" w:rsidRPr="00A4272B" w14:paraId="23AD49BA" w14:textId="77777777" w:rsidTr="00A41632">
        <w:trPr>
          <w:trHeight w:val="276"/>
          <w:jc w:val="center"/>
        </w:trPr>
        <w:tc>
          <w:tcPr>
            <w:tcW w:w="955" w:type="dxa"/>
            <w:tcBorders>
              <w:top w:val="nil"/>
              <w:left w:val="single" w:sz="8" w:space="0" w:color="auto"/>
              <w:bottom w:val="nil"/>
              <w:right w:val="nil"/>
            </w:tcBorders>
            <w:noWrap/>
            <w:vAlign w:val="center"/>
            <w:hideMark/>
          </w:tcPr>
          <w:p w14:paraId="43E8D149" w14:textId="77777777" w:rsidR="00F3536C" w:rsidRPr="00A4272B" w:rsidRDefault="00F3536C" w:rsidP="00A41632">
            <w:pPr>
              <w:rPr>
                <w:color w:val="000000"/>
                <w:sz w:val="14"/>
                <w:szCs w:val="14"/>
                <w:lang w:val="en-US"/>
              </w:rPr>
            </w:pPr>
            <w:r w:rsidRPr="00A4272B">
              <w:rPr>
                <w:color w:val="000000"/>
                <w:sz w:val="14"/>
                <w:szCs w:val="14"/>
                <w:lang w:val="en-US"/>
              </w:rPr>
              <w:t>EMEP</w:t>
            </w:r>
          </w:p>
        </w:tc>
        <w:tc>
          <w:tcPr>
            <w:tcW w:w="1391" w:type="dxa"/>
            <w:noWrap/>
            <w:vAlign w:val="center"/>
            <w:hideMark/>
          </w:tcPr>
          <w:p w14:paraId="55B1C140" w14:textId="77777777" w:rsidR="00F3536C" w:rsidRPr="00A4272B" w:rsidRDefault="00F3536C" w:rsidP="00A41632">
            <w:pPr>
              <w:rPr>
                <w:color w:val="000000"/>
                <w:sz w:val="14"/>
                <w:szCs w:val="14"/>
                <w:lang w:val="en-US"/>
              </w:rPr>
            </w:pPr>
            <w:r w:rsidRPr="00A4272B">
              <w:rPr>
                <w:color w:val="000000"/>
                <w:sz w:val="14"/>
                <w:szCs w:val="14"/>
                <w:lang w:val="en-US"/>
              </w:rPr>
              <w:t>Finland</w:t>
            </w:r>
          </w:p>
        </w:tc>
        <w:tc>
          <w:tcPr>
            <w:tcW w:w="2504" w:type="dxa"/>
            <w:noWrap/>
            <w:vAlign w:val="center"/>
            <w:hideMark/>
          </w:tcPr>
          <w:p w14:paraId="1F4F8506" w14:textId="77777777" w:rsidR="00F3536C" w:rsidRPr="00A4272B" w:rsidRDefault="00F3536C" w:rsidP="00A41632">
            <w:pPr>
              <w:rPr>
                <w:color w:val="000000"/>
                <w:sz w:val="14"/>
                <w:szCs w:val="14"/>
                <w:lang w:val="en-US"/>
              </w:rPr>
            </w:pPr>
            <w:r w:rsidRPr="00A4272B">
              <w:rPr>
                <w:color w:val="000000"/>
                <w:sz w:val="14"/>
                <w:szCs w:val="14"/>
                <w:lang w:val="en-US"/>
              </w:rPr>
              <w:t>Pallas / Matorova</w:t>
            </w:r>
          </w:p>
        </w:tc>
        <w:tc>
          <w:tcPr>
            <w:tcW w:w="998" w:type="dxa"/>
            <w:noWrap/>
            <w:vAlign w:val="center"/>
            <w:hideMark/>
          </w:tcPr>
          <w:p w14:paraId="48AF09AD" w14:textId="77777777" w:rsidR="00F3536C" w:rsidRPr="00A4272B" w:rsidRDefault="00F3536C" w:rsidP="00A41632">
            <w:pPr>
              <w:jc w:val="center"/>
              <w:rPr>
                <w:color w:val="000000"/>
                <w:sz w:val="14"/>
                <w:szCs w:val="14"/>
                <w:lang w:val="en-US"/>
              </w:rPr>
            </w:pPr>
            <w:r w:rsidRPr="00A4272B">
              <w:rPr>
                <w:color w:val="000000"/>
                <w:sz w:val="14"/>
                <w:szCs w:val="14"/>
                <w:lang w:val="en-US"/>
              </w:rPr>
              <w:t>FI0036R</w:t>
            </w:r>
          </w:p>
        </w:tc>
        <w:tc>
          <w:tcPr>
            <w:tcW w:w="1342" w:type="dxa"/>
            <w:noWrap/>
            <w:vAlign w:val="center"/>
            <w:hideMark/>
          </w:tcPr>
          <w:p w14:paraId="7E130B29"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3BA01184" w14:textId="77777777" w:rsidR="00F3536C" w:rsidRPr="00A4272B" w:rsidRDefault="00F3536C" w:rsidP="00A41632">
            <w:pPr>
              <w:jc w:val="right"/>
              <w:rPr>
                <w:color w:val="000000"/>
                <w:sz w:val="14"/>
                <w:szCs w:val="14"/>
                <w:lang w:val="en-US"/>
              </w:rPr>
            </w:pPr>
            <w:r w:rsidRPr="00A4272B">
              <w:rPr>
                <w:color w:val="000000"/>
                <w:sz w:val="14"/>
                <w:szCs w:val="14"/>
                <w:lang w:val="en-US"/>
              </w:rPr>
              <w:t>68.000480</w:t>
            </w:r>
          </w:p>
        </w:tc>
        <w:tc>
          <w:tcPr>
            <w:tcW w:w="998" w:type="dxa"/>
            <w:noWrap/>
            <w:vAlign w:val="center"/>
            <w:hideMark/>
          </w:tcPr>
          <w:p w14:paraId="06CCC4E8" w14:textId="77777777" w:rsidR="00F3536C" w:rsidRPr="00A4272B" w:rsidRDefault="00F3536C" w:rsidP="00A41632">
            <w:pPr>
              <w:jc w:val="right"/>
              <w:rPr>
                <w:color w:val="000000"/>
                <w:sz w:val="14"/>
                <w:szCs w:val="14"/>
                <w:lang w:val="en-US"/>
              </w:rPr>
            </w:pPr>
            <w:r w:rsidRPr="00A4272B">
              <w:rPr>
                <w:color w:val="000000"/>
                <w:sz w:val="14"/>
                <w:szCs w:val="14"/>
                <w:lang w:val="en-US"/>
              </w:rPr>
              <w:t>24.245660</w:t>
            </w:r>
          </w:p>
        </w:tc>
        <w:tc>
          <w:tcPr>
            <w:tcW w:w="859" w:type="dxa"/>
            <w:tcBorders>
              <w:top w:val="nil"/>
              <w:left w:val="nil"/>
              <w:bottom w:val="nil"/>
              <w:right w:val="single" w:sz="8" w:space="0" w:color="auto"/>
            </w:tcBorders>
            <w:noWrap/>
            <w:vAlign w:val="center"/>
            <w:hideMark/>
          </w:tcPr>
          <w:p w14:paraId="78AAA47C" w14:textId="77777777" w:rsidR="00F3536C" w:rsidRPr="00A4272B" w:rsidRDefault="00F3536C" w:rsidP="00A41632">
            <w:pPr>
              <w:jc w:val="center"/>
              <w:rPr>
                <w:color w:val="000000"/>
                <w:sz w:val="14"/>
                <w:szCs w:val="14"/>
                <w:lang w:val="en-US"/>
              </w:rPr>
            </w:pPr>
            <w:r w:rsidRPr="00A4272B">
              <w:rPr>
                <w:color w:val="000000"/>
                <w:sz w:val="14"/>
                <w:szCs w:val="14"/>
                <w:lang w:val="en-US"/>
              </w:rPr>
              <w:t>340</w:t>
            </w:r>
          </w:p>
        </w:tc>
        <w:tc>
          <w:tcPr>
            <w:tcW w:w="792" w:type="dxa"/>
            <w:noWrap/>
            <w:vAlign w:val="center"/>
            <w:hideMark/>
          </w:tcPr>
          <w:p w14:paraId="45752FB1"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3BB382E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37" w:type="dxa"/>
            <w:noWrap/>
            <w:vAlign w:val="center"/>
            <w:hideMark/>
          </w:tcPr>
          <w:p w14:paraId="70B0A297" w14:textId="77777777" w:rsidR="00F3536C" w:rsidRPr="00A4272B" w:rsidRDefault="00F3536C" w:rsidP="00A41632">
            <w:pPr>
              <w:jc w:val="center"/>
              <w:rPr>
                <w:color w:val="000000"/>
                <w:sz w:val="14"/>
                <w:szCs w:val="14"/>
                <w:lang w:val="en-US"/>
              </w:rPr>
            </w:pPr>
            <w:r w:rsidRPr="00A4272B">
              <w:rPr>
                <w:color w:val="000000"/>
                <w:sz w:val="14"/>
                <w:szCs w:val="14"/>
                <w:lang w:val="en-US"/>
              </w:rPr>
              <w:t>Hi. Vol.</w:t>
            </w:r>
          </w:p>
        </w:tc>
        <w:tc>
          <w:tcPr>
            <w:tcW w:w="831" w:type="dxa"/>
            <w:noWrap/>
            <w:vAlign w:val="center"/>
            <w:hideMark/>
          </w:tcPr>
          <w:p w14:paraId="435A652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7DE865F5"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612" w:type="dxa"/>
            <w:tcBorders>
              <w:top w:val="nil"/>
              <w:left w:val="nil"/>
              <w:bottom w:val="nil"/>
              <w:right w:val="single" w:sz="8" w:space="0" w:color="auto"/>
            </w:tcBorders>
            <w:noWrap/>
            <w:vAlign w:val="center"/>
            <w:hideMark/>
          </w:tcPr>
          <w:p w14:paraId="579C5672" w14:textId="77777777" w:rsidR="00F3536C" w:rsidRPr="00A4272B" w:rsidRDefault="00F3536C" w:rsidP="00A41632">
            <w:pPr>
              <w:jc w:val="center"/>
              <w:rPr>
                <w:sz w:val="14"/>
                <w:szCs w:val="14"/>
                <w:lang w:val="en-US"/>
              </w:rPr>
            </w:pPr>
            <w:r w:rsidRPr="00A4272B">
              <w:rPr>
                <w:sz w:val="14"/>
                <w:szCs w:val="14"/>
                <w:lang w:val="en-US"/>
              </w:rPr>
              <w:t>1996</w:t>
            </w:r>
          </w:p>
        </w:tc>
      </w:tr>
      <w:tr w:rsidR="00F3536C" w:rsidRPr="00A4272B" w14:paraId="34ACEC3D" w14:textId="77777777" w:rsidTr="00A41632">
        <w:trPr>
          <w:trHeight w:val="276"/>
          <w:jc w:val="center"/>
        </w:trPr>
        <w:tc>
          <w:tcPr>
            <w:tcW w:w="955" w:type="dxa"/>
            <w:tcBorders>
              <w:top w:val="nil"/>
              <w:left w:val="single" w:sz="8" w:space="0" w:color="auto"/>
              <w:bottom w:val="nil"/>
              <w:right w:val="nil"/>
            </w:tcBorders>
            <w:noWrap/>
            <w:vAlign w:val="center"/>
            <w:hideMark/>
          </w:tcPr>
          <w:p w14:paraId="49F23724" w14:textId="77777777" w:rsidR="00F3536C" w:rsidRPr="00A4272B" w:rsidRDefault="00F3536C" w:rsidP="00A41632">
            <w:pPr>
              <w:rPr>
                <w:color w:val="000000"/>
                <w:sz w:val="14"/>
                <w:szCs w:val="14"/>
                <w:lang w:val="en-US"/>
              </w:rPr>
            </w:pPr>
            <w:r w:rsidRPr="00A4272B">
              <w:rPr>
                <w:color w:val="000000"/>
                <w:sz w:val="14"/>
                <w:szCs w:val="14"/>
                <w:lang w:val="en-US"/>
              </w:rPr>
              <w:t>EMEP</w:t>
            </w:r>
          </w:p>
        </w:tc>
        <w:tc>
          <w:tcPr>
            <w:tcW w:w="1391" w:type="dxa"/>
            <w:noWrap/>
            <w:vAlign w:val="center"/>
            <w:hideMark/>
          </w:tcPr>
          <w:p w14:paraId="6C3A405C" w14:textId="77777777" w:rsidR="00F3536C" w:rsidRPr="00A4272B" w:rsidRDefault="00F3536C" w:rsidP="00A41632">
            <w:pPr>
              <w:rPr>
                <w:color w:val="000000"/>
                <w:sz w:val="14"/>
                <w:szCs w:val="14"/>
                <w:lang w:val="en-US"/>
              </w:rPr>
            </w:pPr>
            <w:r w:rsidRPr="00A4272B">
              <w:rPr>
                <w:color w:val="000000"/>
                <w:sz w:val="14"/>
                <w:szCs w:val="14"/>
                <w:lang w:val="en-US"/>
              </w:rPr>
              <w:t>Norway</w:t>
            </w:r>
          </w:p>
        </w:tc>
        <w:tc>
          <w:tcPr>
            <w:tcW w:w="2504" w:type="dxa"/>
            <w:noWrap/>
            <w:vAlign w:val="center"/>
            <w:hideMark/>
          </w:tcPr>
          <w:p w14:paraId="11C3F2ED" w14:textId="77777777" w:rsidR="00F3536C" w:rsidRPr="00A4272B" w:rsidRDefault="00F3536C" w:rsidP="00A41632">
            <w:pPr>
              <w:rPr>
                <w:color w:val="000000"/>
                <w:sz w:val="14"/>
                <w:szCs w:val="14"/>
                <w:lang w:val="en-US"/>
              </w:rPr>
            </w:pPr>
            <w:r w:rsidRPr="00A4272B">
              <w:rPr>
                <w:color w:val="000000"/>
                <w:sz w:val="14"/>
                <w:szCs w:val="14"/>
                <w:lang w:val="en-US"/>
              </w:rPr>
              <w:t>Andoya</w:t>
            </w:r>
          </w:p>
        </w:tc>
        <w:tc>
          <w:tcPr>
            <w:tcW w:w="998" w:type="dxa"/>
            <w:noWrap/>
            <w:vAlign w:val="center"/>
            <w:hideMark/>
          </w:tcPr>
          <w:p w14:paraId="254B17FC" w14:textId="77777777" w:rsidR="00F3536C" w:rsidRPr="00A4272B" w:rsidRDefault="00F3536C" w:rsidP="00A41632">
            <w:pPr>
              <w:jc w:val="center"/>
              <w:rPr>
                <w:color w:val="000000"/>
                <w:sz w:val="14"/>
                <w:szCs w:val="14"/>
                <w:lang w:val="en-US"/>
              </w:rPr>
            </w:pPr>
            <w:r w:rsidRPr="00A4272B">
              <w:rPr>
                <w:color w:val="000000"/>
                <w:sz w:val="14"/>
                <w:szCs w:val="14"/>
                <w:lang w:val="en-US"/>
              </w:rPr>
              <w:t>NO0090R</w:t>
            </w:r>
          </w:p>
        </w:tc>
        <w:tc>
          <w:tcPr>
            <w:tcW w:w="1342" w:type="dxa"/>
            <w:noWrap/>
            <w:vAlign w:val="center"/>
            <w:hideMark/>
          </w:tcPr>
          <w:p w14:paraId="4CE3E6A1"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5E137E49" w14:textId="77777777" w:rsidR="00F3536C" w:rsidRPr="00A4272B" w:rsidRDefault="00F3536C" w:rsidP="00A41632">
            <w:pPr>
              <w:jc w:val="right"/>
              <w:rPr>
                <w:color w:val="000000"/>
                <w:sz w:val="14"/>
                <w:szCs w:val="14"/>
                <w:lang w:val="en-US"/>
              </w:rPr>
            </w:pPr>
            <w:r w:rsidRPr="00A4272B">
              <w:rPr>
                <w:color w:val="000000"/>
                <w:sz w:val="14"/>
                <w:szCs w:val="14"/>
                <w:lang w:val="en-US"/>
              </w:rPr>
              <w:t>69.278330</w:t>
            </w:r>
          </w:p>
        </w:tc>
        <w:tc>
          <w:tcPr>
            <w:tcW w:w="998" w:type="dxa"/>
            <w:noWrap/>
            <w:vAlign w:val="center"/>
            <w:hideMark/>
          </w:tcPr>
          <w:p w14:paraId="2CE0A185" w14:textId="77777777" w:rsidR="00F3536C" w:rsidRPr="00A4272B" w:rsidRDefault="00F3536C" w:rsidP="00A41632">
            <w:pPr>
              <w:jc w:val="right"/>
              <w:rPr>
                <w:color w:val="000000"/>
                <w:sz w:val="14"/>
                <w:szCs w:val="14"/>
                <w:lang w:val="en-US"/>
              </w:rPr>
            </w:pPr>
            <w:r w:rsidRPr="00A4272B">
              <w:rPr>
                <w:color w:val="000000"/>
                <w:sz w:val="14"/>
                <w:szCs w:val="14"/>
                <w:lang w:val="en-US"/>
              </w:rPr>
              <w:t>16.011670</w:t>
            </w:r>
          </w:p>
        </w:tc>
        <w:tc>
          <w:tcPr>
            <w:tcW w:w="859" w:type="dxa"/>
            <w:tcBorders>
              <w:top w:val="nil"/>
              <w:left w:val="nil"/>
              <w:bottom w:val="nil"/>
              <w:right w:val="single" w:sz="8" w:space="0" w:color="auto"/>
            </w:tcBorders>
            <w:noWrap/>
            <w:vAlign w:val="center"/>
            <w:hideMark/>
          </w:tcPr>
          <w:p w14:paraId="40A12D7A" w14:textId="77777777" w:rsidR="00F3536C" w:rsidRPr="00A4272B" w:rsidRDefault="00F3536C" w:rsidP="00A41632">
            <w:pPr>
              <w:jc w:val="center"/>
              <w:rPr>
                <w:color w:val="000000"/>
                <w:sz w:val="14"/>
                <w:szCs w:val="14"/>
                <w:lang w:val="en-US"/>
              </w:rPr>
            </w:pPr>
            <w:r w:rsidRPr="00A4272B">
              <w:rPr>
                <w:color w:val="000000"/>
                <w:sz w:val="14"/>
                <w:szCs w:val="14"/>
                <w:lang w:val="en-US"/>
              </w:rPr>
              <w:t>380</w:t>
            </w:r>
          </w:p>
        </w:tc>
        <w:tc>
          <w:tcPr>
            <w:tcW w:w="792" w:type="dxa"/>
            <w:noWrap/>
            <w:vAlign w:val="center"/>
            <w:hideMark/>
          </w:tcPr>
          <w:p w14:paraId="025A8A13"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666FABD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51FD54F" w14:textId="77777777" w:rsidR="00F3536C" w:rsidRPr="00A4272B" w:rsidRDefault="00F3536C" w:rsidP="00A41632">
            <w:pPr>
              <w:jc w:val="center"/>
              <w:rPr>
                <w:color w:val="000000"/>
                <w:sz w:val="14"/>
                <w:szCs w:val="14"/>
                <w:lang w:val="en-US"/>
              </w:rPr>
            </w:pPr>
            <w:r w:rsidRPr="00A4272B">
              <w:rPr>
                <w:color w:val="000000"/>
                <w:sz w:val="14"/>
                <w:szCs w:val="14"/>
                <w:lang w:val="en-US"/>
              </w:rPr>
              <w:t>~500 m³/d</w:t>
            </w:r>
          </w:p>
        </w:tc>
        <w:tc>
          <w:tcPr>
            <w:tcW w:w="831" w:type="dxa"/>
            <w:noWrap/>
            <w:vAlign w:val="center"/>
            <w:hideMark/>
          </w:tcPr>
          <w:p w14:paraId="11471AC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6FDA3CE5"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612" w:type="dxa"/>
            <w:tcBorders>
              <w:top w:val="nil"/>
              <w:left w:val="nil"/>
              <w:bottom w:val="nil"/>
              <w:right w:val="single" w:sz="8" w:space="0" w:color="auto"/>
            </w:tcBorders>
            <w:noWrap/>
            <w:vAlign w:val="center"/>
            <w:hideMark/>
          </w:tcPr>
          <w:p w14:paraId="225F14C7"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703248A2" w14:textId="77777777" w:rsidTr="00A41632">
        <w:trPr>
          <w:trHeight w:val="276"/>
          <w:jc w:val="center"/>
        </w:trPr>
        <w:tc>
          <w:tcPr>
            <w:tcW w:w="955" w:type="dxa"/>
            <w:tcBorders>
              <w:top w:val="nil"/>
              <w:left w:val="single" w:sz="8" w:space="0" w:color="auto"/>
              <w:bottom w:val="nil"/>
              <w:right w:val="nil"/>
            </w:tcBorders>
            <w:noWrap/>
            <w:vAlign w:val="center"/>
            <w:hideMark/>
          </w:tcPr>
          <w:p w14:paraId="68EFA0BF" w14:textId="77777777" w:rsidR="00F3536C" w:rsidRPr="00A4272B" w:rsidRDefault="00F3536C" w:rsidP="00A41632">
            <w:pPr>
              <w:rPr>
                <w:color w:val="000000"/>
                <w:sz w:val="14"/>
                <w:szCs w:val="14"/>
                <w:lang w:val="en-US"/>
              </w:rPr>
            </w:pPr>
            <w:r w:rsidRPr="00A4272B">
              <w:rPr>
                <w:color w:val="000000"/>
                <w:sz w:val="14"/>
                <w:szCs w:val="14"/>
                <w:lang w:val="en-US"/>
              </w:rPr>
              <w:t>EMEP</w:t>
            </w:r>
          </w:p>
        </w:tc>
        <w:tc>
          <w:tcPr>
            <w:tcW w:w="1391" w:type="dxa"/>
            <w:noWrap/>
            <w:vAlign w:val="center"/>
            <w:hideMark/>
          </w:tcPr>
          <w:p w14:paraId="4BF6AF41" w14:textId="77777777" w:rsidR="00F3536C" w:rsidRPr="00A4272B" w:rsidRDefault="00F3536C" w:rsidP="00A41632">
            <w:pPr>
              <w:rPr>
                <w:color w:val="000000"/>
                <w:sz w:val="14"/>
                <w:szCs w:val="14"/>
                <w:lang w:val="en-US"/>
              </w:rPr>
            </w:pPr>
            <w:r w:rsidRPr="00A4272B">
              <w:rPr>
                <w:color w:val="000000"/>
                <w:sz w:val="14"/>
                <w:szCs w:val="14"/>
                <w:lang w:val="en-US"/>
              </w:rPr>
              <w:t>Norway</w:t>
            </w:r>
          </w:p>
        </w:tc>
        <w:tc>
          <w:tcPr>
            <w:tcW w:w="2504" w:type="dxa"/>
            <w:noWrap/>
            <w:vAlign w:val="center"/>
            <w:hideMark/>
          </w:tcPr>
          <w:p w14:paraId="51AE31B8" w14:textId="77777777" w:rsidR="00F3536C" w:rsidRPr="00A4272B" w:rsidRDefault="00F3536C" w:rsidP="00A41632">
            <w:pPr>
              <w:rPr>
                <w:color w:val="000000"/>
                <w:sz w:val="14"/>
                <w:szCs w:val="14"/>
                <w:lang w:val="en-US"/>
              </w:rPr>
            </w:pPr>
            <w:r w:rsidRPr="00A4272B">
              <w:rPr>
                <w:color w:val="000000"/>
                <w:sz w:val="14"/>
                <w:szCs w:val="14"/>
                <w:lang w:val="en-US"/>
              </w:rPr>
              <w:t>Birkenes II</w:t>
            </w:r>
          </w:p>
        </w:tc>
        <w:tc>
          <w:tcPr>
            <w:tcW w:w="998" w:type="dxa"/>
            <w:noWrap/>
            <w:vAlign w:val="center"/>
            <w:hideMark/>
          </w:tcPr>
          <w:p w14:paraId="22B64945" w14:textId="77777777" w:rsidR="00F3536C" w:rsidRPr="00A4272B" w:rsidRDefault="00F3536C" w:rsidP="00A41632">
            <w:pPr>
              <w:jc w:val="center"/>
              <w:rPr>
                <w:color w:val="000000"/>
                <w:sz w:val="14"/>
                <w:szCs w:val="14"/>
                <w:lang w:val="en-US"/>
              </w:rPr>
            </w:pPr>
            <w:r w:rsidRPr="00A4272B">
              <w:rPr>
                <w:color w:val="000000"/>
                <w:sz w:val="14"/>
                <w:szCs w:val="14"/>
                <w:lang w:val="en-US"/>
              </w:rPr>
              <w:t>NO0002R</w:t>
            </w:r>
          </w:p>
        </w:tc>
        <w:tc>
          <w:tcPr>
            <w:tcW w:w="1342" w:type="dxa"/>
            <w:noWrap/>
            <w:vAlign w:val="center"/>
            <w:hideMark/>
          </w:tcPr>
          <w:p w14:paraId="4625A559"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2D451389" w14:textId="77777777" w:rsidR="00F3536C" w:rsidRPr="00A4272B" w:rsidRDefault="00F3536C" w:rsidP="00A41632">
            <w:pPr>
              <w:jc w:val="right"/>
              <w:rPr>
                <w:color w:val="000000"/>
                <w:sz w:val="14"/>
                <w:szCs w:val="14"/>
                <w:lang w:val="en-US"/>
              </w:rPr>
            </w:pPr>
            <w:r w:rsidRPr="00A4272B">
              <w:rPr>
                <w:color w:val="000000"/>
                <w:sz w:val="14"/>
                <w:szCs w:val="14"/>
                <w:lang w:val="en-US"/>
              </w:rPr>
              <w:t>58.388330</w:t>
            </w:r>
          </w:p>
        </w:tc>
        <w:tc>
          <w:tcPr>
            <w:tcW w:w="998" w:type="dxa"/>
            <w:noWrap/>
            <w:vAlign w:val="center"/>
            <w:hideMark/>
          </w:tcPr>
          <w:p w14:paraId="4E0B3E31" w14:textId="77777777" w:rsidR="00F3536C" w:rsidRPr="00A4272B" w:rsidRDefault="00F3536C" w:rsidP="00A41632">
            <w:pPr>
              <w:jc w:val="right"/>
              <w:rPr>
                <w:color w:val="000000"/>
                <w:sz w:val="14"/>
                <w:szCs w:val="14"/>
                <w:lang w:val="en-US"/>
              </w:rPr>
            </w:pPr>
            <w:r w:rsidRPr="00A4272B">
              <w:rPr>
                <w:color w:val="000000"/>
                <w:sz w:val="14"/>
                <w:szCs w:val="14"/>
                <w:lang w:val="en-US"/>
              </w:rPr>
              <w:t>8.251940</w:t>
            </w:r>
          </w:p>
        </w:tc>
        <w:tc>
          <w:tcPr>
            <w:tcW w:w="859" w:type="dxa"/>
            <w:tcBorders>
              <w:top w:val="nil"/>
              <w:left w:val="nil"/>
              <w:bottom w:val="nil"/>
              <w:right w:val="single" w:sz="8" w:space="0" w:color="auto"/>
            </w:tcBorders>
            <w:noWrap/>
            <w:vAlign w:val="center"/>
            <w:hideMark/>
          </w:tcPr>
          <w:p w14:paraId="205DCC53" w14:textId="77777777" w:rsidR="00F3536C" w:rsidRPr="00A4272B" w:rsidRDefault="00F3536C" w:rsidP="00A41632">
            <w:pPr>
              <w:jc w:val="center"/>
              <w:rPr>
                <w:color w:val="000000"/>
                <w:sz w:val="14"/>
                <w:szCs w:val="14"/>
                <w:lang w:val="en-US"/>
              </w:rPr>
            </w:pPr>
            <w:r w:rsidRPr="00A4272B">
              <w:rPr>
                <w:color w:val="000000"/>
                <w:sz w:val="14"/>
                <w:szCs w:val="14"/>
                <w:lang w:val="en-US"/>
              </w:rPr>
              <w:t>190</w:t>
            </w:r>
          </w:p>
        </w:tc>
        <w:tc>
          <w:tcPr>
            <w:tcW w:w="792" w:type="dxa"/>
            <w:noWrap/>
            <w:vAlign w:val="center"/>
            <w:hideMark/>
          </w:tcPr>
          <w:p w14:paraId="49743C8E"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0B43FA77"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9EC69C4" w14:textId="77777777" w:rsidR="00F3536C" w:rsidRPr="00A4272B" w:rsidRDefault="00F3536C" w:rsidP="00A41632">
            <w:pPr>
              <w:jc w:val="center"/>
              <w:rPr>
                <w:color w:val="000000"/>
                <w:sz w:val="14"/>
                <w:szCs w:val="14"/>
                <w:lang w:val="en-US"/>
              </w:rPr>
            </w:pPr>
            <w:r w:rsidRPr="00A4272B">
              <w:rPr>
                <w:color w:val="000000"/>
                <w:sz w:val="14"/>
                <w:szCs w:val="14"/>
                <w:lang w:val="en-US"/>
              </w:rPr>
              <w:t>~500 m³/d</w:t>
            </w:r>
          </w:p>
        </w:tc>
        <w:tc>
          <w:tcPr>
            <w:tcW w:w="831" w:type="dxa"/>
            <w:noWrap/>
            <w:vAlign w:val="center"/>
            <w:hideMark/>
          </w:tcPr>
          <w:p w14:paraId="0DA2696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2AB38A03"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612" w:type="dxa"/>
            <w:tcBorders>
              <w:top w:val="nil"/>
              <w:left w:val="nil"/>
              <w:bottom w:val="nil"/>
              <w:right w:val="single" w:sz="8" w:space="0" w:color="auto"/>
            </w:tcBorders>
            <w:noWrap/>
            <w:vAlign w:val="center"/>
            <w:hideMark/>
          </w:tcPr>
          <w:p w14:paraId="44C261E4"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61665AF3" w14:textId="77777777" w:rsidTr="00A41632">
        <w:trPr>
          <w:trHeight w:val="276"/>
          <w:jc w:val="center"/>
        </w:trPr>
        <w:tc>
          <w:tcPr>
            <w:tcW w:w="955" w:type="dxa"/>
            <w:tcBorders>
              <w:top w:val="nil"/>
              <w:left w:val="single" w:sz="8" w:space="0" w:color="auto"/>
              <w:bottom w:val="nil"/>
              <w:right w:val="nil"/>
            </w:tcBorders>
            <w:noWrap/>
            <w:vAlign w:val="center"/>
            <w:hideMark/>
          </w:tcPr>
          <w:p w14:paraId="541962C4" w14:textId="77777777" w:rsidR="00F3536C" w:rsidRPr="00A4272B" w:rsidRDefault="00F3536C" w:rsidP="00A41632">
            <w:pPr>
              <w:rPr>
                <w:color w:val="000000"/>
                <w:sz w:val="14"/>
                <w:szCs w:val="14"/>
                <w:lang w:val="en-US"/>
              </w:rPr>
            </w:pPr>
            <w:r w:rsidRPr="00A4272B">
              <w:rPr>
                <w:color w:val="000000"/>
                <w:sz w:val="14"/>
                <w:szCs w:val="14"/>
                <w:lang w:val="en-US"/>
              </w:rPr>
              <w:t>EMEP</w:t>
            </w:r>
          </w:p>
        </w:tc>
        <w:tc>
          <w:tcPr>
            <w:tcW w:w="1391" w:type="dxa"/>
            <w:noWrap/>
            <w:vAlign w:val="center"/>
            <w:hideMark/>
          </w:tcPr>
          <w:p w14:paraId="6CEED30A" w14:textId="77777777" w:rsidR="00F3536C" w:rsidRPr="00A4272B" w:rsidRDefault="00F3536C" w:rsidP="00A41632">
            <w:pPr>
              <w:rPr>
                <w:color w:val="000000"/>
                <w:sz w:val="14"/>
                <w:szCs w:val="14"/>
                <w:lang w:val="en-US"/>
              </w:rPr>
            </w:pPr>
            <w:r w:rsidRPr="00A4272B">
              <w:rPr>
                <w:color w:val="000000"/>
                <w:sz w:val="14"/>
                <w:szCs w:val="14"/>
                <w:lang w:val="en-US"/>
              </w:rPr>
              <w:t>Norway</w:t>
            </w:r>
          </w:p>
        </w:tc>
        <w:tc>
          <w:tcPr>
            <w:tcW w:w="2504" w:type="dxa"/>
            <w:noWrap/>
            <w:vAlign w:val="center"/>
            <w:hideMark/>
          </w:tcPr>
          <w:p w14:paraId="21231EAC" w14:textId="77777777" w:rsidR="00F3536C" w:rsidRPr="00A4272B" w:rsidRDefault="00F3536C" w:rsidP="00A41632">
            <w:pPr>
              <w:rPr>
                <w:color w:val="000000"/>
                <w:sz w:val="14"/>
                <w:szCs w:val="14"/>
                <w:lang w:val="en-US"/>
              </w:rPr>
            </w:pPr>
            <w:r w:rsidRPr="00A4272B">
              <w:rPr>
                <w:color w:val="000000"/>
                <w:sz w:val="14"/>
                <w:szCs w:val="14"/>
                <w:lang w:val="en-US"/>
              </w:rPr>
              <w:t>Ny-Ålesund / Spitsbergen / Zeppelinfjell</w:t>
            </w:r>
          </w:p>
        </w:tc>
        <w:tc>
          <w:tcPr>
            <w:tcW w:w="998" w:type="dxa"/>
            <w:noWrap/>
            <w:vAlign w:val="center"/>
            <w:hideMark/>
          </w:tcPr>
          <w:p w14:paraId="5B5C5FA9" w14:textId="77777777" w:rsidR="00F3536C" w:rsidRPr="00A4272B" w:rsidRDefault="00F3536C" w:rsidP="00A41632">
            <w:pPr>
              <w:jc w:val="center"/>
              <w:rPr>
                <w:color w:val="000000"/>
                <w:sz w:val="14"/>
                <w:szCs w:val="14"/>
                <w:lang w:val="en-US"/>
              </w:rPr>
            </w:pPr>
            <w:r w:rsidRPr="00A4272B">
              <w:rPr>
                <w:color w:val="000000"/>
                <w:sz w:val="14"/>
                <w:szCs w:val="14"/>
                <w:lang w:val="en-US"/>
              </w:rPr>
              <w:t>NO0042G</w:t>
            </w:r>
          </w:p>
        </w:tc>
        <w:tc>
          <w:tcPr>
            <w:tcW w:w="1342" w:type="dxa"/>
            <w:noWrap/>
            <w:vAlign w:val="center"/>
            <w:hideMark/>
          </w:tcPr>
          <w:p w14:paraId="01CEB28F"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71A4DB75" w14:textId="77777777" w:rsidR="00F3536C" w:rsidRPr="00A4272B" w:rsidRDefault="00F3536C" w:rsidP="00A41632">
            <w:pPr>
              <w:jc w:val="right"/>
              <w:rPr>
                <w:color w:val="000000"/>
                <w:sz w:val="14"/>
                <w:szCs w:val="14"/>
                <w:lang w:val="en-US"/>
              </w:rPr>
            </w:pPr>
            <w:r w:rsidRPr="00A4272B">
              <w:rPr>
                <w:color w:val="000000"/>
                <w:sz w:val="14"/>
                <w:szCs w:val="14"/>
                <w:lang w:val="en-US"/>
              </w:rPr>
              <w:t>78.880000</w:t>
            </w:r>
          </w:p>
        </w:tc>
        <w:tc>
          <w:tcPr>
            <w:tcW w:w="998" w:type="dxa"/>
            <w:noWrap/>
            <w:vAlign w:val="center"/>
            <w:hideMark/>
          </w:tcPr>
          <w:p w14:paraId="5C840A98" w14:textId="77777777" w:rsidR="00F3536C" w:rsidRPr="00A4272B" w:rsidRDefault="00F3536C" w:rsidP="00A41632">
            <w:pPr>
              <w:jc w:val="right"/>
              <w:rPr>
                <w:color w:val="000000"/>
                <w:sz w:val="14"/>
                <w:szCs w:val="14"/>
                <w:lang w:val="en-US"/>
              </w:rPr>
            </w:pPr>
            <w:r w:rsidRPr="00A4272B">
              <w:rPr>
                <w:color w:val="000000"/>
                <w:sz w:val="14"/>
                <w:szCs w:val="14"/>
                <w:lang w:val="en-US"/>
              </w:rPr>
              <w:t>11.883330</w:t>
            </w:r>
          </w:p>
        </w:tc>
        <w:tc>
          <w:tcPr>
            <w:tcW w:w="859" w:type="dxa"/>
            <w:tcBorders>
              <w:top w:val="nil"/>
              <w:left w:val="nil"/>
              <w:bottom w:val="nil"/>
              <w:right w:val="single" w:sz="8" w:space="0" w:color="auto"/>
            </w:tcBorders>
            <w:noWrap/>
            <w:vAlign w:val="center"/>
            <w:hideMark/>
          </w:tcPr>
          <w:p w14:paraId="50975A23" w14:textId="77777777" w:rsidR="00F3536C" w:rsidRPr="00A4272B" w:rsidRDefault="00F3536C" w:rsidP="00A41632">
            <w:pPr>
              <w:jc w:val="center"/>
              <w:rPr>
                <w:color w:val="000000"/>
                <w:sz w:val="14"/>
                <w:szCs w:val="14"/>
                <w:lang w:val="en-US"/>
              </w:rPr>
            </w:pPr>
            <w:r w:rsidRPr="00A4272B">
              <w:rPr>
                <w:color w:val="000000"/>
                <w:sz w:val="14"/>
                <w:szCs w:val="14"/>
                <w:lang w:val="en-US"/>
              </w:rPr>
              <w:t>474</w:t>
            </w:r>
          </w:p>
        </w:tc>
        <w:tc>
          <w:tcPr>
            <w:tcW w:w="792" w:type="dxa"/>
            <w:noWrap/>
            <w:vAlign w:val="center"/>
            <w:hideMark/>
          </w:tcPr>
          <w:p w14:paraId="5969C04A"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4902ACF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6B2C159" w14:textId="77777777" w:rsidR="00F3536C" w:rsidRPr="00A4272B" w:rsidRDefault="00F3536C" w:rsidP="00A41632">
            <w:pPr>
              <w:jc w:val="center"/>
              <w:rPr>
                <w:color w:val="000000"/>
                <w:sz w:val="14"/>
                <w:szCs w:val="14"/>
                <w:lang w:val="en-US"/>
              </w:rPr>
            </w:pPr>
            <w:r w:rsidRPr="00A4272B">
              <w:rPr>
                <w:color w:val="000000"/>
                <w:sz w:val="14"/>
                <w:szCs w:val="14"/>
                <w:lang w:val="en-US"/>
              </w:rPr>
              <w:t>~500 m³/d</w:t>
            </w:r>
          </w:p>
        </w:tc>
        <w:tc>
          <w:tcPr>
            <w:tcW w:w="831" w:type="dxa"/>
            <w:noWrap/>
            <w:vAlign w:val="center"/>
            <w:hideMark/>
          </w:tcPr>
          <w:p w14:paraId="12B03499" w14:textId="77777777" w:rsidR="00F3536C" w:rsidRPr="00A4272B" w:rsidRDefault="00F3536C" w:rsidP="00A41632">
            <w:pPr>
              <w:jc w:val="center"/>
              <w:rPr>
                <w:color w:val="000000"/>
                <w:sz w:val="14"/>
                <w:szCs w:val="14"/>
                <w:lang w:val="en-US"/>
              </w:rPr>
            </w:pPr>
            <w:r w:rsidRPr="00A4272B">
              <w:rPr>
                <w:color w:val="000000"/>
                <w:sz w:val="14"/>
                <w:szCs w:val="14"/>
                <w:lang w:val="en-US"/>
              </w:rPr>
              <w:t>48 h</w:t>
            </w:r>
          </w:p>
        </w:tc>
        <w:tc>
          <w:tcPr>
            <w:tcW w:w="924" w:type="dxa"/>
            <w:noWrap/>
            <w:vAlign w:val="center"/>
            <w:hideMark/>
          </w:tcPr>
          <w:p w14:paraId="0CDE8D14"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612" w:type="dxa"/>
            <w:tcBorders>
              <w:top w:val="nil"/>
              <w:left w:val="nil"/>
              <w:bottom w:val="nil"/>
              <w:right w:val="single" w:sz="8" w:space="0" w:color="auto"/>
            </w:tcBorders>
            <w:noWrap/>
            <w:vAlign w:val="center"/>
            <w:hideMark/>
          </w:tcPr>
          <w:p w14:paraId="50D6F448" w14:textId="77777777" w:rsidR="00F3536C" w:rsidRPr="00A4272B" w:rsidRDefault="00F3536C" w:rsidP="00A41632">
            <w:pPr>
              <w:jc w:val="center"/>
              <w:rPr>
                <w:sz w:val="14"/>
                <w:szCs w:val="14"/>
                <w:lang w:val="en-US"/>
              </w:rPr>
            </w:pPr>
            <w:r w:rsidRPr="00A4272B">
              <w:rPr>
                <w:sz w:val="14"/>
                <w:szCs w:val="14"/>
                <w:lang w:val="en-US"/>
              </w:rPr>
              <w:t>1993</w:t>
            </w:r>
          </w:p>
        </w:tc>
      </w:tr>
      <w:tr w:rsidR="00F3536C" w:rsidRPr="00A4272B" w14:paraId="4C051F8B" w14:textId="77777777" w:rsidTr="00A41632">
        <w:trPr>
          <w:trHeight w:val="276"/>
          <w:jc w:val="center"/>
        </w:trPr>
        <w:tc>
          <w:tcPr>
            <w:tcW w:w="955" w:type="dxa"/>
            <w:tcBorders>
              <w:top w:val="nil"/>
              <w:left w:val="single" w:sz="8" w:space="0" w:color="auto"/>
              <w:bottom w:val="nil"/>
              <w:right w:val="nil"/>
            </w:tcBorders>
            <w:noWrap/>
            <w:vAlign w:val="center"/>
            <w:hideMark/>
          </w:tcPr>
          <w:p w14:paraId="2EBC1297" w14:textId="77777777" w:rsidR="00F3536C" w:rsidRPr="00A4272B" w:rsidRDefault="00F3536C" w:rsidP="00A41632">
            <w:pPr>
              <w:rPr>
                <w:color w:val="000000"/>
                <w:sz w:val="14"/>
                <w:szCs w:val="14"/>
                <w:lang w:val="en-US"/>
              </w:rPr>
            </w:pPr>
            <w:r w:rsidRPr="00A4272B">
              <w:rPr>
                <w:color w:val="000000"/>
                <w:sz w:val="14"/>
                <w:szCs w:val="14"/>
                <w:lang w:val="en-US"/>
              </w:rPr>
              <w:t>EMEP</w:t>
            </w:r>
          </w:p>
        </w:tc>
        <w:tc>
          <w:tcPr>
            <w:tcW w:w="1391" w:type="dxa"/>
            <w:noWrap/>
            <w:vAlign w:val="center"/>
            <w:hideMark/>
          </w:tcPr>
          <w:p w14:paraId="0021FD6E" w14:textId="77777777" w:rsidR="00F3536C" w:rsidRPr="00A4272B" w:rsidRDefault="00F3536C" w:rsidP="00A41632">
            <w:pPr>
              <w:rPr>
                <w:color w:val="000000"/>
                <w:sz w:val="14"/>
                <w:szCs w:val="14"/>
                <w:lang w:val="en-US"/>
              </w:rPr>
            </w:pPr>
            <w:r w:rsidRPr="00A4272B">
              <w:rPr>
                <w:color w:val="000000"/>
                <w:sz w:val="14"/>
                <w:szCs w:val="14"/>
                <w:lang w:val="en-US"/>
              </w:rPr>
              <w:t>Sweden</w:t>
            </w:r>
          </w:p>
        </w:tc>
        <w:tc>
          <w:tcPr>
            <w:tcW w:w="2504" w:type="dxa"/>
            <w:noWrap/>
            <w:vAlign w:val="center"/>
            <w:hideMark/>
          </w:tcPr>
          <w:p w14:paraId="33041EE2" w14:textId="77777777" w:rsidR="00F3536C" w:rsidRPr="00A4272B" w:rsidRDefault="00F3536C" w:rsidP="00A41632">
            <w:pPr>
              <w:rPr>
                <w:color w:val="000000"/>
                <w:sz w:val="14"/>
                <w:szCs w:val="14"/>
                <w:lang w:val="en-US"/>
              </w:rPr>
            </w:pPr>
            <w:r w:rsidRPr="00A4272B">
              <w:rPr>
                <w:color w:val="000000"/>
                <w:sz w:val="14"/>
                <w:szCs w:val="14"/>
                <w:lang w:val="en-US"/>
              </w:rPr>
              <w:t>Aspvreten</w:t>
            </w:r>
          </w:p>
        </w:tc>
        <w:tc>
          <w:tcPr>
            <w:tcW w:w="998" w:type="dxa"/>
            <w:noWrap/>
            <w:vAlign w:val="center"/>
            <w:hideMark/>
          </w:tcPr>
          <w:p w14:paraId="4021873D" w14:textId="77777777" w:rsidR="00F3536C" w:rsidRPr="00A4272B" w:rsidRDefault="00F3536C" w:rsidP="00A41632">
            <w:pPr>
              <w:jc w:val="center"/>
              <w:rPr>
                <w:color w:val="000000"/>
                <w:sz w:val="14"/>
                <w:szCs w:val="14"/>
                <w:lang w:val="en-US"/>
              </w:rPr>
            </w:pPr>
            <w:r w:rsidRPr="00A4272B">
              <w:rPr>
                <w:color w:val="000000"/>
                <w:sz w:val="14"/>
                <w:szCs w:val="14"/>
                <w:lang w:val="en-US"/>
              </w:rPr>
              <w:t>SE0012R</w:t>
            </w:r>
          </w:p>
        </w:tc>
        <w:tc>
          <w:tcPr>
            <w:tcW w:w="1342" w:type="dxa"/>
            <w:noWrap/>
            <w:vAlign w:val="center"/>
            <w:hideMark/>
          </w:tcPr>
          <w:p w14:paraId="614E0DCB"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0A740E66" w14:textId="77777777" w:rsidR="00F3536C" w:rsidRPr="00A4272B" w:rsidRDefault="00F3536C" w:rsidP="00A41632">
            <w:pPr>
              <w:jc w:val="right"/>
              <w:rPr>
                <w:color w:val="000000"/>
                <w:sz w:val="14"/>
                <w:szCs w:val="14"/>
                <w:lang w:val="en-US"/>
              </w:rPr>
            </w:pPr>
            <w:r w:rsidRPr="00A4272B">
              <w:rPr>
                <w:color w:val="000000"/>
                <w:sz w:val="14"/>
                <w:szCs w:val="14"/>
                <w:lang w:val="en-US"/>
              </w:rPr>
              <w:t>58.805800</w:t>
            </w:r>
          </w:p>
        </w:tc>
        <w:tc>
          <w:tcPr>
            <w:tcW w:w="998" w:type="dxa"/>
            <w:noWrap/>
            <w:vAlign w:val="center"/>
            <w:hideMark/>
          </w:tcPr>
          <w:p w14:paraId="215916E1" w14:textId="77777777" w:rsidR="00F3536C" w:rsidRPr="00A4272B" w:rsidRDefault="00F3536C" w:rsidP="00A41632">
            <w:pPr>
              <w:jc w:val="right"/>
              <w:rPr>
                <w:color w:val="000000"/>
                <w:sz w:val="14"/>
                <w:szCs w:val="14"/>
                <w:lang w:val="en-US"/>
              </w:rPr>
            </w:pPr>
            <w:r w:rsidRPr="00A4272B">
              <w:rPr>
                <w:color w:val="000000"/>
                <w:sz w:val="14"/>
                <w:szCs w:val="14"/>
                <w:lang w:val="en-US"/>
              </w:rPr>
              <w:t>17.388400</w:t>
            </w:r>
          </w:p>
        </w:tc>
        <w:tc>
          <w:tcPr>
            <w:tcW w:w="859" w:type="dxa"/>
            <w:tcBorders>
              <w:top w:val="nil"/>
              <w:left w:val="nil"/>
              <w:bottom w:val="nil"/>
              <w:right w:val="single" w:sz="8" w:space="0" w:color="auto"/>
            </w:tcBorders>
            <w:noWrap/>
            <w:vAlign w:val="center"/>
            <w:hideMark/>
          </w:tcPr>
          <w:p w14:paraId="71CF7593" w14:textId="77777777" w:rsidR="00F3536C" w:rsidRPr="00A4272B" w:rsidRDefault="00F3536C" w:rsidP="00A41632">
            <w:pPr>
              <w:jc w:val="center"/>
              <w:rPr>
                <w:color w:val="000000"/>
                <w:sz w:val="14"/>
                <w:szCs w:val="14"/>
                <w:lang w:val="en-US"/>
              </w:rPr>
            </w:pPr>
            <w:r w:rsidRPr="00A4272B">
              <w:rPr>
                <w:color w:val="000000"/>
                <w:sz w:val="14"/>
                <w:szCs w:val="14"/>
                <w:lang w:val="en-US"/>
              </w:rPr>
              <w:t>20</w:t>
            </w:r>
          </w:p>
        </w:tc>
        <w:tc>
          <w:tcPr>
            <w:tcW w:w="792" w:type="dxa"/>
            <w:noWrap/>
            <w:vAlign w:val="center"/>
            <w:hideMark/>
          </w:tcPr>
          <w:p w14:paraId="3EDE7F50"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78C7041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37" w:type="dxa"/>
            <w:noWrap/>
            <w:vAlign w:val="center"/>
            <w:hideMark/>
          </w:tcPr>
          <w:p w14:paraId="05F4D301" w14:textId="77777777" w:rsidR="00F3536C" w:rsidRPr="00A4272B" w:rsidRDefault="00F3536C" w:rsidP="00A41632">
            <w:pPr>
              <w:jc w:val="center"/>
              <w:rPr>
                <w:color w:val="000000"/>
                <w:sz w:val="14"/>
                <w:szCs w:val="14"/>
                <w:lang w:val="en-US"/>
              </w:rPr>
            </w:pPr>
            <w:r w:rsidRPr="00A4272B">
              <w:rPr>
                <w:color w:val="000000"/>
                <w:sz w:val="14"/>
                <w:szCs w:val="14"/>
                <w:lang w:val="en-US"/>
              </w:rPr>
              <w:t>Hi. Vol.</w:t>
            </w:r>
          </w:p>
        </w:tc>
        <w:tc>
          <w:tcPr>
            <w:tcW w:w="831" w:type="dxa"/>
            <w:noWrap/>
            <w:vAlign w:val="center"/>
            <w:hideMark/>
          </w:tcPr>
          <w:p w14:paraId="1C4F8F8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noWrap/>
            <w:vAlign w:val="center"/>
            <w:hideMark/>
          </w:tcPr>
          <w:p w14:paraId="3341F06E"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612" w:type="dxa"/>
            <w:tcBorders>
              <w:top w:val="nil"/>
              <w:left w:val="nil"/>
              <w:bottom w:val="nil"/>
              <w:right w:val="single" w:sz="8" w:space="0" w:color="auto"/>
            </w:tcBorders>
            <w:noWrap/>
            <w:vAlign w:val="center"/>
            <w:hideMark/>
          </w:tcPr>
          <w:p w14:paraId="03B18342" w14:textId="77777777" w:rsidR="00F3536C" w:rsidRPr="00A4272B" w:rsidRDefault="00F3536C" w:rsidP="00A41632">
            <w:pPr>
              <w:jc w:val="center"/>
              <w:rPr>
                <w:sz w:val="14"/>
                <w:szCs w:val="14"/>
                <w:lang w:val="en-US"/>
              </w:rPr>
            </w:pPr>
            <w:r w:rsidRPr="00A4272B">
              <w:rPr>
                <w:sz w:val="14"/>
                <w:szCs w:val="14"/>
                <w:lang w:val="en-US"/>
              </w:rPr>
              <w:t>1995</w:t>
            </w:r>
          </w:p>
        </w:tc>
      </w:tr>
      <w:tr w:rsidR="00F3536C" w:rsidRPr="00A4272B" w14:paraId="3E2FD334"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7B97E38C" w14:textId="77777777" w:rsidR="00F3536C" w:rsidRPr="00A4272B" w:rsidRDefault="00F3536C" w:rsidP="00A41632">
            <w:pPr>
              <w:rPr>
                <w:color w:val="000000"/>
                <w:sz w:val="14"/>
                <w:szCs w:val="14"/>
                <w:lang w:val="en-US"/>
              </w:rPr>
            </w:pPr>
            <w:r w:rsidRPr="00A4272B">
              <w:rPr>
                <w:color w:val="000000"/>
                <w:sz w:val="14"/>
                <w:szCs w:val="14"/>
                <w:lang w:val="en-US"/>
              </w:rPr>
              <w:t>EMEP</w:t>
            </w:r>
          </w:p>
        </w:tc>
        <w:tc>
          <w:tcPr>
            <w:tcW w:w="1391" w:type="dxa"/>
            <w:tcBorders>
              <w:top w:val="nil"/>
              <w:left w:val="nil"/>
              <w:bottom w:val="single" w:sz="4" w:space="0" w:color="auto"/>
              <w:right w:val="nil"/>
            </w:tcBorders>
            <w:noWrap/>
            <w:vAlign w:val="center"/>
            <w:hideMark/>
          </w:tcPr>
          <w:p w14:paraId="0D0159B7" w14:textId="77777777" w:rsidR="00F3536C" w:rsidRPr="00A4272B" w:rsidRDefault="00F3536C" w:rsidP="00A41632">
            <w:pPr>
              <w:rPr>
                <w:color w:val="000000"/>
                <w:sz w:val="14"/>
                <w:szCs w:val="14"/>
                <w:lang w:val="en-US"/>
              </w:rPr>
            </w:pPr>
            <w:r w:rsidRPr="00A4272B">
              <w:rPr>
                <w:color w:val="000000"/>
                <w:sz w:val="14"/>
                <w:szCs w:val="14"/>
                <w:lang w:val="en-US"/>
              </w:rPr>
              <w:t>Sweden</w:t>
            </w:r>
          </w:p>
        </w:tc>
        <w:tc>
          <w:tcPr>
            <w:tcW w:w="2504" w:type="dxa"/>
            <w:tcBorders>
              <w:top w:val="nil"/>
              <w:left w:val="nil"/>
              <w:bottom w:val="single" w:sz="4" w:space="0" w:color="auto"/>
              <w:right w:val="nil"/>
            </w:tcBorders>
            <w:noWrap/>
            <w:vAlign w:val="center"/>
            <w:hideMark/>
          </w:tcPr>
          <w:p w14:paraId="07DB6BAB" w14:textId="77777777" w:rsidR="00F3536C" w:rsidRPr="00A4272B" w:rsidRDefault="00F3536C" w:rsidP="00A41632">
            <w:pPr>
              <w:rPr>
                <w:color w:val="000000"/>
                <w:sz w:val="14"/>
                <w:szCs w:val="14"/>
                <w:lang w:val="en-US"/>
              </w:rPr>
            </w:pPr>
            <w:r w:rsidRPr="00A4272B">
              <w:rPr>
                <w:color w:val="000000"/>
                <w:sz w:val="14"/>
                <w:szCs w:val="14"/>
                <w:lang w:val="en-US"/>
              </w:rPr>
              <w:t>Rao</w:t>
            </w:r>
          </w:p>
        </w:tc>
        <w:tc>
          <w:tcPr>
            <w:tcW w:w="998" w:type="dxa"/>
            <w:tcBorders>
              <w:top w:val="nil"/>
              <w:left w:val="nil"/>
              <w:bottom w:val="single" w:sz="4" w:space="0" w:color="auto"/>
              <w:right w:val="nil"/>
            </w:tcBorders>
            <w:noWrap/>
            <w:vAlign w:val="center"/>
            <w:hideMark/>
          </w:tcPr>
          <w:p w14:paraId="07BE3CB7" w14:textId="77777777" w:rsidR="00F3536C" w:rsidRPr="00A4272B" w:rsidRDefault="00F3536C" w:rsidP="00A41632">
            <w:pPr>
              <w:jc w:val="center"/>
              <w:rPr>
                <w:color w:val="000000"/>
                <w:sz w:val="14"/>
                <w:szCs w:val="14"/>
                <w:lang w:val="en-US"/>
              </w:rPr>
            </w:pPr>
            <w:r w:rsidRPr="00A4272B">
              <w:rPr>
                <w:color w:val="000000"/>
                <w:sz w:val="14"/>
                <w:szCs w:val="14"/>
                <w:lang w:val="en-US"/>
              </w:rPr>
              <w:t>SE0014R</w:t>
            </w:r>
          </w:p>
        </w:tc>
        <w:tc>
          <w:tcPr>
            <w:tcW w:w="1342" w:type="dxa"/>
            <w:tcBorders>
              <w:top w:val="nil"/>
              <w:left w:val="nil"/>
              <w:bottom w:val="single" w:sz="4" w:space="0" w:color="auto"/>
              <w:right w:val="nil"/>
            </w:tcBorders>
            <w:noWrap/>
            <w:vAlign w:val="center"/>
            <w:hideMark/>
          </w:tcPr>
          <w:p w14:paraId="282BF7CC"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tcBorders>
              <w:top w:val="nil"/>
              <w:left w:val="nil"/>
              <w:bottom w:val="single" w:sz="4" w:space="0" w:color="auto"/>
              <w:right w:val="nil"/>
            </w:tcBorders>
            <w:noWrap/>
            <w:vAlign w:val="center"/>
            <w:hideMark/>
          </w:tcPr>
          <w:p w14:paraId="39CE133E" w14:textId="77777777" w:rsidR="00F3536C" w:rsidRPr="00A4272B" w:rsidRDefault="00F3536C" w:rsidP="00A41632">
            <w:pPr>
              <w:jc w:val="right"/>
              <w:rPr>
                <w:color w:val="000000"/>
                <w:sz w:val="14"/>
                <w:szCs w:val="14"/>
                <w:lang w:val="en-US"/>
              </w:rPr>
            </w:pPr>
            <w:r w:rsidRPr="00A4272B">
              <w:rPr>
                <w:color w:val="000000"/>
                <w:sz w:val="14"/>
                <w:szCs w:val="14"/>
                <w:lang w:val="en-US"/>
              </w:rPr>
              <w:t>57.393670</w:t>
            </w:r>
          </w:p>
        </w:tc>
        <w:tc>
          <w:tcPr>
            <w:tcW w:w="998" w:type="dxa"/>
            <w:tcBorders>
              <w:top w:val="nil"/>
              <w:left w:val="nil"/>
              <w:bottom w:val="single" w:sz="4" w:space="0" w:color="auto"/>
              <w:right w:val="nil"/>
            </w:tcBorders>
            <w:noWrap/>
            <w:vAlign w:val="center"/>
            <w:hideMark/>
          </w:tcPr>
          <w:p w14:paraId="31C50BF7" w14:textId="77777777" w:rsidR="00F3536C" w:rsidRPr="00A4272B" w:rsidRDefault="00F3536C" w:rsidP="00A41632">
            <w:pPr>
              <w:jc w:val="right"/>
              <w:rPr>
                <w:color w:val="000000"/>
                <w:sz w:val="14"/>
                <w:szCs w:val="14"/>
                <w:lang w:val="en-US"/>
              </w:rPr>
            </w:pPr>
            <w:r w:rsidRPr="00A4272B">
              <w:rPr>
                <w:color w:val="000000"/>
                <w:sz w:val="14"/>
                <w:szCs w:val="14"/>
                <w:lang w:val="en-US"/>
              </w:rPr>
              <w:t>11.914170</w:t>
            </w:r>
          </w:p>
        </w:tc>
        <w:tc>
          <w:tcPr>
            <w:tcW w:w="859" w:type="dxa"/>
            <w:tcBorders>
              <w:top w:val="nil"/>
              <w:left w:val="nil"/>
              <w:bottom w:val="single" w:sz="4" w:space="0" w:color="auto"/>
              <w:right w:val="single" w:sz="8" w:space="0" w:color="auto"/>
            </w:tcBorders>
            <w:noWrap/>
            <w:vAlign w:val="center"/>
            <w:hideMark/>
          </w:tcPr>
          <w:p w14:paraId="6F68BF6B" w14:textId="77777777" w:rsidR="00F3536C" w:rsidRPr="00A4272B" w:rsidRDefault="00F3536C" w:rsidP="00A41632">
            <w:pPr>
              <w:jc w:val="center"/>
              <w:rPr>
                <w:color w:val="000000"/>
                <w:sz w:val="14"/>
                <w:szCs w:val="14"/>
                <w:lang w:val="en-US"/>
              </w:rPr>
            </w:pPr>
            <w:r w:rsidRPr="00A4272B">
              <w:rPr>
                <w:color w:val="000000"/>
                <w:sz w:val="14"/>
                <w:szCs w:val="14"/>
                <w:lang w:val="en-US"/>
              </w:rPr>
              <w:t>5</w:t>
            </w:r>
          </w:p>
        </w:tc>
        <w:tc>
          <w:tcPr>
            <w:tcW w:w="792" w:type="dxa"/>
            <w:tcBorders>
              <w:top w:val="nil"/>
              <w:left w:val="nil"/>
              <w:bottom w:val="single" w:sz="4" w:space="0" w:color="auto"/>
              <w:right w:val="nil"/>
            </w:tcBorders>
            <w:noWrap/>
            <w:vAlign w:val="center"/>
            <w:hideMark/>
          </w:tcPr>
          <w:p w14:paraId="20847105"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nil"/>
              <w:left w:val="nil"/>
              <w:bottom w:val="single" w:sz="4" w:space="0" w:color="auto"/>
              <w:right w:val="nil"/>
            </w:tcBorders>
            <w:noWrap/>
            <w:vAlign w:val="center"/>
            <w:hideMark/>
          </w:tcPr>
          <w:p w14:paraId="13F09E1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37" w:type="dxa"/>
            <w:tcBorders>
              <w:top w:val="nil"/>
              <w:left w:val="nil"/>
              <w:bottom w:val="single" w:sz="4" w:space="0" w:color="auto"/>
              <w:right w:val="nil"/>
            </w:tcBorders>
            <w:noWrap/>
            <w:vAlign w:val="center"/>
            <w:hideMark/>
          </w:tcPr>
          <w:p w14:paraId="10EE9B73" w14:textId="77777777" w:rsidR="00F3536C" w:rsidRPr="00A4272B" w:rsidRDefault="00F3536C" w:rsidP="00A41632">
            <w:pPr>
              <w:jc w:val="center"/>
              <w:rPr>
                <w:color w:val="000000"/>
                <w:sz w:val="14"/>
                <w:szCs w:val="14"/>
                <w:lang w:val="en-US"/>
              </w:rPr>
            </w:pPr>
            <w:r w:rsidRPr="00A4272B">
              <w:rPr>
                <w:color w:val="000000"/>
                <w:sz w:val="14"/>
                <w:szCs w:val="14"/>
                <w:lang w:val="en-US"/>
              </w:rPr>
              <w:t>Hi. Vol.</w:t>
            </w:r>
          </w:p>
        </w:tc>
        <w:tc>
          <w:tcPr>
            <w:tcW w:w="831" w:type="dxa"/>
            <w:tcBorders>
              <w:top w:val="nil"/>
              <w:left w:val="nil"/>
              <w:bottom w:val="single" w:sz="4" w:space="0" w:color="auto"/>
              <w:right w:val="nil"/>
            </w:tcBorders>
            <w:noWrap/>
            <w:vAlign w:val="center"/>
            <w:hideMark/>
          </w:tcPr>
          <w:p w14:paraId="2CCE473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24" w:type="dxa"/>
            <w:tcBorders>
              <w:top w:val="nil"/>
              <w:left w:val="nil"/>
              <w:bottom w:val="single" w:sz="4" w:space="0" w:color="auto"/>
              <w:right w:val="nil"/>
            </w:tcBorders>
            <w:noWrap/>
            <w:vAlign w:val="center"/>
            <w:hideMark/>
          </w:tcPr>
          <w:p w14:paraId="009005C5"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612" w:type="dxa"/>
            <w:tcBorders>
              <w:top w:val="nil"/>
              <w:left w:val="nil"/>
              <w:bottom w:val="single" w:sz="4" w:space="0" w:color="auto"/>
              <w:right w:val="single" w:sz="8" w:space="0" w:color="auto"/>
            </w:tcBorders>
            <w:noWrap/>
            <w:vAlign w:val="center"/>
            <w:hideMark/>
          </w:tcPr>
          <w:p w14:paraId="303A0DCA" w14:textId="77777777" w:rsidR="00F3536C" w:rsidRPr="00A4272B" w:rsidRDefault="00F3536C" w:rsidP="00A41632">
            <w:pPr>
              <w:jc w:val="center"/>
              <w:rPr>
                <w:sz w:val="14"/>
                <w:szCs w:val="14"/>
                <w:lang w:val="en-US"/>
              </w:rPr>
            </w:pPr>
            <w:r w:rsidRPr="00A4272B">
              <w:rPr>
                <w:sz w:val="14"/>
                <w:szCs w:val="14"/>
                <w:lang w:val="en-US"/>
              </w:rPr>
              <w:t>2002</w:t>
            </w:r>
          </w:p>
        </w:tc>
      </w:tr>
      <w:tr w:rsidR="00F3536C" w:rsidRPr="00A4272B" w14:paraId="02848A50"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4BC6488B"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tcBorders>
              <w:top w:val="single" w:sz="4" w:space="0" w:color="auto"/>
              <w:left w:val="nil"/>
              <w:bottom w:val="nil"/>
              <w:right w:val="nil"/>
            </w:tcBorders>
            <w:noWrap/>
            <w:vAlign w:val="center"/>
            <w:hideMark/>
          </w:tcPr>
          <w:p w14:paraId="10D9EC24"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tcBorders>
              <w:top w:val="single" w:sz="4" w:space="0" w:color="auto"/>
              <w:left w:val="nil"/>
              <w:bottom w:val="nil"/>
              <w:right w:val="nil"/>
            </w:tcBorders>
            <w:noWrap/>
            <w:vAlign w:val="center"/>
            <w:hideMark/>
          </w:tcPr>
          <w:p w14:paraId="1344ED49" w14:textId="77777777" w:rsidR="00F3536C" w:rsidRPr="00A4272B" w:rsidRDefault="00F3536C" w:rsidP="00A41632">
            <w:pPr>
              <w:rPr>
                <w:color w:val="000000"/>
                <w:sz w:val="14"/>
                <w:szCs w:val="14"/>
                <w:lang w:val="en-US"/>
              </w:rPr>
            </w:pPr>
            <w:r w:rsidRPr="00A4272B">
              <w:rPr>
                <w:color w:val="000000"/>
                <w:sz w:val="14"/>
                <w:szCs w:val="14"/>
                <w:lang w:val="en-US"/>
              </w:rPr>
              <w:t>Košetice</w:t>
            </w:r>
          </w:p>
        </w:tc>
        <w:tc>
          <w:tcPr>
            <w:tcW w:w="998" w:type="dxa"/>
            <w:tcBorders>
              <w:top w:val="single" w:sz="4" w:space="0" w:color="auto"/>
              <w:left w:val="nil"/>
              <w:bottom w:val="nil"/>
              <w:right w:val="nil"/>
            </w:tcBorders>
            <w:noWrap/>
            <w:vAlign w:val="center"/>
            <w:hideMark/>
          </w:tcPr>
          <w:p w14:paraId="564FB294" w14:textId="77777777" w:rsidR="00F3536C" w:rsidRPr="00A4272B" w:rsidRDefault="00F3536C" w:rsidP="00A41632">
            <w:pPr>
              <w:jc w:val="center"/>
              <w:rPr>
                <w:color w:val="000000"/>
                <w:sz w:val="14"/>
                <w:szCs w:val="14"/>
                <w:lang w:val="en-US"/>
              </w:rPr>
            </w:pPr>
            <w:r w:rsidRPr="00A4272B">
              <w:rPr>
                <w:color w:val="000000"/>
                <w:sz w:val="14"/>
                <w:szCs w:val="14"/>
                <w:lang w:val="en-US"/>
              </w:rPr>
              <w:t>EE03</w:t>
            </w:r>
          </w:p>
        </w:tc>
        <w:tc>
          <w:tcPr>
            <w:tcW w:w="1342" w:type="dxa"/>
            <w:tcBorders>
              <w:top w:val="single" w:sz="4" w:space="0" w:color="auto"/>
              <w:left w:val="nil"/>
              <w:bottom w:val="nil"/>
              <w:right w:val="nil"/>
            </w:tcBorders>
            <w:noWrap/>
            <w:vAlign w:val="center"/>
            <w:hideMark/>
          </w:tcPr>
          <w:p w14:paraId="4A82C649"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top w:val="single" w:sz="4" w:space="0" w:color="auto"/>
              <w:left w:val="nil"/>
              <w:bottom w:val="nil"/>
              <w:right w:val="nil"/>
            </w:tcBorders>
            <w:noWrap/>
            <w:vAlign w:val="center"/>
            <w:hideMark/>
          </w:tcPr>
          <w:p w14:paraId="15FDB54A" w14:textId="77777777" w:rsidR="00F3536C" w:rsidRPr="00A4272B" w:rsidRDefault="00F3536C" w:rsidP="00A41632">
            <w:pPr>
              <w:jc w:val="right"/>
              <w:rPr>
                <w:color w:val="000000"/>
                <w:sz w:val="14"/>
                <w:szCs w:val="14"/>
                <w:lang w:val="en-US"/>
              </w:rPr>
            </w:pPr>
            <w:r w:rsidRPr="00A4272B">
              <w:rPr>
                <w:color w:val="000000"/>
                <w:sz w:val="14"/>
                <w:szCs w:val="14"/>
                <w:lang w:val="en-US"/>
              </w:rPr>
              <w:t>49.583566</w:t>
            </w:r>
          </w:p>
        </w:tc>
        <w:tc>
          <w:tcPr>
            <w:tcW w:w="998" w:type="dxa"/>
            <w:tcBorders>
              <w:top w:val="single" w:sz="4" w:space="0" w:color="auto"/>
              <w:left w:val="nil"/>
              <w:bottom w:val="nil"/>
              <w:right w:val="nil"/>
            </w:tcBorders>
            <w:noWrap/>
            <w:vAlign w:val="center"/>
            <w:hideMark/>
          </w:tcPr>
          <w:p w14:paraId="41209865" w14:textId="77777777" w:rsidR="00F3536C" w:rsidRPr="00A4272B" w:rsidRDefault="00F3536C" w:rsidP="00A41632">
            <w:pPr>
              <w:jc w:val="right"/>
              <w:rPr>
                <w:color w:val="000000"/>
                <w:sz w:val="14"/>
                <w:szCs w:val="14"/>
                <w:lang w:val="en-US"/>
              </w:rPr>
            </w:pPr>
            <w:r w:rsidRPr="00A4272B">
              <w:rPr>
                <w:color w:val="000000"/>
                <w:sz w:val="14"/>
                <w:szCs w:val="14"/>
                <w:lang w:val="en-US"/>
              </w:rPr>
              <w:t>15.083725</w:t>
            </w:r>
          </w:p>
        </w:tc>
        <w:tc>
          <w:tcPr>
            <w:tcW w:w="859" w:type="dxa"/>
            <w:tcBorders>
              <w:top w:val="single" w:sz="4" w:space="0" w:color="auto"/>
              <w:left w:val="nil"/>
              <w:bottom w:val="nil"/>
              <w:right w:val="single" w:sz="8" w:space="0" w:color="auto"/>
            </w:tcBorders>
            <w:noWrap/>
            <w:vAlign w:val="center"/>
            <w:hideMark/>
          </w:tcPr>
          <w:p w14:paraId="1A834398" w14:textId="77777777" w:rsidR="00F3536C" w:rsidRPr="00A4272B" w:rsidRDefault="00F3536C" w:rsidP="00A41632">
            <w:pPr>
              <w:jc w:val="center"/>
              <w:rPr>
                <w:color w:val="000000"/>
                <w:sz w:val="14"/>
                <w:szCs w:val="14"/>
                <w:lang w:val="en-US"/>
              </w:rPr>
            </w:pPr>
            <w:r w:rsidRPr="00A4272B">
              <w:rPr>
                <w:color w:val="000000"/>
                <w:sz w:val="14"/>
                <w:szCs w:val="14"/>
                <w:lang w:val="en-US"/>
              </w:rPr>
              <w:t>534</w:t>
            </w:r>
          </w:p>
        </w:tc>
        <w:tc>
          <w:tcPr>
            <w:tcW w:w="792" w:type="dxa"/>
            <w:tcBorders>
              <w:top w:val="single" w:sz="4" w:space="0" w:color="auto"/>
              <w:left w:val="nil"/>
              <w:bottom w:val="nil"/>
              <w:right w:val="nil"/>
            </w:tcBorders>
            <w:noWrap/>
            <w:vAlign w:val="center"/>
            <w:hideMark/>
          </w:tcPr>
          <w:p w14:paraId="38C4DD1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left w:val="nil"/>
              <w:bottom w:val="nil"/>
              <w:right w:val="nil"/>
            </w:tcBorders>
            <w:noWrap/>
            <w:vAlign w:val="center"/>
            <w:hideMark/>
          </w:tcPr>
          <w:p w14:paraId="736257A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nil"/>
              <w:right w:val="nil"/>
            </w:tcBorders>
            <w:noWrap/>
            <w:vAlign w:val="center"/>
            <w:hideMark/>
          </w:tcPr>
          <w:p w14:paraId="1ECA7B0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left w:val="nil"/>
              <w:bottom w:val="nil"/>
              <w:right w:val="nil"/>
            </w:tcBorders>
            <w:noWrap/>
            <w:vAlign w:val="center"/>
            <w:hideMark/>
          </w:tcPr>
          <w:p w14:paraId="58DE02F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single" w:sz="4" w:space="0" w:color="auto"/>
              <w:left w:val="nil"/>
              <w:bottom w:val="nil"/>
              <w:right w:val="nil"/>
            </w:tcBorders>
            <w:noWrap/>
            <w:vAlign w:val="center"/>
            <w:hideMark/>
          </w:tcPr>
          <w:p w14:paraId="5824DEF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single" w:sz="4" w:space="0" w:color="auto"/>
              <w:left w:val="nil"/>
              <w:bottom w:val="nil"/>
              <w:right w:val="single" w:sz="8" w:space="0" w:color="auto"/>
            </w:tcBorders>
            <w:noWrap/>
            <w:vAlign w:val="center"/>
            <w:hideMark/>
          </w:tcPr>
          <w:p w14:paraId="198AF277"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4A167AA4" w14:textId="77777777" w:rsidTr="00A41632">
        <w:trPr>
          <w:trHeight w:val="276"/>
          <w:jc w:val="center"/>
        </w:trPr>
        <w:tc>
          <w:tcPr>
            <w:tcW w:w="955" w:type="dxa"/>
            <w:tcBorders>
              <w:top w:val="nil"/>
              <w:left w:val="single" w:sz="8" w:space="0" w:color="auto"/>
              <w:bottom w:val="nil"/>
              <w:right w:val="nil"/>
            </w:tcBorders>
            <w:noWrap/>
            <w:vAlign w:val="center"/>
            <w:hideMark/>
          </w:tcPr>
          <w:p w14:paraId="31BAD2B0"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731898C" w14:textId="77777777" w:rsidR="00F3536C" w:rsidRPr="00A4272B" w:rsidRDefault="00F3536C" w:rsidP="00A41632">
            <w:pPr>
              <w:rPr>
                <w:color w:val="000000"/>
                <w:sz w:val="14"/>
                <w:szCs w:val="14"/>
                <w:lang w:val="en-US"/>
              </w:rPr>
            </w:pPr>
            <w:r w:rsidRPr="00A4272B">
              <w:rPr>
                <w:color w:val="000000"/>
                <w:sz w:val="14"/>
                <w:szCs w:val="14"/>
                <w:lang w:val="en-US"/>
              </w:rPr>
              <w:t>Finland</w:t>
            </w:r>
          </w:p>
        </w:tc>
        <w:tc>
          <w:tcPr>
            <w:tcW w:w="2504" w:type="dxa"/>
            <w:noWrap/>
            <w:vAlign w:val="center"/>
            <w:hideMark/>
          </w:tcPr>
          <w:p w14:paraId="7276A802" w14:textId="77777777" w:rsidR="00F3536C" w:rsidRPr="00A4272B" w:rsidRDefault="00F3536C" w:rsidP="00A41632">
            <w:pPr>
              <w:rPr>
                <w:color w:val="000000"/>
                <w:sz w:val="14"/>
                <w:szCs w:val="14"/>
                <w:lang w:val="en-US"/>
              </w:rPr>
            </w:pPr>
            <w:r w:rsidRPr="00A4272B">
              <w:rPr>
                <w:color w:val="000000"/>
                <w:sz w:val="14"/>
                <w:szCs w:val="14"/>
                <w:lang w:val="en-US"/>
              </w:rPr>
              <w:t>Pallas / Matorova</w:t>
            </w:r>
          </w:p>
        </w:tc>
        <w:tc>
          <w:tcPr>
            <w:tcW w:w="998" w:type="dxa"/>
            <w:noWrap/>
            <w:vAlign w:val="center"/>
            <w:hideMark/>
          </w:tcPr>
          <w:p w14:paraId="4D1840FF" w14:textId="77777777" w:rsidR="00F3536C" w:rsidRPr="00A4272B" w:rsidRDefault="00F3536C" w:rsidP="00A41632">
            <w:pPr>
              <w:jc w:val="center"/>
              <w:rPr>
                <w:color w:val="000000"/>
                <w:sz w:val="14"/>
                <w:szCs w:val="14"/>
                <w:lang w:val="en-US"/>
              </w:rPr>
            </w:pPr>
            <w:r w:rsidRPr="00A4272B">
              <w:rPr>
                <w:color w:val="000000"/>
                <w:sz w:val="14"/>
                <w:szCs w:val="14"/>
                <w:lang w:val="en-US"/>
              </w:rPr>
              <w:t>WE30</w:t>
            </w:r>
          </w:p>
        </w:tc>
        <w:tc>
          <w:tcPr>
            <w:tcW w:w="1342" w:type="dxa"/>
            <w:noWrap/>
            <w:vAlign w:val="center"/>
            <w:hideMark/>
          </w:tcPr>
          <w:p w14:paraId="3682629C"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430DCAB2" w14:textId="77777777" w:rsidR="00F3536C" w:rsidRPr="00A4272B" w:rsidRDefault="00F3536C" w:rsidP="00A41632">
            <w:pPr>
              <w:jc w:val="right"/>
              <w:rPr>
                <w:color w:val="000000"/>
                <w:sz w:val="14"/>
                <w:szCs w:val="14"/>
                <w:lang w:val="en-US"/>
              </w:rPr>
            </w:pPr>
            <w:r w:rsidRPr="00A4272B">
              <w:rPr>
                <w:color w:val="000000"/>
                <w:sz w:val="14"/>
                <w:szCs w:val="14"/>
                <w:lang w:val="en-US"/>
              </w:rPr>
              <w:t>68.000000</w:t>
            </w:r>
          </w:p>
        </w:tc>
        <w:tc>
          <w:tcPr>
            <w:tcW w:w="998" w:type="dxa"/>
            <w:noWrap/>
            <w:vAlign w:val="center"/>
            <w:hideMark/>
          </w:tcPr>
          <w:p w14:paraId="0325E835" w14:textId="77777777" w:rsidR="00F3536C" w:rsidRPr="00A4272B" w:rsidRDefault="00F3536C" w:rsidP="00A41632">
            <w:pPr>
              <w:jc w:val="right"/>
              <w:rPr>
                <w:color w:val="000000"/>
                <w:sz w:val="14"/>
                <w:szCs w:val="14"/>
                <w:lang w:val="en-US"/>
              </w:rPr>
            </w:pPr>
            <w:r w:rsidRPr="00A4272B">
              <w:rPr>
                <w:color w:val="000000"/>
                <w:sz w:val="14"/>
                <w:szCs w:val="14"/>
                <w:lang w:val="en-US"/>
              </w:rPr>
              <w:t>24.240000</w:t>
            </w:r>
          </w:p>
        </w:tc>
        <w:tc>
          <w:tcPr>
            <w:tcW w:w="859" w:type="dxa"/>
            <w:tcBorders>
              <w:top w:val="nil"/>
              <w:left w:val="nil"/>
              <w:bottom w:val="nil"/>
              <w:right w:val="single" w:sz="8" w:space="0" w:color="auto"/>
            </w:tcBorders>
            <w:noWrap/>
            <w:vAlign w:val="center"/>
            <w:hideMark/>
          </w:tcPr>
          <w:p w14:paraId="6049EF0D" w14:textId="77777777" w:rsidR="00F3536C" w:rsidRPr="00A4272B" w:rsidRDefault="00F3536C" w:rsidP="00A41632">
            <w:pPr>
              <w:jc w:val="center"/>
              <w:rPr>
                <w:color w:val="000000"/>
                <w:sz w:val="14"/>
                <w:szCs w:val="14"/>
                <w:lang w:val="en-US"/>
              </w:rPr>
            </w:pPr>
            <w:r w:rsidRPr="00A4272B">
              <w:rPr>
                <w:color w:val="000000"/>
                <w:sz w:val="14"/>
                <w:szCs w:val="14"/>
                <w:lang w:val="en-US"/>
              </w:rPr>
              <w:t>324</w:t>
            </w:r>
          </w:p>
        </w:tc>
        <w:tc>
          <w:tcPr>
            <w:tcW w:w="792" w:type="dxa"/>
            <w:noWrap/>
            <w:vAlign w:val="center"/>
            <w:hideMark/>
          </w:tcPr>
          <w:p w14:paraId="0F64AF9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4B16450"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46221D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3B8E13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6A5BA7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EEFA193" w14:textId="77777777" w:rsidR="00F3536C" w:rsidRPr="00A4272B" w:rsidRDefault="00F3536C" w:rsidP="00A41632">
            <w:pPr>
              <w:jc w:val="center"/>
              <w:rPr>
                <w:sz w:val="14"/>
                <w:szCs w:val="14"/>
                <w:lang w:val="en-US"/>
              </w:rPr>
            </w:pPr>
            <w:r w:rsidRPr="00A4272B">
              <w:rPr>
                <w:sz w:val="14"/>
                <w:szCs w:val="14"/>
                <w:lang w:val="en-US"/>
              </w:rPr>
              <w:t>2005</w:t>
            </w:r>
          </w:p>
        </w:tc>
      </w:tr>
      <w:tr w:rsidR="00F3536C" w:rsidRPr="00A4272B" w14:paraId="4A842BCC" w14:textId="77777777" w:rsidTr="00A41632">
        <w:trPr>
          <w:trHeight w:val="276"/>
          <w:jc w:val="center"/>
        </w:trPr>
        <w:tc>
          <w:tcPr>
            <w:tcW w:w="955" w:type="dxa"/>
            <w:tcBorders>
              <w:top w:val="nil"/>
              <w:left w:val="single" w:sz="8" w:space="0" w:color="auto"/>
              <w:bottom w:val="nil"/>
              <w:right w:val="nil"/>
            </w:tcBorders>
            <w:noWrap/>
            <w:vAlign w:val="center"/>
            <w:hideMark/>
          </w:tcPr>
          <w:p w14:paraId="5B6BB154"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D7ED5DB" w14:textId="77777777" w:rsidR="00F3536C" w:rsidRPr="00A4272B" w:rsidRDefault="00F3536C" w:rsidP="00A41632">
            <w:pPr>
              <w:rPr>
                <w:color w:val="000000"/>
                <w:sz w:val="14"/>
                <w:szCs w:val="14"/>
                <w:lang w:val="en-US"/>
              </w:rPr>
            </w:pPr>
            <w:r w:rsidRPr="00A4272B">
              <w:rPr>
                <w:color w:val="000000"/>
                <w:sz w:val="14"/>
                <w:szCs w:val="14"/>
                <w:lang w:val="en-US"/>
              </w:rPr>
              <w:t>France</w:t>
            </w:r>
          </w:p>
        </w:tc>
        <w:tc>
          <w:tcPr>
            <w:tcW w:w="2504" w:type="dxa"/>
            <w:noWrap/>
            <w:vAlign w:val="center"/>
            <w:hideMark/>
          </w:tcPr>
          <w:p w14:paraId="15DF1372" w14:textId="77777777" w:rsidR="00F3536C" w:rsidRPr="00A4272B" w:rsidRDefault="00F3536C" w:rsidP="00A41632">
            <w:pPr>
              <w:rPr>
                <w:color w:val="000000"/>
                <w:sz w:val="14"/>
                <w:szCs w:val="14"/>
                <w:lang w:val="en-US"/>
              </w:rPr>
            </w:pPr>
            <w:r w:rsidRPr="00A4272B">
              <w:rPr>
                <w:color w:val="000000"/>
                <w:sz w:val="14"/>
                <w:szCs w:val="14"/>
                <w:lang w:val="en-US"/>
              </w:rPr>
              <w:t>Paris</w:t>
            </w:r>
          </w:p>
        </w:tc>
        <w:tc>
          <w:tcPr>
            <w:tcW w:w="998" w:type="dxa"/>
            <w:noWrap/>
            <w:vAlign w:val="center"/>
            <w:hideMark/>
          </w:tcPr>
          <w:p w14:paraId="29F9AA92" w14:textId="77777777" w:rsidR="00F3536C" w:rsidRPr="00A4272B" w:rsidRDefault="00F3536C" w:rsidP="00A41632">
            <w:pPr>
              <w:jc w:val="center"/>
              <w:rPr>
                <w:color w:val="000000"/>
                <w:sz w:val="14"/>
                <w:szCs w:val="14"/>
                <w:lang w:val="en-US"/>
              </w:rPr>
            </w:pPr>
            <w:r w:rsidRPr="00A4272B">
              <w:rPr>
                <w:color w:val="000000"/>
                <w:sz w:val="14"/>
                <w:szCs w:val="14"/>
                <w:lang w:val="en-US"/>
              </w:rPr>
              <w:t>WE17</w:t>
            </w:r>
          </w:p>
        </w:tc>
        <w:tc>
          <w:tcPr>
            <w:tcW w:w="1342" w:type="dxa"/>
            <w:noWrap/>
            <w:vAlign w:val="center"/>
            <w:hideMark/>
          </w:tcPr>
          <w:p w14:paraId="6A1178AE"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3B4F9CA7" w14:textId="77777777" w:rsidR="00F3536C" w:rsidRPr="00A4272B" w:rsidRDefault="00F3536C" w:rsidP="00A41632">
            <w:pPr>
              <w:jc w:val="right"/>
              <w:rPr>
                <w:color w:val="000000"/>
                <w:sz w:val="14"/>
                <w:szCs w:val="14"/>
                <w:lang w:val="en-US"/>
              </w:rPr>
            </w:pPr>
            <w:r w:rsidRPr="00A4272B">
              <w:rPr>
                <w:color w:val="000000"/>
                <w:sz w:val="14"/>
                <w:szCs w:val="14"/>
                <w:lang w:val="en-US"/>
              </w:rPr>
              <w:t>48.863950</w:t>
            </w:r>
          </w:p>
        </w:tc>
        <w:tc>
          <w:tcPr>
            <w:tcW w:w="998" w:type="dxa"/>
            <w:noWrap/>
            <w:vAlign w:val="center"/>
            <w:hideMark/>
          </w:tcPr>
          <w:p w14:paraId="78398CA7" w14:textId="77777777" w:rsidR="00F3536C" w:rsidRPr="00A4272B" w:rsidRDefault="00F3536C" w:rsidP="00A41632">
            <w:pPr>
              <w:jc w:val="right"/>
              <w:rPr>
                <w:color w:val="000000"/>
                <w:sz w:val="14"/>
                <w:szCs w:val="14"/>
                <w:lang w:val="en-US"/>
              </w:rPr>
            </w:pPr>
            <w:r w:rsidRPr="00A4272B">
              <w:rPr>
                <w:color w:val="000000"/>
                <w:sz w:val="14"/>
                <w:szCs w:val="14"/>
                <w:lang w:val="en-US"/>
              </w:rPr>
              <w:t>2.358269</w:t>
            </w:r>
          </w:p>
        </w:tc>
        <w:tc>
          <w:tcPr>
            <w:tcW w:w="859" w:type="dxa"/>
            <w:tcBorders>
              <w:top w:val="nil"/>
              <w:left w:val="nil"/>
              <w:bottom w:val="nil"/>
              <w:right w:val="single" w:sz="8" w:space="0" w:color="auto"/>
            </w:tcBorders>
            <w:noWrap/>
            <w:vAlign w:val="center"/>
            <w:hideMark/>
          </w:tcPr>
          <w:p w14:paraId="52D5E8A4" w14:textId="77777777" w:rsidR="00F3536C" w:rsidRPr="00A4272B" w:rsidRDefault="00F3536C" w:rsidP="00A41632">
            <w:pPr>
              <w:jc w:val="center"/>
              <w:rPr>
                <w:color w:val="000000"/>
                <w:sz w:val="14"/>
                <w:szCs w:val="14"/>
                <w:lang w:val="en-US"/>
              </w:rPr>
            </w:pPr>
            <w:r w:rsidRPr="00A4272B">
              <w:rPr>
                <w:color w:val="000000"/>
                <w:sz w:val="14"/>
                <w:szCs w:val="14"/>
                <w:lang w:val="en-US"/>
              </w:rPr>
              <w:t>35</w:t>
            </w:r>
          </w:p>
        </w:tc>
        <w:tc>
          <w:tcPr>
            <w:tcW w:w="792" w:type="dxa"/>
            <w:noWrap/>
            <w:vAlign w:val="center"/>
            <w:hideMark/>
          </w:tcPr>
          <w:p w14:paraId="734AACB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2D12A8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D5A01B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100C6E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5DBB52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8C28C11" w14:textId="77777777" w:rsidR="00F3536C" w:rsidRPr="00A4272B" w:rsidRDefault="00F3536C" w:rsidP="00A41632">
            <w:pPr>
              <w:jc w:val="center"/>
              <w:rPr>
                <w:sz w:val="14"/>
                <w:szCs w:val="14"/>
                <w:lang w:val="en-US"/>
              </w:rPr>
            </w:pPr>
            <w:r w:rsidRPr="00A4272B">
              <w:rPr>
                <w:sz w:val="14"/>
                <w:szCs w:val="14"/>
                <w:lang w:val="en-US"/>
              </w:rPr>
              <w:t>2005</w:t>
            </w:r>
          </w:p>
        </w:tc>
      </w:tr>
      <w:tr w:rsidR="00F3536C" w:rsidRPr="00A4272B" w14:paraId="4C0230A6" w14:textId="77777777" w:rsidTr="00A41632">
        <w:trPr>
          <w:trHeight w:val="276"/>
          <w:jc w:val="center"/>
        </w:trPr>
        <w:tc>
          <w:tcPr>
            <w:tcW w:w="955" w:type="dxa"/>
            <w:tcBorders>
              <w:top w:val="nil"/>
              <w:left w:val="single" w:sz="8" w:space="0" w:color="auto"/>
              <w:bottom w:val="nil"/>
              <w:right w:val="nil"/>
            </w:tcBorders>
            <w:noWrap/>
            <w:vAlign w:val="center"/>
            <w:hideMark/>
          </w:tcPr>
          <w:p w14:paraId="4B911B78"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18D7B166" w14:textId="77777777" w:rsidR="00F3536C" w:rsidRPr="00A4272B" w:rsidRDefault="00F3536C" w:rsidP="00A41632">
            <w:pPr>
              <w:rPr>
                <w:color w:val="000000"/>
                <w:sz w:val="14"/>
                <w:szCs w:val="14"/>
                <w:lang w:val="en-US"/>
              </w:rPr>
            </w:pPr>
            <w:r w:rsidRPr="00A4272B">
              <w:rPr>
                <w:color w:val="000000"/>
                <w:sz w:val="14"/>
                <w:szCs w:val="14"/>
                <w:lang w:val="en-US"/>
              </w:rPr>
              <w:t>Iceland</w:t>
            </w:r>
          </w:p>
        </w:tc>
        <w:tc>
          <w:tcPr>
            <w:tcW w:w="2504" w:type="dxa"/>
            <w:noWrap/>
            <w:vAlign w:val="center"/>
            <w:hideMark/>
          </w:tcPr>
          <w:p w14:paraId="25BD51A0" w14:textId="77777777" w:rsidR="00F3536C" w:rsidRPr="00A4272B" w:rsidRDefault="00F3536C" w:rsidP="00A41632">
            <w:pPr>
              <w:rPr>
                <w:color w:val="000000"/>
                <w:sz w:val="14"/>
                <w:szCs w:val="14"/>
                <w:lang w:val="en-US"/>
              </w:rPr>
            </w:pPr>
            <w:r w:rsidRPr="00A4272B">
              <w:rPr>
                <w:color w:val="000000"/>
                <w:sz w:val="14"/>
                <w:szCs w:val="14"/>
                <w:lang w:val="en-US"/>
              </w:rPr>
              <w:t>Storhofdi</w:t>
            </w:r>
          </w:p>
        </w:tc>
        <w:tc>
          <w:tcPr>
            <w:tcW w:w="998" w:type="dxa"/>
            <w:noWrap/>
            <w:vAlign w:val="center"/>
            <w:hideMark/>
          </w:tcPr>
          <w:p w14:paraId="6AF12A1C" w14:textId="77777777" w:rsidR="00F3536C" w:rsidRPr="00A4272B" w:rsidRDefault="00F3536C" w:rsidP="00A41632">
            <w:pPr>
              <w:jc w:val="center"/>
              <w:rPr>
                <w:color w:val="000000"/>
                <w:sz w:val="14"/>
                <w:szCs w:val="14"/>
                <w:lang w:val="en-US"/>
              </w:rPr>
            </w:pPr>
            <w:r w:rsidRPr="00A4272B">
              <w:rPr>
                <w:color w:val="000000"/>
                <w:sz w:val="14"/>
                <w:szCs w:val="14"/>
                <w:lang w:val="en-US"/>
              </w:rPr>
              <w:t>WE14</w:t>
            </w:r>
          </w:p>
        </w:tc>
        <w:tc>
          <w:tcPr>
            <w:tcW w:w="1342" w:type="dxa"/>
            <w:noWrap/>
            <w:vAlign w:val="center"/>
            <w:hideMark/>
          </w:tcPr>
          <w:p w14:paraId="40E95CD9"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539BC13B" w14:textId="77777777" w:rsidR="00F3536C" w:rsidRPr="00A4272B" w:rsidRDefault="00F3536C" w:rsidP="00A41632">
            <w:pPr>
              <w:jc w:val="right"/>
              <w:rPr>
                <w:color w:val="000000"/>
                <w:sz w:val="14"/>
                <w:szCs w:val="14"/>
                <w:lang w:val="en-US"/>
              </w:rPr>
            </w:pPr>
            <w:r w:rsidRPr="00A4272B">
              <w:rPr>
                <w:color w:val="000000"/>
                <w:sz w:val="14"/>
                <w:szCs w:val="14"/>
                <w:lang w:val="en-US"/>
              </w:rPr>
              <w:t>63.400000</w:t>
            </w:r>
          </w:p>
        </w:tc>
        <w:tc>
          <w:tcPr>
            <w:tcW w:w="998" w:type="dxa"/>
            <w:noWrap/>
            <w:vAlign w:val="center"/>
            <w:hideMark/>
          </w:tcPr>
          <w:p w14:paraId="1950CA74" w14:textId="77777777" w:rsidR="00F3536C" w:rsidRPr="00A4272B" w:rsidRDefault="00F3536C" w:rsidP="00A41632">
            <w:pPr>
              <w:jc w:val="right"/>
              <w:rPr>
                <w:color w:val="000000"/>
                <w:sz w:val="14"/>
                <w:szCs w:val="14"/>
                <w:lang w:val="en-US"/>
              </w:rPr>
            </w:pPr>
            <w:r w:rsidRPr="00A4272B">
              <w:rPr>
                <w:color w:val="000000"/>
                <w:sz w:val="14"/>
                <w:szCs w:val="14"/>
                <w:lang w:val="en-US"/>
              </w:rPr>
              <w:t>-20.283000</w:t>
            </w:r>
          </w:p>
        </w:tc>
        <w:tc>
          <w:tcPr>
            <w:tcW w:w="859" w:type="dxa"/>
            <w:tcBorders>
              <w:top w:val="nil"/>
              <w:left w:val="nil"/>
              <w:bottom w:val="nil"/>
              <w:right w:val="single" w:sz="8" w:space="0" w:color="auto"/>
            </w:tcBorders>
            <w:noWrap/>
            <w:vAlign w:val="center"/>
            <w:hideMark/>
          </w:tcPr>
          <w:p w14:paraId="4B738BB2" w14:textId="77777777" w:rsidR="00F3536C" w:rsidRPr="00A4272B" w:rsidRDefault="00F3536C" w:rsidP="00A41632">
            <w:pPr>
              <w:jc w:val="center"/>
              <w:rPr>
                <w:color w:val="000000"/>
                <w:sz w:val="14"/>
                <w:szCs w:val="14"/>
                <w:lang w:val="en-US"/>
              </w:rPr>
            </w:pPr>
            <w:r w:rsidRPr="00A4272B">
              <w:rPr>
                <w:color w:val="000000"/>
                <w:sz w:val="14"/>
                <w:szCs w:val="14"/>
                <w:lang w:val="en-US"/>
              </w:rPr>
              <w:t>82</w:t>
            </w:r>
          </w:p>
        </w:tc>
        <w:tc>
          <w:tcPr>
            <w:tcW w:w="792" w:type="dxa"/>
            <w:noWrap/>
            <w:vAlign w:val="center"/>
            <w:hideMark/>
          </w:tcPr>
          <w:p w14:paraId="2AC3176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965F8A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7FFF80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1DAFF9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98BC54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21C1FF1"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56B3B047" w14:textId="77777777" w:rsidTr="00A41632">
        <w:trPr>
          <w:trHeight w:val="276"/>
          <w:jc w:val="center"/>
        </w:trPr>
        <w:tc>
          <w:tcPr>
            <w:tcW w:w="955" w:type="dxa"/>
            <w:tcBorders>
              <w:top w:val="nil"/>
              <w:left w:val="single" w:sz="8" w:space="0" w:color="auto"/>
              <w:bottom w:val="nil"/>
              <w:right w:val="nil"/>
            </w:tcBorders>
            <w:noWrap/>
            <w:vAlign w:val="center"/>
            <w:hideMark/>
          </w:tcPr>
          <w:p w14:paraId="0B1130D1"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2D8A739B" w14:textId="77777777" w:rsidR="00F3536C" w:rsidRPr="00A4272B" w:rsidRDefault="00F3536C" w:rsidP="00A41632">
            <w:pPr>
              <w:rPr>
                <w:color w:val="000000"/>
                <w:sz w:val="14"/>
                <w:szCs w:val="14"/>
                <w:lang w:val="en-US"/>
              </w:rPr>
            </w:pPr>
            <w:r w:rsidRPr="00A4272B">
              <w:rPr>
                <w:color w:val="000000"/>
                <w:sz w:val="14"/>
                <w:szCs w:val="14"/>
                <w:lang w:val="en-US"/>
              </w:rPr>
              <w:t>Ireland</w:t>
            </w:r>
          </w:p>
        </w:tc>
        <w:tc>
          <w:tcPr>
            <w:tcW w:w="2504" w:type="dxa"/>
            <w:noWrap/>
            <w:vAlign w:val="center"/>
            <w:hideMark/>
          </w:tcPr>
          <w:p w14:paraId="3381C532" w14:textId="77777777" w:rsidR="00F3536C" w:rsidRPr="00A4272B" w:rsidRDefault="00F3536C" w:rsidP="00A41632">
            <w:pPr>
              <w:rPr>
                <w:color w:val="000000"/>
                <w:sz w:val="14"/>
                <w:szCs w:val="14"/>
                <w:lang w:val="en-US"/>
              </w:rPr>
            </w:pPr>
            <w:r w:rsidRPr="00A4272B">
              <w:rPr>
                <w:color w:val="000000"/>
                <w:sz w:val="14"/>
                <w:szCs w:val="14"/>
                <w:lang w:val="en-US"/>
              </w:rPr>
              <w:t>Malin Head</w:t>
            </w:r>
          </w:p>
        </w:tc>
        <w:tc>
          <w:tcPr>
            <w:tcW w:w="998" w:type="dxa"/>
            <w:noWrap/>
            <w:vAlign w:val="center"/>
            <w:hideMark/>
          </w:tcPr>
          <w:p w14:paraId="1476D85F" w14:textId="77777777" w:rsidR="00F3536C" w:rsidRPr="00A4272B" w:rsidRDefault="00F3536C" w:rsidP="00A41632">
            <w:pPr>
              <w:jc w:val="center"/>
              <w:rPr>
                <w:color w:val="000000"/>
                <w:sz w:val="14"/>
                <w:szCs w:val="14"/>
                <w:lang w:val="en-US"/>
              </w:rPr>
            </w:pPr>
            <w:r w:rsidRPr="00A4272B">
              <w:rPr>
                <w:color w:val="000000"/>
                <w:sz w:val="14"/>
                <w:szCs w:val="14"/>
                <w:lang w:val="en-US"/>
              </w:rPr>
              <w:t>WE16</w:t>
            </w:r>
          </w:p>
        </w:tc>
        <w:tc>
          <w:tcPr>
            <w:tcW w:w="1342" w:type="dxa"/>
            <w:noWrap/>
            <w:vAlign w:val="center"/>
            <w:hideMark/>
          </w:tcPr>
          <w:p w14:paraId="2E5779BF"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6CE667EE" w14:textId="77777777" w:rsidR="00F3536C" w:rsidRPr="00A4272B" w:rsidRDefault="00F3536C" w:rsidP="00A41632">
            <w:pPr>
              <w:jc w:val="right"/>
              <w:rPr>
                <w:color w:val="000000"/>
                <w:sz w:val="14"/>
                <w:szCs w:val="14"/>
                <w:lang w:val="en-US"/>
              </w:rPr>
            </w:pPr>
            <w:r w:rsidRPr="00A4272B">
              <w:rPr>
                <w:color w:val="000000"/>
                <w:sz w:val="14"/>
                <w:szCs w:val="14"/>
                <w:lang w:val="en-US"/>
              </w:rPr>
              <w:t>55.371672</w:t>
            </w:r>
          </w:p>
        </w:tc>
        <w:tc>
          <w:tcPr>
            <w:tcW w:w="998" w:type="dxa"/>
            <w:noWrap/>
            <w:vAlign w:val="center"/>
            <w:hideMark/>
          </w:tcPr>
          <w:p w14:paraId="5E2E039B" w14:textId="77777777" w:rsidR="00F3536C" w:rsidRPr="00A4272B" w:rsidRDefault="00F3536C" w:rsidP="00A41632">
            <w:pPr>
              <w:jc w:val="right"/>
              <w:rPr>
                <w:color w:val="000000"/>
                <w:sz w:val="14"/>
                <w:szCs w:val="14"/>
                <w:lang w:val="en-US"/>
              </w:rPr>
            </w:pPr>
            <w:r w:rsidRPr="00A4272B">
              <w:rPr>
                <w:color w:val="000000"/>
                <w:sz w:val="14"/>
                <w:szCs w:val="14"/>
                <w:lang w:val="en-US"/>
              </w:rPr>
              <w:t>-7.338988</w:t>
            </w:r>
          </w:p>
        </w:tc>
        <w:tc>
          <w:tcPr>
            <w:tcW w:w="859" w:type="dxa"/>
            <w:tcBorders>
              <w:top w:val="nil"/>
              <w:left w:val="nil"/>
              <w:bottom w:val="nil"/>
              <w:right w:val="single" w:sz="8" w:space="0" w:color="auto"/>
            </w:tcBorders>
            <w:noWrap/>
            <w:vAlign w:val="center"/>
            <w:hideMark/>
          </w:tcPr>
          <w:p w14:paraId="264D2BC0" w14:textId="77777777" w:rsidR="00F3536C" w:rsidRPr="00A4272B" w:rsidRDefault="00F3536C" w:rsidP="00A41632">
            <w:pPr>
              <w:jc w:val="center"/>
              <w:rPr>
                <w:color w:val="000000"/>
                <w:sz w:val="14"/>
                <w:szCs w:val="14"/>
                <w:lang w:val="en-US"/>
              </w:rPr>
            </w:pPr>
            <w:r w:rsidRPr="00A4272B">
              <w:rPr>
                <w:color w:val="000000"/>
                <w:sz w:val="14"/>
                <w:szCs w:val="14"/>
                <w:lang w:val="en-US"/>
              </w:rPr>
              <w:t>18</w:t>
            </w:r>
          </w:p>
        </w:tc>
        <w:tc>
          <w:tcPr>
            <w:tcW w:w="792" w:type="dxa"/>
            <w:noWrap/>
            <w:vAlign w:val="center"/>
            <w:hideMark/>
          </w:tcPr>
          <w:p w14:paraId="7994217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2D3CAD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219450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E7A6D8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9C9505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B1B7066"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0F6F46EC" w14:textId="77777777" w:rsidTr="00A41632">
        <w:trPr>
          <w:trHeight w:val="276"/>
          <w:jc w:val="center"/>
        </w:trPr>
        <w:tc>
          <w:tcPr>
            <w:tcW w:w="955" w:type="dxa"/>
            <w:tcBorders>
              <w:top w:val="nil"/>
              <w:left w:val="single" w:sz="8" w:space="0" w:color="auto"/>
              <w:bottom w:val="nil"/>
              <w:right w:val="nil"/>
            </w:tcBorders>
            <w:noWrap/>
            <w:vAlign w:val="center"/>
            <w:hideMark/>
          </w:tcPr>
          <w:p w14:paraId="467E689D"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A801A2F" w14:textId="77777777" w:rsidR="00F3536C" w:rsidRPr="00A4272B" w:rsidRDefault="00F3536C" w:rsidP="00A41632">
            <w:pPr>
              <w:rPr>
                <w:color w:val="000000"/>
                <w:sz w:val="14"/>
                <w:szCs w:val="14"/>
                <w:lang w:val="en-US"/>
              </w:rPr>
            </w:pPr>
            <w:r w:rsidRPr="00A4272B">
              <w:rPr>
                <w:color w:val="000000"/>
                <w:sz w:val="14"/>
                <w:szCs w:val="14"/>
                <w:lang w:val="en-US"/>
              </w:rPr>
              <w:t>Norway</w:t>
            </w:r>
          </w:p>
        </w:tc>
        <w:tc>
          <w:tcPr>
            <w:tcW w:w="2504" w:type="dxa"/>
            <w:noWrap/>
            <w:vAlign w:val="center"/>
            <w:hideMark/>
          </w:tcPr>
          <w:p w14:paraId="1F798466" w14:textId="77777777" w:rsidR="00F3536C" w:rsidRPr="00A4272B" w:rsidRDefault="00F3536C" w:rsidP="00A41632">
            <w:pPr>
              <w:rPr>
                <w:color w:val="000000"/>
                <w:sz w:val="14"/>
                <w:szCs w:val="14"/>
                <w:lang w:val="en-US"/>
              </w:rPr>
            </w:pPr>
            <w:r w:rsidRPr="00A4272B">
              <w:rPr>
                <w:color w:val="000000"/>
                <w:sz w:val="14"/>
                <w:szCs w:val="14"/>
                <w:lang w:val="en-US"/>
              </w:rPr>
              <w:t>Ny-Ålesund / Spitsbergen / Zeppelinfjell</w:t>
            </w:r>
          </w:p>
        </w:tc>
        <w:tc>
          <w:tcPr>
            <w:tcW w:w="998" w:type="dxa"/>
            <w:noWrap/>
            <w:vAlign w:val="center"/>
            <w:hideMark/>
          </w:tcPr>
          <w:p w14:paraId="13D8F255" w14:textId="77777777" w:rsidR="00F3536C" w:rsidRPr="00A4272B" w:rsidRDefault="00F3536C" w:rsidP="00A41632">
            <w:pPr>
              <w:jc w:val="center"/>
              <w:rPr>
                <w:color w:val="000000"/>
                <w:sz w:val="14"/>
                <w:szCs w:val="14"/>
                <w:lang w:val="en-US"/>
              </w:rPr>
            </w:pPr>
            <w:r w:rsidRPr="00A4272B">
              <w:rPr>
                <w:color w:val="000000"/>
                <w:sz w:val="14"/>
                <w:szCs w:val="14"/>
                <w:lang w:val="en-US"/>
              </w:rPr>
              <w:t>WE13</w:t>
            </w:r>
          </w:p>
        </w:tc>
        <w:tc>
          <w:tcPr>
            <w:tcW w:w="1342" w:type="dxa"/>
            <w:noWrap/>
            <w:vAlign w:val="center"/>
            <w:hideMark/>
          </w:tcPr>
          <w:p w14:paraId="04D55FFA"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08CFBD09" w14:textId="77777777" w:rsidR="00F3536C" w:rsidRPr="00A4272B" w:rsidRDefault="00F3536C" w:rsidP="00A41632">
            <w:pPr>
              <w:jc w:val="right"/>
              <w:rPr>
                <w:color w:val="000000"/>
                <w:sz w:val="14"/>
                <w:szCs w:val="14"/>
                <w:lang w:val="en-US"/>
              </w:rPr>
            </w:pPr>
            <w:r w:rsidRPr="00A4272B">
              <w:rPr>
                <w:color w:val="000000"/>
                <w:sz w:val="14"/>
                <w:szCs w:val="14"/>
                <w:lang w:val="en-US"/>
              </w:rPr>
              <w:t>78.907250</w:t>
            </w:r>
          </w:p>
        </w:tc>
        <w:tc>
          <w:tcPr>
            <w:tcW w:w="998" w:type="dxa"/>
            <w:noWrap/>
            <w:vAlign w:val="center"/>
            <w:hideMark/>
          </w:tcPr>
          <w:p w14:paraId="2493B320" w14:textId="77777777" w:rsidR="00F3536C" w:rsidRPr="00A4272B" w:rsidRDefault="00F3536C" w:rsidP="00A41632">
            <w:pPr>
              <w:jc w:val="right"/>
              <w:rPr>
                <w:color w:val="000000"/>
                <w:sz w:val="14"/>
                <w:szCs w:val="14"/>
                <w:lang w:val="en-US"/>
              </w:rPr>
            </w:pPr>
            <w:r w:rsidRPr="00A4272B">
              <w:rPr>
                <w:color w:val="000000"/>
                <w:sz w:val="14"/>
                <w:szCs w:val="14"/>
                <w:lang w:val="en-US"/>
              </w:rPr>
              <w:t>11.886667</w:t>
            </w:r>
          </w:p>
        </w:tc>
        <w:tc>
          <w:tcPr>
            <w:tcW w:w="859" w:type="dxa"/>
            <w:tcBorders>
              <w:top w:val="nil"/>
              <w:left w:val="nil"/>
              <w:bottom w:val="nil"/>
              <w:right w:val="single" w:sz="8" w:space="0" w:color="auto"/>
            </w:tcBorders>
            <w:noWrap/>
            <w:vAlign w:val="center"/>
            <w:hideMark/>
          </w:tcPr>
          <w:p w14:paraId="514B9696" w14:textId="77777777" w:rsidR="00F3536C" w:rsidRPr="00A4272B" w:rsidRDefault="00F3536C" w:rsidP="00A41632">
            <w:pPr>
              <w:jc w:val="center"/>
              <w:rPr>
                <w:color w:val="000000"/>
                <w:sz w:val="14"/>
                <w:szCs w:val="14"/>
                <w:lang w:val="en-US"/>
              </w:rPr>
            </w:pPr>
            <w:r w:rsidRPr="00A4272B">
              <w:rPr>
                <w:color w:val="000000"/>
                <w:sz w:val="14"/>
                <w:szCs w:val="14"/>
                <w:lang w:val="en-US"/>
              </w:rPr>
              <w:t>475</w:t>
            </w:r>
          </w:p>
        </w:tc>
        <w:tc>
          <w:tcPr>
            <w:tcW w:w="792" w:type="dxa"/>
            <w:noWrap/>
            <w:vAlign w:val="center"/>
            <w:hideMark/>
          </w:tcPr>
          <w:p w14:paraId="5BDCC8A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00B093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26E16B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46A551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E4FB27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27F79C5"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2AE03DD1" w14:textId="77777777" w:rsidTr="00A41632">
        <w:trPr>
          <w:trHeight w:val="276"/>
          <w:jc w:val="center"/>
        </w:trPr>
        <w:tc>
          <w:tcPr>
            <w:tcW w:w="955" w:type="dxa"/>
            <w:tcBorders>
              <w:top w:val="nil"/>
              <w:left w:val="single" w:sz="8" w:space="0" w:color="auto"/>
              <w:bottom w:val="nil"/>
              <w:right w:val="nil"/>
            </w:tcBorders>
            <w:noWrap/>
            <w:vAlign w:val="center"/>
            <w:hideMark/>
          </w:tcPr>
          <w:p w14:paraId="3B0082BB"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1DA42637" w14:textId="77777777" w:rsidR="00F3536C" w:rsidRPr="00A4272B" w:rsidRDefault="00F3536C" w:rsidP="00A41632">
            <w:pPr>
              <w:rPr>
                <w:color w:val="000000"/>
                <w:sz w:val="14"/>
                <w:szCs w:val="14"/>
                <w:lang w:val="en-US"/>
              </w:rPr>
            </w:pPr>
            <w:r w:rsidRPr="00A4272B">
              <w:rPr>
                <w:color w:val="000000"/>
                <w:sz w:val="14"/>
                <w:szCs w:val="14"/>
                <w:lang w:val="en-US"/>
              </w:rPr>
              <w:t>Poland</w:t>
            </w:r>
          </w:p>
        </w:tc>
        <w:tc>
          <w:tcPr>
            <w:tcW w:w="2504" w:type="dxa"/>
            <w:noWrap/>
            <w:vAlign w:val="center"/>
            <w:hideMark/>
          </w:tcPr>
          <w:p w14:paraId="3D5ABD22" w14:textId="77777777" w:rsidR="00F3536C" w:rsidRPr="00A4272B" w:rsidRDefault="00F3536C" w:rsidP="00A41632">
            <w:pPr>
              <w:rPr>
                <w:color w:val="000000"/>
                <w:sz w:val="14"/>
                <w:szCs w:val="14"/>
                <w:lang w:val="en-US"/>
              </w:rPr>
            </w:pPr>
            <w:r w:rsidRPr="00A4272B">
              <w:rPr>
                <w:color w:val="000000"/>
                <w:sz w:val="14"/>
                <w:szCs w:val="14"/>
                <w:lang w:val="en-US"/>
              </w:rPr>
              <w:t>Warsaw</w:t>
            </w:r>
          </w:p>
        </w:tc>
        <w:tc>
          <w:tcPr>
            <w:tcW w:w="998" w:type="dxa"/>
            <w:noWrap/>
            <w:vAlign w:val="center"/>
            <w:hideMark/>
          </w:tcPr>
          <w:p w14:paraId="5D16A12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8326E2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1B7AA99" w14:textId="77777777" w:rsidR="00F3536C" w:rsidRPr="00A4272B" w:rsidRDefault="00F3536C" w:rsidP="00A41632">
            <w:pPr>
              <w:jc w:val="right"/>
              <w:rPr>
                <w:color w:val="000000"/>
                <w:sz w:val="14"/>
                <w:szCs w:val="14"/>
                <w:lang w:val="en-US"/>
              </w:rPr>
            </w:pPr>
            <w:r w:rsidRPr="00A4272B">
              <w:rPr>
                <w:color w:val="000000"/>
                <w:sz w:val="14"/>
                <w:szCs w:val="14"/>
                <w:lang w:val="en-US"/>
              </w:rPr>
              <w:t>52.221611</w:t>
            </w:r>
          </w:p>
        </w:tc>
        <w:tc>
          <w:tcPr>
            <w:tcW w:w="998" w:type="dxa"/>
            <w:noWrap/>
            <w:vAlign w:val="center"/>
            <w:hideMark/>
          </w:tcPr>
          <w:p w14:paraId="0E189BC8" w14:textId="77777777" w:rsidR="00F3536C" w:rsidRPr="00A4272B" w:rsidRDefault="00F3536C" w:rsidP="00A41632">
            <w:pPr>
              <w:jc w:val="right"/>
              <w:rPr>
                <w:color w:val="000000"/>
                <w:sz w:val="14"/>
                <w:szCs w:val="14"/>
                <w:lang w:val="en-US"/>
              </w:rPr>
            </w:pPr>
            <w:r w:rsidRPr="00A4272B">
              <w:rPr>
                <w:color w:val="000000"/>
                <w:sz w:val="14"/>
                <w:szCs w:val="14"/>
                <w:lang w:val="en-US"/>
              </w:rPr>
              <w:t>21.007250</w:t>
            </w:r>
          </w:p>
        </w:tc>
        <w:tc>
          <w:tcPr>
            <w:tcW w:w="859" w:type="dxa"/>
            <w:tcBorders>
              <w:top w:val="nil"/>
              <w:left w:val="nil"/>
              <w:bottom w:val="nil"/>
              <w:right w:val="single" w:sz="8" w:space="0" w:color="auto"/>
            </w:tcBorders>
            <w:noWrap/>
            <w:vAlign w:val="center"/>
            <w:hideMark/>
          </w:tcPr>
          <w:p w14:paraId="611D063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18485E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4110C63"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D15114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C44861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BD819A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C5C456C"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62C95133" w14:textId="77777777" w:rsidTr="00A41632">
        <w:trPr>
          <w:trHeight w:val="276"/>
          <w:jc w:val="center"/>
        </w:trPr>
        <w:tc>
          <w:tcPr>
            <w:tcW w:w="955" w:type="dxa"/>
            <w:tcBorders>
              <w:top w:val="nil"/>
              <w:left w:val="single" w:sz="8" w:space="0" w:color="auto"/>
              <w:bottom w:val="nil"/>
              <w:right w:val="nil"/>
            </w:tcBorders>
            <w:noWrap/>
            <w:vAlign w:val="center"/>
            <w:hideMark/>
          </w:tcPr>
          <w:p w14:paraId="77B03EE2"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3F695AA3"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47C706D7" w14:textId="77777777" w:rsidR="00F3536C" w:rsidRPr="00A4272B" w:rsidRDefault="00F3536C" w:rsidP="00A41632">
            <w:pPr>
              <w:rPr>
                <w:color w:val="000000"/>
                <w:sz w:val="14"/>
                <w:szCs w:val="14"/>
                <w:lang w:val="en-US"/>
              </w:rPr>
            </w:pPr>
            <w:r w:rsidRPr="00A4272B">
              <w:rPr>
                <w:color w:val="000000"/>
                <w:sz w:val="14"/>
                <w:szCs w:val="14"/>
                <w:lang w:val="en-US"/>
              </w:rPr>
              <w:t>Doñana National Park</w:t>
            </w:r>
          </w:p>
        </w:tc>
        <w:tc>
          <w:tcPr>
            <w:tcW w:w="998" w:type="dxa"/>
            <w:noWrap/>
            <w:vAlign w:val="center"/>
            <w:hideMark/>
          </w:tcPr>
          <w:p w14:paraId="395E47F6" w14:textId="77777777" w:rsidR="00F3536C" w:rsidRPr="00A4272B" w:rsidRDefault="00F3536C" w:rsidP="00A41632">
            <w:pPr>
              <w:jc w:val="center"/>
              <w:rPr>
                <w:color w:val="000000"/>
                <w:sz w:val="14"/>
                <w:szCs w:val="14"/>
                <w:lang w:val="en-US"/>
              </w:rPr>
            </w:pPr>
            <w:r w:rsidRPr="00A4272B">
              <w:rPr>
                <w:color w:val="000000"/>
                <w:sz w:val="14"/>
                <w:szCs w:val="14"/>
                <w:lang w:val="en-US"/>
              </w:rPr>
              <w:t>WE41</w:t>
            </w:r>
          </w:p>
        </w:tc>
        <w:tc>
          <w:tcPr>
            <w:tcW w:w="1342" w:type="dxa"/>
            <w:noWrap/>
            <w:vAlign w:val="center"/>
            <w:hideMark/>
          </w:tcPr>
          <w:p w14:paraId="70FB8AB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D06AE2E" w14:textId="77777777" w:rsidR="00F3536C" w:rsidRPr="00A4272B" w:rsidRDefault="00F3536C" w:rsidP="00A41632">
            <w:pPr>
              <w:jc w:val="right"/>
              <w:rPr>
                <w:color w:val="000000"/>
                <w:sz w:val="14"/>
                <w:szCs w:val="14"/>
                <w:lang w:val="en-US"/>
              </w:rPr>
            </w:pPr>
            <w:r w:rsidRPr="00A4272B">
              <w:rPr>
                <w:color w:val="000000"/>
                <w:sz w:val="14"/>
                <w:szCs w:val="14"/>
                <w:lang w:val="en-US"/>
              </w:rPr>
              <w:t>37.053333</w:t>
            </w:r>
          </w:p>
        </w:tc>
        <w:tc>
          <w:tcPr>
            <w:tcW w:w="998" w:type="dxa"/>
            <w:noWrap/>
            <w:vAlign w:val="center"/>
            <w:hideMark/>
          </w:tcPr>
          <w:p w14:paraId="04551107" w14:textId="77777777" w:rsidR="00F3536C" w:rsidRPr="00A4272B" w:rsidRDefault="00F3536C" w:rsidP="00A41632">
            <w:pPr>
              <w:jc w:val="right"/>
              <w:rPr>
                <w:color w:val="000000"/>
                <w:sz w:val="14"/>
                <w:szCs w:val="14"/>
                <w:lang w:val="en-US"/>
              </w:rPr>
            </w:pPr>
            <w:r w:rsidRPr="00A4272B">
              <w:rPr>
                <w:color w:val="000000"/>
                <w:sz w:val="14"/>
                <w:szCs w:val="14"/>
                <w:lang w:val="en-US"/>
              </w:rPr>
              <w:t>-6.554167</w:t>
            </w:r>
          </w:p>
        </w:tc>
        <w:tc>
          <w:tcPr>
            <w:tcW w:w="859" w:type="dxa"/>
            <w:tcBorders>
              <w:top w:val="nil"/>
              <w:left w:val="nil"/>
              <w:bottom w:val="nil"/>
              <w:right w:val="single" w:sz="8" w:space="0" w:color="auto"/>
            </w:tcBorders>
            <w:noWrap/>
            <w:vAlign w:val="center"/>
            <w:hideMark/>
          </w:tcPr>
          <w:p w14:paraId="4E7AE5D3" w14:textId="77777777" w:rsidR="00F3536C" w:rsidRPr="00A4272B" w:rsidRDefault="00F3536C" w:rsidP="00A41632">
            <w:pPr>
              <w:jc w:val="center"/>
              <w:rPr>
                <w:color w:val="000000"/>
                <w:sz w:val="14"/>
                <w:szCs w:val="14"/>
                <w:lang w:val="en-US"/>
              </w:rPr>
            </w:pPr>
            <w:r w:rsidRPr="00A4272B">
              <w:rPr>
                <w:color w:val="000000"/>
                <w:sz w:val="14"/>
                <w:szCs w:val="14"/>
                <w:lang w:val="en-US"/>
              </w:rPr>
              <w:t>35</w:t>
            </w:r>
          </w:p>
        </w:tc>
        <w:tc>
          <w:tcPr>
            <w:tcW w:w="792" w:type="dxa"/>
            <w:noWrap/>
            <w:vAlign w:val="center"/>
            <w:hideMark/>
          </w:tcPr>
          <w:p w14:paraId="5BCFB6E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AA8A14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240B13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6DC0F5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345F79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E392EE8"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3067A6FA" w14:textId="77777777" w:rsidTr="00A41632">
        <w:trPr>
          <w:trHeight w:val="276"/>
          <w:jc w:val="center"/>
        </w:trPr>
        <w:tc>
          <w:tcPr>
            <w:tcW w:w="955" w:type="dxa"/>
            <w:tcBorders>
              <w:top w:val="nil"/>
              <w:left w:val="single" w:sz="8" w:space="0" w:color="auto"/>
              <w:bottom w:val="nil"/>
              <w:right w:val="nil"/>
            </w:tcBorders>
            <w:noWrap/>
            <w:vAlign w:val="center"/>
            <w:hideMark/>
          </w:tcPr>
          <w:p w14:paraId="603CF6FB"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1DDBD2C7"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1531DCBC" w14:textId="77777777" w:rsidR="00F3536C" w:rsidRPr="00A4272B" w:rsidRDefault="00F3536C" w:rsidP="00A41632">
            <w:pPr>
              <w:rPr>
                <w:color w:val="000000"/>
                <w:sz w:val="14"/>
                <w:szCs w:val="14"/>
                <w:lang w:val="en-US"/>
              </w:rPr>
            </w:pPr>
            <w:r w:rsidRPr="00A4272B">
              <w:rPr>
                <w:color w:val="000000"/>
                <w:sz w:val="14"/>
                <w:szCs w:val="14"/>
                <w:lang w:val="en-US"/>
              </w:rPr>
              <w:t>Izana</w:t>
            </w:r>
          </w:p>
        </w:tc>
        <w:tc>
          <w:tcPr>
            <w:tcW w:w="998" w:type="dxa"/>
            <w:noWrap/>
            <w:vAlign w:val="center"/>
            <w:hideMark/>
          </w:tcPr>
          <w:p w14:paraId="34EDD3DE" w14:textId="77777777" w:rsidR="00F3536C" w:rsidRPr="00A4272B" w:rsidRDefault="00F3536C" w:rsidP="00A41632">
            <w:pPr>
              <w:jc w:val="center"/>
              <w:rPr>
                <w:color w:val="000000"/>
                <w:sz w:val="14"/>
                <w:szCs w:val="14"/>
                <w:lang w:val="en-US"/>
              </w:rPr>
            </w:pPr>
            <w:r w:rsidRPr="00A4272B">
              <w:rPr>
                <w:color w:val="000000"/>
                <w:sz w:val="14"/>
                <w:szCs w:val="14"/>
                <w:lang w:val="en-US"/>
              </w:rPr>
              <w:t>WE44</w:t>
            </w:r>
          </w:p>
        </w:tc>
        <w:tc>
          <w:tcPr>
            <w:tcW w:w="1342" w:type="dxa"/>
            <w:noWrap/>
            <w:vAlign w:val="center"/>
            <w:hideMark/>
          </w:tcPr>
          <w:p w14:paraId="22E5AEA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0696586" w14:textId="77777777" w:rsidR="00F3536C" w:rsidRPr="00A4272B" w:rsidRDefault="00F3536C" w:rsidP="00A41632">
            <w:pPr>
              <w:jc w:val="right"/>
              <w:rPr>
                <w:color w:val="000000"/>
                <w:sz w:val="14"/>
                <w:szCs w:val="14"/>
                <w:lang w:val="en-US"/>
              </w:rPr>
            </w:pPr>
            <w:r w:rsidRPr="00A4272B">
              <w:rPr>
                <w:color w:val="000000"/>
                <w:sz w:val="14"/>
                <w:szCs w:val="14"/>
                <w:lang w:val="en-US"/>
              </w:rPr>
              <w:t>28.308983</w:t>
            </w:r>
          </w:p>
        </w:tc>
        <w:tc>
          <w:tcPr>
            <w:tcW w:w="998" w:type="dxa"/>
            <w:noWrap/>
            <w:vAlign w:val="center"/>
            <w:hideMark/>
          </w:tcPr>
          <w:p w14:paraId="4668BC5E" w14:textId="77777777" w:rsidR="00F3536C" w:rsidRPr="00A4272B" w:rsidRDefault="00F3536C" w:rsidP="00A41632">
            <w:pPr>
              <w:jc w:val="right"/>
              <w:rPr>
                <w:color w:val="000000"/>
                <w:sz w:val="14"/>
                <w:szCs w:val="14"/>
                <w:lang w:val="en-US"/>
              </w:rPr>
            </w:pPr>
            <w:r w:rsidRPr="00A4272B">
              <w:rPr>
                <w:color w:val="000000"/>
                <w:sz w:val="14"/>
                <w:szCs w:val="14"/>
                <w:lang w:val="en-US"/>
              </w:rPr>
              <w:t>-16.499384</w:t>
            </w:r>
          </w:p>
        </w:tc>
        <w:tc>
          <w:tcPr>
            <w:tcW w:w="859" w:type="dxa"/>
            <w:tcBorders>
              <w:top w:val="nil"/>
              <w:left w:val="nil"/>
              <w:bottom w:val="nil"/>
              <w:right w:val="single" w:sz="8" w:space="0" w:color="auto"/>
            </w:tcBorders>
            <w:noWrap/>
            <w:vAlign w:val="center"/>
            <w:hideMark/>
          </w:tcPr>
          <w:p w14:paraId="3B0F3133" w14:textId="77777777" w:rsidR="00F3536C" w:rsidRPr="00A4272B" w:rsidRDefault="00F3536C" w:rsidP="00A41632">
            <w:pPr>
              <w:jc w:val="center"/>
              <w:rPr>
                <w:color w:val="000000"/>
                <w:sz w:val="14"/>
                <w:szCs w:val="14"/>
                <w:lang w:val="en-US"/>
              </w:rPr>
            </w:pPr>
            <w:r w:rsidRPr="00A4272B">
              <w:rPr>
                <w:color w:val="000000"/>
                <w:sz w:val="14"/>
                <w:szCs w:val="14"/>
                <w:lang w:val="en-US"/>
              </w:rPr>
              <w:t>2367</w:t>
            </w:r>
          </w:p>
        </w:tc>
        <w:tc>
          <w:tcPr>
            <w:tcW w:w="792" w:type="dxa"/>
            <w:noWrap/>
            <w:vAlign w:val="center"/>
            <w:hideMark/>
          </w:tcPr>
          <w:p w14:paraId="50DF3D3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F3BDF4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6F0F25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48DEE1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3F4A7B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BD25DDC" w14:textId="77777777" w:rsidR="00F3536C" w:rsidRPr="00A4272B" w:rsidRDefault="00F3536C" w:rsidP="00A41632">
            <w:pPr>
              <w:jc w:val="center"/>
              <w:rPr>
                <w:sz w:val="14"/>
                <w:szCs w:val="14"/>
                <w:lang w:val="en-US"/>
              </w:rPr>
            </w:pPr>
            <w:r w:rsidRPr="00A4272B">
              <w:rPr>
                <w:sz w:val="14"/>
                <w:szCs w:val="14"/>
                <w:lang w:val="en-US"/>
              </w:rPr>
              <w:t>2013</w:t>
            </w:r>
          </w:p>
        </w:tc>
      </w:tr>
      <w:tr w:rsidR="00F3536C" w:rsidRPr="00A4272B" w14:paraId="3E30AFD7" w14:textId="77777777" w:rsidTr="00A41632">
        <w:trPr>
          <w:trHeight w:val="276"/>
          <w:jc w:val="center"/>
        </w:trPr>
        <w:tc>
          <w:tcPr>
            <w:tcW w:w="955" w:type="dxa"/>
            <w:tcBorders>
              <w:top w:val="nil"/>
              <w:left w:val="single" w:sz="8" w:space="0" w:color="auto"/>
              <w:bottom w:val="nil"/>
              <w:right w:val="nil"/>
            </w:tcBorders>
            <w:noWrap/>
            <w:vAlign w:val="center"/>
            <w:hideMark/>
          </w:tcPr>
          <w:p w14:paraId="137D876F"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51C17328"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056BAA77" w14:textId="77777777" w:rsidR="00F3536C" w:rsidRPr="00A4272B" w:rsidRDefault="00F3536C" w:rsidP="00A41632">
            <w:pPr>
              <w:rPr>
                <w:color w:val="000000"/>
                <w:sz w:val="14"/>
                <w:szCs w:val="14"/>
                <w:lang w:val="en-US"/>
              </w:rPr>
            </w:pPr>
            <w:r w:rsidRPr="00A4272B">
              <w:rPr>
                <w:color w:val="000000"/>
                <w:sz w:val="14"/>
                <w:szCs w:val="14"/>
                <w:lang w:val="en-US"/>
              </w:rPr>
              <w:t>Madrid</w:t>
            </w:r>
          </w:p>
        </w:tc>
        <w:tc>
          <w:tcPr>
            <w:tcW w:w="998" w:type="dxa"/>
            <w:noWrap/>
            <w:vAlign w:val="center"/>
            <w:hideMark/>
          </w:tcPr>
          <w:p w14:paraId="0E773E0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0F94094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D34EE77" w14:textId="77777777" w:rsidR="00F3536C" w:rsidRPr="00A4272B" w:rsidRDefault="00F3536C" w:rsidP="00A41632">
            <w:pPr>
              <w:jc w:val="right"/>
              <w:rPr>
                <w:color w:val="000000"/>
                <w:sz w:val="14"/>
                <w:szCs w:val="14"/>
                <w:lang w:val="en-US"/>
              </w:rPr>
            </w:pPr>
            <w:r w:rsidRPr="00A4272B">
              <w:rPr>
                <w:color w:val="000000"/>
                <w:sz w:val="14"/>
                <w:szCs w:val="14"/>
                <w:lang w:val="en-US"/>
              </w:rPr>
              <w:t>40.443194</w:t>
            </w:r>
          </w:p>
        </w:tc>
        <w:tc>
          <w:tcPr>
            <w:tcW w:w="998" w:type="dxa"/>
            <w:noWrap/>
            <w:vAlign w:val="center"/>
            <w:hideMark/>
          </w:tcPr>
          <w:p w14:paraId="32AD26DE" w14:textId="77777777" w:rsidR="00F3536C" w:rsidRPr="00A4272B" w:rsidRDefault="00F3536C" w:rsidP="00A41632">
            <w:pPr>
              <w:jc w:val="right"/>
              <w:rPr>
                <w:color w:val="000000"/>
                <w:sz w:val="14"/>
                <w:szCs w:val="14"/>
                <w:lang w:val="en-US"/>
              </w:rPr>
            </w:pPr>
            <w:r w:rsidRPr="00A4272B">
              <w:rPr>
                <w:color w:val="000000"/>
                <w:sz w:val="14"/>
                <w:szCs w:val="14"/>
                <w:lang w:val="en-US"/>
              </w:rPr>
              <w:t>-3.684611</w:t>
            </w:r>
          </w:p>
        </w:tc>
        <w:tc>
          <w:tcPr>
            <w:tcW w:w="859" w:type="dxa"/>
            <w:tcBorders>
              <w:top w:val="nil"/>
              <w:left w:val="nil"/>
              <w:bottom w:val="nil"/>
              <w:right w:val="single" w:sz="8" w:space="0" w:color="auto"/>
            </w:tcBorders>
            <w:noWrap/>
            <w:vAlign w:val="center"/>
            <w:hideMark/>
          </w:tcPr>
          <w:p w14:paraId="37B8F21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D2CDF6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D8289D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3EE014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CB2C46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1264AB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50CFC1C"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313FF3F4" w14:textId="77777777" w:rsidTr="00A41632">
        <w:trPr>
          <w:trHeight w:val="276"/>
          <w:jc w:val="center"/>
        </w:trPr>
        <w:tc>
          <w:tcPr>
            <w:tcW w:w="955" w:type="dxa"/>
            <w:tcBorders>
              <w:top w:val="nil"/>
              <w:left w:val="single" w:sz="8" w:space="0" w:color="auto"/>
              <w:bottom w:val="nil"/>
              <w:right w:val="nil"/>
            </w:tcBorders>
            <w:noWrap/>
            <w:vAlign w:val="center"/>
            <w:hideMark/>
          </w:tcPr>
          <w:p w14:paraId="6CD693A2"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EEAA775" w14:textId="77777777" w:rsidR="00F3536C" w:rsidRPr="00A4272B" w:rsidRDefault="00F3536C" w:rsidP="00A41632">
            <w:pPr>
              <w:rPr>
                <w:color w:val="000000"/>
                <w:sz w:val="14"/>
                <w:szCs w:val="14"/>
                <w:lang w:val="en-US"/>
              </w:rPr>
            </w:pPr>
            <w:r w:rsidRPr="00A4272B">
              <w:rPr>
                <w:color w:val="000000"/>
                <w:sz w:val="14"/>
                <w:szCs w:val="14"/>
                <w:lang w:val="en-US"/>
              </w:rPr>
              <w:t>Turkey</w:t>
            </w:r>
          </w:p>
        </w:tc>
        <w:tc>
          <w:tcPr>
            <w:tcW w:w="2504" w:type="dxa"/>
            <w:noWrap/>
            <w:vAlign w:val="center"/>
            <w:hideMark/>
          </w:tcPr>
          <w:p w14:paraId="0B272C38" w14:textId="77777777" w:rsidR="00F3536C" w:rsidRPr="00A4272B" w:rsidRDefault="00F3536C" w:rsidP="00A41632">
            <w:pPr>
              <w:rPr>
                <w:color w:val="000000"/>
                <w:sz w:val="14"/>
                <w:szCs w:val="14"/>
                <w:lang w:val="en-US"/>
              </w:rPr>
            </w:pPr>
            <w:r w:rsidRPr="00A4272B">
              <w:rPr>
                <w:color w:val="000000"/>
                <w:sz w:val="14"/>
                <w:szCs w:val="14"/>
                <w:lang w:val="en-US"/>
              </w:rPr>
              <w:t>Istanbul</w:t>
            </w:r>
          </w:p>
        </w:tc>
        <w:tc>
          <w:tcPr>
            <w:tcW w:w="998" w:type="dxa"/>
            <w:noWrap/>
            <w:vAlign w:val="center"/>
            <w:hideMark/>
          </w:tcPr>
          <w:p w14:paraId="78D8056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25549C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CFCBBE6" w14:textId="77777777" w:rsidR="00F3536C" w:rsidRPr="00A4272B" w:rsidRDefault="00F3536C" w:rsidP="00A41632">
            <w:pPr>
              <w:jc w:val="right"/>
              <w:rPr>
                <w:color w:val="000000"/>
                <w:sz w:val="14"/>
                <w:szCs w:val="14"/>
                <w:lang w:val="en-US"/>
              </w:rPr>
            </w:pPr>
            <w:r w:rsidRPr="00A4272B">
              <w:rPr>
                <w:color w:val="000000"/>
                <w:sz w:val="14"/>
                <w:szCs w:val="14"/>
                <w:lang w:val="en-US"/>
              </w:rPr>
              <w:t>41.008238</w:t>
            </w:r>
          </w:p>
        </w:tc>
        <w:tc>
          <w:tcPr>
            <w:tcW w:w="998" w:type="dxa"/>
            <w:noWrap/>
            <w:vAlign w:val="center"/>
            <w:hideMark/>
          </w:tcPr>
          <w:p w14:paraId="36C14783" w14:textId="77777777" w:rsidR="00F3536C" w:rsidRPr="00A4272B" w:rsidRDefault="00F3536C" w:rsidP="00A41632">
            <w:pPr>
              <w:jc w:val="right"/>
              <w:rPr>
                <w:color w:val="000000"/>
                <w:sz w:val="14"/>
                <w:szCs w:val="14"/>
                <w:lang w:val="en-US"/>
              </w:rPr>
            </w:pPr>
            <w:r w:rsidRPr="00A4272B">
              <w:rPr>
                <w:color w:val="000000"/>
                <w:sz w:val="14"/>
                <w:szCs w:val="14"/>
                <w:lang w:val="en-US"/>
              </w:rPr>
              <w:t>28.978359</w:t>
            </w:r>
          </w:p>
        </w:tc>
        <w:tc>
          <w:tcPr>
            <w:tcW w:w="859" w:type="dxa"/>
            <w:tcBorders>
              <w:top w:val="nil"/>
              <w:left w:val="nil"/>
              <w:bottom w:val="nil"/>
              <w:right w:val="single" w:sz="8" w:space="0" w:color="auto"/>
            </w:tcBorders>
            <w:noWrap/>
            <w:vAlign w:val="center"/>
            <w:hideMark/>
          </w:tcPr>
          <w:p w14:paraId="2FE1483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09CB88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75FFC9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86B10B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E6C213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543A07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E709CE6"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7BAFAA88"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7D7EADA8" w14:textId="77777777" w:rsidR="00F3536C" w:rsidRPr="00A4272B" w:rsidRDefault="00F3536C" w:rsidP="00A41632">
            <w:pPr>
              <w:rPr>
                <w:color w:val="000000"/>
                <w:sz w:val="14"/>
                <w:szCs w:val="14"/>
                <w:lang w:val="en-US"/>
              </w:rPr>
            </w:pPr>
            <w:r w:rsidRPr="00A4272B">
              <w:rPr>
                <w:color w:val="000000"/>
                <w:sz w:val="14"/>
                <w:szCs w:val="14"/>
                <w:lang w:val="en-US"/>
              </w:rPr>
              <w:lastRenderedPageBreak/>
              <w:t>GAPS</w:t>
            </w:r>
          </w:p>
        </w:tc>
        <w:tc>
          <w:tcPr>
            <w:tcW w:w="1391" w:type="dxa"/>
            <w:tcBorders>
              <w:top w:val="nil"/>
              <w:left w:val="nil"/>
              <w:bottom w:val="single" w:sz="4" w:space="0" w:color="auto"/>
              <w:right w:val="nil"/>
            </w:tcBorders>
            <w:noWrap/>
            <w:vAlign w:val="center"/>
            <w:hideMark/>
          </w:tcPr>
          <w:p w14:paraId="7FD8F3F3" w14:textId="77777777" w:rsidR="00F3536C" w:rsidRPr="00A4272B" w:rsidRDefault="00F3536C" w:rsidP="00A41632">
            <w:pPr>
              <w:rPr>
                <w:color w:val="000000"/>
                <w:sz w:val="14"/>
                <w:szCs w:val="14"/>
                <w:lang w:val="en-US"/>
              </w:rPr>
            </w:pPr>
            <w:r w:rsidRPr="00A4272B">
              <w:rPr>
                <w:color w:val="000000"/>
                <w:sz w:val="14"/>
                <w:szCs w:val="14"/>
                <w:lang w:val="en-US"/>
              </w:rPr>
              <w:t>United Kingdom</w:t>
            </w:r>
          </w:p>
        </w:tc>
        <w:tc>
          <w:tcPr>
            <w:tcW w:w="2504" w:type="dxa"/>
            <w:tcBorders>
              <w:top w:val="nil"/>
              <w:left w:val="nil"/>
              <w:bottom w:val="single" w:sz="4" w:space="0" w:color="auto"/>
              <w:right w:val="nil"/>
            </w:tcBorders>
            <w:noWrap/>
            <w:vAlign w:val="center"/>
            <w:hideMark/>
          </w:tcPr>
          <w:p w14:paraId="41139D19" w14:textId="77777777" w:rsidR="00F3536C" w:rsidRPr="00A4272B" w:rsidRDefault="00F3536C" w:rsidP="00A41632">
            <w:pPr>
              <w:rPr>
                <w:color w:val="000000"/>
                <w:sz w:val="14"/>
                <w:szCs w:val="14"/>
                <w:lang w:val="en-US"/>
              </w:rPr>
            </w:pPr>
            <w:r w:rsidRPr="00A4272B">
              <w:rPr>
                <w:color w:val="000000"/>
                <w:sz w:val="14"/>
                <w:szCs w:val="14"/>
                <w:lang w:val="en-US"/>
              </w:rPr>
              <w:t>London</w:t>
            </w:r>
          </w:p>
        </w:tc>
        <w:tc>
          <w:tcPr>
            <w:tcW w:w="998" w:type="dxa"/>
            <w:tcBorders>
              <w:top w:val="nil"/>
              <w:left w:val="nil"/>
              <w:bottom w:val="single" w:sz="4" w:space="0" w:color="auto"/>
              <w:right w:val="nil"/>
            </w:tcBorders>
            <w:noWrap/>
            <w:vAlign w:val="center"/>
            <w:hideMark/>
          </w:tcPr>
          <w:p w14:paraId="287EB09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nil"/>
              <w:left w:val="nil"/>
              <w:bottom w:val="single" w:sz="4" w:space="0" w:color="auto"/>
              <w:right w:val="nil"/>
            </w:tcBorders>
            <w:noWrap/>
            <w:vAlign w:val="center"/>
            <w:hideMark/>
          </w:tcPr>
          <w:p w14:paraId="1F4A131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top w:val="nil"/>
              <w:left w:val="nil"/>
              <w:bottom w:val="single" w:sz="4" w:space="0" w:color="auto"/>
              <w:right w:val="nil"/>
            </w:tcBorders>
            <w:noWrap/>
            <w:vAlign w:val="center"/>
            <w:hideMark/>
          </w:tcPr>
          <w:p w14:paraId="77C9FDBD" w14:textId="77777777" w:rsidR="00F3536C" w:rsidRPr="00A4272B" w:rsidRDefault="00F3536C" w:rsidP="00A41632">
            <w:pPr>
              <w:jc w:val="right"/>
              <w:rPr>
                <w:color w:val="000000"/>
                <w:sz w:val="14"/>
                <w:szCs w:val="14"/>
                <w:lang w:val="en-US"/>
              </w:rPr>
            </w:pPr>
            <w:r w:rsidRPr="00A4272B">
              <w:rPr>
                <w:color w:val="000000"/>
                <w:sz w:val="14"/>
                <w:szCs w:val="14"/>
                <w:lang w:val="en-US"/>
              </w:rPr>
              <w:t>51.507351</w:t>
            </w:r>
          </w:p>
        </w:tc>
        <w:tc>
          <w:tcPr>
            <w:tcW w:w="998" w:type="dxa"/>
            <w:tcBorders>
              <w:top w:val="nil"/>
              <w:left w:val="nil"/>
              <w:bottom w:val="single" w:sz="4" w:space="0" w:color="auto"/>
              <w:right w:val="nil"/>
            </w:tcBorders>
            <w:noWrap/>
            <w:vAlign w:val="center"/>
            <w:hideMark/>
          </w:tcPr>
          <w:p w14:paraId="1B182CF4" w14:textId="77777777" w:rsidR="00F3536C" w:rsidRPr="00A4272B" w:rsidRDefault="00F3536C" w:rsidP="00A41632">
            <w:pPr>
              <w:jc w:val="right"/>
              <w:rPr>
                <w:color w:val="000000"/>
                <w:sz w:val="14"/>
                <w:szCs w:val="14"/>
                <w:lang w:val="en-US"/>
              </w:rPr>
            </w:pPr>
            <w:r w:rsidRPr="00A4272B">
              <w:rPr>
                <w:color w:val="000000"/>
                <w:sz w:val="14"/>
                <w:szCs w:val="14"/>
                <w:lang w:val="en-US"/>
              </w:rPr>
              <w:t>-0.127758</w:t>
            </w:r>
          </w:p>
        </w:tc>
        <w:tc>
          <w:tcPr>
            <w:tcW w:w="859" w:type="dxa"/>
            <w:tcBorders>
              <w:top w:val="nil"/>
              <w:left w:val="nil"/>
              <w:bottom w:val="single" w:sz="4" w:space="0" w:color="auto"/>
              <w:right w:val="single" w:sz="8" w:space="0" w:color="auto"/>
            </w:tcBorders>
            <w:noWrap/>
            <w:vAlign w:val="center"/>
            <w:hideMark/>
          </w:tcPr>
          <w:p w14:paraId="098158B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nil"/>
              <w:left w:val="nil"/>
              <w:bottom w:val="single" w:sz="4" w:space="0" w:color="auto"/>
              <w:right w:val="nil"/>
            </w:tcBorders>
            <w:noWrap/>
            <w:vAlign w:val="center"/>
            <w:hideMark/>
          </w:tcPr>
          <w:p w14:paraId="4234662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nil"/>
              <w:left w:val="nil"/>
              <w:bottom w:val="single" w:sz="4" w:space="0" w:color="auto"/>
              <w:right w:val="nil"/>
            </w:tcBorders>
            <w:noWrap/>
            <w:vAlign w:val="center"/>
            <w:hideMark/>
          </w:tcPr>
          <w:p w14:paraId="6F3FB690"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nil"/>
              <w:left w:val="nil"/>
              <w:bottom w:val="single" w:sz="4" w:space="0" w:color="auto"/>
              <w:right w:val="nil"/>
            </w:tcBorders>
            <w:noWrap/>
            <w:vAlign w:val="center"/>
            <w:hideMark/>
          </w:tcPr>
          <w:p w14:paraId="7A4BAEB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nil"/>
              <w:left w:val="nil"/>
              <w:bottom w:val="single" w:sz="4" w:space="0" w:color="auto"/>
              <w:right w:val="nil"/>
            </w:tcBorders>
            <w:noWrap/>
            <w:vAlign w:val="center"/>
            <w:hideMark/>
          </w:tcPr>
          <w:p w14:paraId="4479AA3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nil"/>
              <w:left w:val="nil"/>
              <w:bottom w:val="single" w:sz="4" w:space="0" w:color="auto"/>
              <w:right w:val="nil"/>
            </w:tcBorders>
            <w:noWrap/>
            <w:vAlign w:val="center"/>
            <w:hideMark/>
          </w:tcPr>
          <w:p w14:paraId="0A84122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07B9BDB6"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612170A1"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1D2E252F"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tcBorders>
              <w:top w:val="single" w:sz="4" w:space="0" w:color="auto"/>
              <w:left w:val="nil"/>
              <w:bottom w:val="nil"/>
              <w:right w:val="nil"/>
            </w:tcBorders>
            <w:noWrap/>
            <w:vAlign w:val="center"/>
            <w:hideMark/>
          </w:tcPr>
          <w:p w14:paraId="0E5546A2"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tcBorders>
              <w:top w:val="single" w:sz="4" w:space="0" w:color="auto"/>
              <w:left w:val="nil"/>
              <w:bottom w:val="nil"/>
              <w:right w:val="nil"/>
            </w:tcBorders>
            <w:noWrap/>
            <w:vAlign w:val="center"/>
            <w:hideMark/>
          </w:tcPr>
          <w:p w14:paraId="78835E0F" w14:textId="77777777" w:rsidR="00F3536C" w:rsidRPr="00A4272B" w:rsidRDefault="00F3536C" w:rsidP="00A41632">
            <w:pPr>
              <w:rPr>
                <w:color w:val="000000"/>
                <w:sz w:val="14"/>
                <w:szCs w:val="14"/>
                <w:lang w:val="en-US"/>
              </w:rPr>
            </w:pPr>
            <w:r w:rsidRPr="00A4272B">
              <w:rPr>
                <w:color w:val="000000"/>
                <w:sz w:val="14"/>
                <w:szCs w:val="14"/>
                <w:lang w:val="en-US"/>
              </w:rPr>
              <w:t>Košetice</w:t>
            </w:r>
          </w:p>
        </w:tc>
        <w:tc>
          <w:tcPr>
            <w:tcW w:w="998" w:type="dxa"/>
            <w:tcBorders>
              <w:top w:val="single" w:sz="4" w:space="0" w:color="auto"/>
              <w:left w:val="nil"/>
              <w:bottom w:val="nil"/>
              <w:right w:val="nil"/>
            </w:tcBorders>
            <w:noWrap/>
            <w:vAlign w:val="center"/>
            <w:hideMark/>
          </w:tcPr>
          <w:p w14:paraId="62BC61E7" w14:textId="77777777" w:rsidR="00F3536C" w:rsidRPr="00A4272B" w:rsidRDefault="00F3536C" w:rsidP="00A41632">
            <w:pPr>
              <w:jc w:val="center"/>
              <w:rPr>
                <w:color w:val="000000"/>
                <w:sz w:val="14"/>
                <w:szCs w:val="14"/>
                <w:lang w:val="en-US"/>
              </w:rPr>
            </w:pPr>
            <w:r w:rsidRPr="00A4272B">
              <w:rPr>
                <w:color w:val="000000"/>
                <w:sz w:val="14"/>
                <w:szCs w:val="14"/>
                <w:lang w:val="en-US"/>
              </w:rPr>
              <w:t>17</w:t>
            </w:r>
          </w:p>
        </w:tc>
        <w:tc>
          <w:tcPr>
            <w:tcW w:w="1342" w:type="dxa"/>
            <w:tcBorders>
              <w:top w:val="single" w:sz="4" w:space="0" w:color="auto"/>
              <w:left w:val="nil"/>
              <w:bottom w:val="nil"/>
              <w:right w:val="nil"/>
            </w:tcBorders>
            <w:noWrap/>
            <w:vAlign w:val="center"/>
            <w:hideMark/>
          </w:tcPr>
          <w:p w14:paraId="7004CFE1"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top w:val="single" w:sz="4" w:space="0" w:color="auto"/>
              <w:left w:val="nil"/>
              <w:bottom w:val="nil"/>
              <w:right w:val="nil"/>
            </w:tcBorders>
            <w:noWrap/>
            <w:vAlign w:val="center"/>
            <w:hideMark/>
          </w:tcPr>
          <w:p w14:paraId="03A7D956" w14:textId="77777777" w:rsidR="00F3536C" w:rsidRPr="00A4272B" w:rsidRDefault="00F3536C" w:rsidP="00A41632">
            <w:pPr>
              <w:jc w:val="right"/>
              <w:rPr>
                <w:color w:val="000000"/>
                <w:sz w:val="14"/>
                <w:szCs w:val="14"/>
                <w:lang w:val="en-US"/>
              </w:rPr>
            </w:pPr>
            <w:r w:rsidRPr="00A4272B">
              <w:rPr>
                <w:color w:val="000000"/>
                <w:sz w:val="14"/>
                <w:szCs w:val="14"/>
                <w:lang w:val="en-US"/>
              </w:rPr>
              <w:t>49.573450</w:t>
            </w:r>
          </w:p>
        </w:tc>
        <w:tc>
          <w:tcPr>
            <w:tcW w:w="998" w:type="dxa"/>
            <w:tcBorders>
              <w:top w:val="single" w:sz="4" w:space="0" w:color="auto"/>
              <w:left w:val="nil"/>
              <w:bottom w:val="nil"/>
              <w:right w:val="nil"/>
            </w:tcBorders>
            <w:noWrap/>
            <w:vAlign w:val="center"/>
            <w:hideMark/>
          </w:tcPr>
          <w:p w14:paraId="59496F9D" w14:textId="77777777" w:rsidR="00F3536C" w:rsidRPr="00A4272B" w:rsidRDefault="00F3536C" w:rsidP="00A41632">
            <w:pPr>
              <w:jc w:val="right"/>
              <w:rPr>
                <w:color w:val="000000"/>
                <w:sz w:val="14"/>
                <w:szCs w:val="14"/>
                <w:lang w:val="en-US"/>
              </w:rPr>
            </w:pPr>
            <w:r w:rsidRPr="00A4272B">
              <w:rPr>
                <w:color w:val="000000"/>
                <w:sz w:val="14"/>
                <w:szCs w:val="14"/>
                <w:lang w:val="en-US"/>
              </w:rPr>
              <w:t>15.080410</w:t>
            </w:r>
          </w:p>
        </w:tc>
        <w:tc>
          <w:tcPr>
            <w:tcW w:w="859" w:type="dxa"/>
            <w:tcBorders>
              <w:top w:val="single" w:sz="4" w:space="0" w:color="auto"/>
              <w:left w:val="nil"/>
              <w:bottom w:val="nil"/>
              <w:right w:val="single" w:sz="8" w:space="0" w:color="auto"/>
            </w:tcBorders>
            <w:noWrap/>
            <w:vAlign w:val="center"/>
            <w:hideMark/>
          </w:tcPr>
          <w:p w14:paraId="714BBCCA" w14:textId="77777777" w:rsidR="00F3536C" w:rsidRPr="00A4272B" w:rsidRDefault="00F3536C" w:rsidP="00A41632">
            <w:pPr>
              <w:jc w:val="center"/>
              <w:rPr>
                <w:color w:val="000000"/>
                <w:sz w:val="14"/>
                <w:szCs w:val="14"/>
                <w:lang w:val="en-US"/>
              </w:rPr>
            </w:pPr>
            <w:r w:rsidRPr="00A4272B">
              <w:rPr>
                <w:color w:val="000000"/>
                <w:sz w:val="14"/>
                <w:szCs w:val="14"/>
                <w:lang w:val="en-US"/>
              </w:rPr>
              <w:t>584</w:t>
            </w:r>
          </w:p>
        </w:tc>
        <w:tc>
          <w:tcPr>
            <w:tcW w:w="792" w:type="dxa"/>
            <w:tcBorders>
              <w:top w:val="single" w:sz="4" w:space="0" w:color="auto"/>
              <w:left w:val="nil"/>
              <w:bottom w:val="nil"/>
              <w:right w:val="nil"/>
            </w:tcBorders>
            <w:noWrap/>
            <w:vAlign w:val="center"/>
            <w:hideMark/>
          </w:tcPr>
          <w:p w14:paraId="01967AA9"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single" w:sz="4" w:space="0" w:color="auto"/>
              <w:left w:val="nil"/>
              <w:bottom w:val="nil"/>
              <w:right w:val="nil"/>
            </w:tcBorders>
            <w:noWrap/>
            <w:vAlign w:val="center"/>
            <w:hideMark/>
          </w:tcPr>
          <w:p w14:paraId="04EC60D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nil"/>
              <w:right w:val="nil"/>
            </w:tcBorders>
            <w:noWrap/>
            <w:vAlign w:val="center"/>
            <w:hideMark/>
          </w:tcPr>
          <w:p w14:paraId="7B4AE6F9" w14:textId="77777777" w:rsidR="00F3536C" w:rsidRPr="00A4272B" w:rsidRDefault="00F3536C" w:rsidP="00A41632">
            <w:pPr>
              <w:jc w:val="center"/>
              <w:rPr>
                <w:color w:val="000000"/>
                <w:sz w:val="14"/>
                <w:szCs w:val="14"/>
                <w:lang w:val="en-US"/>
              </w:rPr>
            </w:pPr>
            <w:r w:rsidRPr="00A4272B">
              <w:rPr>
                <w:color w:val="000000"/>
                <w:sz w:val="14"/>
                <w:szCs w:val="14"/>
                <w:lang w:val="en-US"/>
              </w:rPr>
              <w:t>~700 m³/d</w:t>
            </w:r>
          </w:p>
        </w:tc>
        <w:tc>
          <w:tcPr>
            <w:tcW w:w="831" w:type="dxa"/>
            <w:tcBorders>
              <w:top w:val="single" w:sz="4" w:space="0" w:color="auto"/>
              <w:left w:val="nil"/>
              <w:bottom w:val="nil"/>
              <w:right w:val="nil"/>
            </w:tcBorders>
            <w:noWrap/>
            <w:vAlign w:val="center"/>
            <w:hideMark/>
          </w:tcPr>
          <w:p w14:paraId="038BDAE0" w14:textId="77777777" w:rsidR="00F3536C" w:rsidRPr="00A4272B" w:rsidRDefault="00F3536C" w:rsidP="00A41632">
            <w:pPr>
              <w:jc w:val="center"/>
              <w:rPr>
                <w:color w:val="000000"/>
                <w:sz w:val="14"/>
                <w:szCs w:val="14"/>
                <w:lang w:val="en-US"/>
              </w:rPr>
            </w:pPr>
            <w:r w:rsidRPr="00A4272B">
              <w:rPr>
                <w:color w:val="000000"/>
                <w:sz w:val="14"/>
                <w:szCs w:val="14"/>
                <w:lang w:val="en-US"/>
              </w:rPr>
              <w:t>24 h</w:t>
            </w:r>
          </w:p>
        </w:tc>
        <w:tc>
          <w:tcPr>
            <w:tcW w:w="924" w:type="dxa"/>
            <w:tcBorders>
              <w:top w:val="single" w:sz="4" w:space="0" w:color="auto"/>
              <w:left w:val="nil"/>
              <w:bottom w:val="nil"/>
              <w:right w:val="nil"/>
            </w:tcBorders>
            <w:noWrap/>
            <w:vAlign w:val="center"/>
            <w:hideMark/>
          </w:tcPr>
          <w:p w14:paraId="275873B5" w14:textId="77777777" w:rsidR="00F3536C" w:rsidRPr="00A4272B" w:rsidRDefault="00F3536C" w:rsidP="00A41632">
            <w:pPr>
              <w:jc w:val="center"/>
              <w:rPr>
                <w:color w:val="000000"/>
                <w:sz w:val="14"/>
                <w:szCs w:val="14"/>
                <w:lang w:val="en-US"/>
              </w:rPr>
            </w:pPr>
            <w:r w:rsidRPr="00A4272B">
              <w:rPr>
                <w:color w:val="000000"/>
                <w:sz w:val="14"/>
                <w:szCs w:val="14"/>
                <w:lang w:val="en-US"/>
              </w:rPr>
              <w:t>1 week</w:t>
            </w:r>
          </w:p>
        </w:tc>
        <w:tc>
          <w:tcPr>
            <w:tcW w:w="612" w:type="dxa"/>
            <w:tcBorders>
              <w:top w:val="single" w:sz="4" w:space="0" w:color="auto"/>
              <w:left w:val="nil"/>
              <w:bottom w:val="nil"/>
              <w:right w:val="single" w:sz="8" w:space="0" w:color="auto"/>
            </w:tcBorders>
            <w:noWrap/>
            <w:vAlign w:val="center"/>
            <w:hideMark/>
          </w:tcPr>
          <w:p w14:paraId="075BA04D" w14:textId="77777777" w:rsidR="00F3536C" w:rsidRPr="00A4272B" w:rsidRDefault="00F3536C" w:rsidP="00A41632">
            <w:pPr>
              <w:jc w:val="center"/>
              <w:rPr>
                <w:sz w:val="14"/>
                <w:szCs w:val="14"/>
                <w:lang w:val="en-US"/>
              </w:rPr>
            </w:pPr>
            <w:r w:rsidRPr="00A4272B">
              <w:rPr>
                <w:sz w:val="14"/>
                <w:szCs w:val="14"/>
                <w:lang w:val="en-US"/>
              </w:rPr>
              <w:t>1989</w:t>
            </w:r>
          </w:p>
        </w:tc>
      </w:tr>
      <w:tr w:rsidR="00F3536C" w:rsidRPr="00A4272B" w14:paraId="7EED9523" w14:textId="77777777" w:rsidTr="00A41632">
        <w:trPr>
          <w:trHeight w:val="276"/>
          <w:jc w:val="center"/>
        </w:trPr>
        <w:tc>
          <w:tcPr>
            <w:tcW w:w="955" w:type="dxa"/>
            <w:tcBorders>
              <w:top w:val="nil"/>
              <w:left w:val="single" w:sz="8" w:space="0" w:color="auto"/>
              <w:bottom w:val="nil"/>
              <w:right w:val="nil"/>
            </w:tcBorders>
            <w:noWrap/>
            <w:vAlign w:val="center"/>
            <w:hideMark/>
          </w:tcPr>
          <w:p w14:paraId="5AEAB557"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793BB72C" w14:textId="77777777" w:rsidR="00F3536C" w:rsidRPr="00A4272B" w:rsidRDefault="00F3536C" w:rsidP="00A41632">
            <w:pPr>
              <w:rPr>
                <w:color w:val="000000"/>
                <w:sz w:val="14"/>
                <w:szCs w:val="14"/>
                <w:lang w:val="en-US"/>
              </w:rPr>
            </w:pPr>
            <w:r w:rsidRPr="00A4272B">
              <w:rPr>
                <w:color w:val="000000"/>
                <w:sz w:val="14"/>
                <w:szCs w:val="14"/>
                <w:lang w:val="en-US"/>
              </w:rPr>
              <w:t>Austria</w:t>
            </w:r>
          </w:p>
        </w:tc>
        <w:tc>
          <w:tcPr>
            <w:tcW w:w="2504" w:type="dxa"/>
            <w:noWrap/>
            <w:vAlign w:val="center"/>
            <w:hideMark/>
          </w:tcPr>
          <w:p w14:paraId="02EF1AC2" w14:textId="77777777" w:rsidR="00F3536C" w:rsidRPr="00A4272B" w:rsidRDefault="00F3536C" w:rsidP="00A41632">
            <w:pPr>
              <w:rPr>
                <w:color w:val="000000"/>
                <w:sz w:val="14"/>
                <w:szCs w:val="14"/>
                <w:lang w:val="en-US"/>
              </w:rPr>
            </w:pPr>
            <w:r w:rsidRPr="00A4272B">
              <w:rPr>
                <w:color w:val="000000"/>
                <w:sz w:val="14"/>
                <w:szCs w:val="14"/>
                <w:lang w:val="en-US"/>
              </w:rPr>
              <w:t>Sonnblick [EMEP]</w:t>
            </w:r>
          </w:p>
        </w:tc>
        <w:tc>
          <w:tcPr>
            <w:tcW w:w="998" w:type="dxa"/>
            <w:noWrap/>
            <w:vAlign w:val="center"/>
            <w:hideMark/>
          </w:tcPr>
          <w:p w14:paraId="29E23D0D" w14:textId="77777777" w:rsidR="00F3536C" w:rsidRPr="00A4272B" w:rsidRDefault="00F3536C" w:rsidP="00A41632">
            <w:pPr>
              <w:jc w:val="center"/>
              <w:rPr>
                <w:color w:val="000000"/>
                <w:sz w:val="14"/>
                <w:szCs w:val="14"/>
                <w:lang w:val="en-US"/>
              </w:rPr>
            </w:pPr>
            <w:r w:rsidRPr="00A4272B">
              <w:rPr>
                <w:color w:val="000000"/>
                <w:sz w:val="14"/>
                <w:szCs w:val="14"/>
                <w:lang w:val="en-US"/>
              </w:rPr>
              <w:t>740</w:t>
            </w:r>
          </w:p>
        </w:tc>
        <w:tc>
          <w:tcPr>
            <w:tcW w:w="1342" w:type="dxa"/>
            <w:noWrap/>
            <w:vAlign w:val="center"/>
            <w:hideMark/>
          </w:tcPr>
          <w:p w14:paraId="674CD485"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0981D706" w14:textId="77777777" w:rsidR="00F3536C" w:rsidRPr="00A4272B" w:rsidRDefault="00F3536C" w:rsidP="00A41632">
            <w:pPr>
              <w:jc w:val="right"/>
              <w:rPr>
                <w:color w:val="000000"/>
                <w:sz w:val="14"/>
                <w:szCs w:val="14"/>
                <w:lang w:val="en-US"/>
              </w:rPr>
            </w:pPr>
            <w:r w:rsidRPr="00A4272B">
              <w:rPr>
                <w:color w:val="000000"/>
                <w:sz w:val="14"/>
                <w:szCs w:val="14"/>
                <w:lang w:val="en-US"/>
              </w:rPr>
              <w:t>47.054030</w:t>
            </w:r>
          </w:p>
        </w:tc>
        <w:tc>
          <w:tcPr>
            <w:tcW w:w="998" w:type="dxa"/>
            <w:noWrap/>
            <w:vAlign w:val="center"/>
            <w:hideMark/>
          </w:tcPr>
          <w:p w14:paraId="5522B973" w14:textId="77777777" w:rsidR="00F3536C" w:rsidRPr="00A4272B" w:rsidRDefault="00F3536C" w:rsidP="00A41632">
            <w:pPr>
              <w:jc w:val="right"/>
              <w:rPr>
                <w:color w:val="000000"/>
                <w:sz w:val="14"/>
                <w:szCs w:val="14"/>
                <w:lang w:val="en-US"/>
              </w:rPr>
            </w:pPr>
            <w:r w:rsidRPr="00A4272B">
              <w:rPr>
                <w:color w:val="000000"/>
                <w:sz w:val="14"/>
                <w:szCs w:val="14"/>
                <w:lang w:val="en-US"/>
              </w:rPr>
              <w:t>12.957660</w:t>
            </w:r>
          </w:p>
        </w:tc>
        <w:tc>
          <w:tcPr>
            <w:tcW w:w="859" w:type="dxa"/>
            <w:tcBorders>
              <w:top w:val="nil"/>
              <w:left w:val="nil"/>
              <w:bottom w:val="nil"/>
              <w:right w:val="single" w:sz="8" w:space="0" w:color="auto"/>
            </w:tcBorders>
            <w:noWrap/>
            <w:vAlign w:val="center"/>
            <w:hideMark/>
          </w:tcPr>
          <w:p w14:paraId="30315A6D" w14:textId="77777777" w:rsidR="00F3536C" w:rsidRPr="00A4272B" w:rsidRDefault="00F3536C" w:rsidP="00A41632">
            <w:pPr>
              <w:jc w:val="center"/>
              <w:rPr>
                <w:color w:val="000000"/>
                <w:sz w:val="14"/>
                <w:szCs w:val="14"/>
                <w:lang w:val="en-US"/>
              </w:rPr>
            </w:pPr>
            <w:r w:rsidRPr="00A4272B">
              <w:rPr>
                <w:color w:val="000000"/>
                <w:sz w:val="14"/>
                <w:szCs w:val="14"/>
                <w:lang w:val="en-US"/>
              </w:rPr>
              <w:t>3110</w:t>
            </w:r>
          </w:p>
        </w:tc>
        <w:tc>
          <w:tcPr>
            <w:tcW w:w="792" w:type="dxa"/>
            <w:noWrap/>
            <w:vAlign w:val="center"/>
            <w:hideMark/>
          </w:tcPr>
          <w:p w14:paraId="7066E5C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68A0FD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98F3B7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6E94E8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F77368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B741245"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7FF74ABB" w14:textId="77777777" w:rsidTr="00A41632">
        <w:trPr>
          <w:trHeight w:val="276"/>
          <w:jc w:val="center"/>
        </w:trPr>
        <w:tc>
          <w:tcPr>
            <w:tcW w:w="955" w:type="dxa"/>
            <w:tcBorders>
              <w:top w:val="nil"/>
              <w:left w:val="single" w:sz="8" w:space="0" w:color="auto"/>
              <w:bottom w:val="nil"/>
              <w:right w:val="nil"/>
            </w:tcBorders>
            <w:noWrap/>
            <w:vAlign w:val="center"/>
            <w:hideMark/>
          </w:tcPr>
          <w:p w14:paraId="7B7F6921"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61F11C49" w14:textId="77777777" w:rsidR="00F3536C" w:rsidRPr="00A4272B" w:rsidRDefault="00F3536C" w:rsidP="00A41632">
            <w:pPr>
              <w:rPr>
                <w:color w:val="000000"/>
                <w:sz w:val="14"/>
                <w:szCs w:val="14"/>
                <w:lang w:val="en-US"/>
              </w:rPr>
            </w:pPr>
            <w:r w:rsidRPr="00A4272B">
              <w:rPr>
                <w:color w:val="000000"/>
                <w:sz w:val="14"/>
                <w:szCs w:val="14"/>
                <w:lang w:val="en-US"/>
              </w:rPr>
              <w:t>Bulgaria</w:t>
            </w:r>
          </w:p>
        </w:tc>
        <w:tc>
          <w:tcPr>
            <w:tcW w:w="2504" w:type="dxa"/>
            <w:noWrap/>
            <w:vAlign w:val="center"/>
            <w:hideMark/>
          </w:tcPr>
          <w:p w14:paraId="79D6FBC0" w14:textId="77777777" w:rsidR="00F3536C" w:rsidRPr="00A4272B" w:rsidRDefault="00F3536C" w:rsidP="00A41632">
            <w:pPr>
              <w:rPr>
                <w:color w:val="000000"/>
                <w:sz w:val="14"/>
                <w:szCs w:val="14"/>
                <w:lang w:val="en-US"/>
              </w:rPr>
            </w:pPr>
            <w:r w:rsidRPr="00A4272B">
              <w:rPr>
                <w:color w:val="000000"/>
                <w:sz w:val="14"/>
                <w:szCs w:val="14"/>
                <w:lang w:val="en-US"/>
              </w:rPr>
              <w:t>Moussala [EMEP]</w:t>
            </w:r>
          </w:p>
        </w:tc>
        <w:tc>
          <w:tcPr>
            <w:tcW w:w="998" w:type="dxa"/>
            <w:noWrap/>
            <w:vAlign w:val="center"/>
            <w:hideMark/>
          </w:tcPr>
          <w:p w14:paraId="4784EFC8" w14:textId="77777777" w:rsidR="00F3536C" w:rsidRPr="00A4272B" w:rsidRDefault="00F3536C" w:rsidP="00A41632">
            <w:pPr>
              <w:jc w:val="center"/>
              <w:rPr>
                <w:color w:val="000000"/>
                <w:sz w:val="14"/>
                <w:szCs w:val="14"/>
                <w:lang w:val="en-US"/>
              </w:rPr>
            </w:pPr>
            <w:r w:rsidRPr="00A4272B">
              <w:rPr>
                <w:color w:val="000000"/>
                <w:sz w:val="14"/>
                <w:szCs w:val="14"/>
                <w:lang w:val="en-US"/>
              </w:rPr>
              <w:t>743</w:t>
            </w:r>
          </w:p>
        </w:tc>
        <w:tc>
          <w:tcPr>
            <w:tcW w:w="1342" w:type="dxa"/>
            <w:noWrap/>
            <w:vAlign w:val="center"/>
            <w:hideMark/>
          </w:tcPr>
          <w:p w14:paraId="51EFAF6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32839BC" w14:textId="77777777" w:rsidR="00F3536C" w:rsidRPr="00A4272B" w:rsidRDefault="00F3536C" w:rsidP="00A41632">
            <w:pPr>
              <w:jc w:val="right"/>
              <w:rPr>
                <w:color w:val="000000"/>
                <w:sz w:val="14"/>
                <w:szCs w:val="14"/>
                <w:lang w:val="en-US"/>
              </w:rPr>
            </w:pPr>
            <w:r w:rsidRPr="00A4272B">
              <w:rPr>
                <w:color w:val="000000"/>
                <w:sz w:val="14"/>
                <w:szCs w:val="14"/>
                <w:lang w:val="en-US"/>
              </w:rPr>
              <w:t>42.179160</w:t>
            </w:r>
          </w:p>
        </w:tc>
        <w:tc>
          <w:tcPr>
            <w:tcW w:w="998" w:type="dxa"/>
            <w:noWrap/>
            <w:vAlign w:val="center"/>
            <w:hideMark/>
          </w:tcPr>
          <w:p w14:paraId="693BDA27" w14:textId="77777777" w:rsidR="00F3536C" w:rsidRPr="00A4272B" w:rsidRDefault="00F3536C" w:rsidP="00A41632">
            <w:pPr>
              <w:jc w:val="right"/>
              <w:rPr>
                <w:color w:val="000000"/>
                <w:sz w:val="14"/>
                <w:szCs w:val="14"/>
                <w:lang w:val="en-US"/>
              </w:rPr>
            </w:pPr>
            <w:r w:rsidRPr="00A4272B">
              <w:rPr>
                <w:color w:val="000000"/>
                <w:sz w:val="14"/>
                <w:szCs w:val="14"/>
                <w:lang w:val="en-US"/>
              </w:rPr>
              <w:t>23.585280</w:t>
            </w:r>
          </w:p>
        </w:tc>
        <w:tc>
          <w:tcPr>
            <w:tcW w:w="859" w:type="dxa"/>
            <w:tcBorders>
              <w:top w:val="nil"/>
              <w:left w:val="nil"/>
              <w:bottom w:val="nil"/>
              <w:right w:val="single" w:sz="8" w:space="0" w:color="auto"/>
            </w:tcBorders>
            <w:noWrap/>
            <w:vAlign w:val="center"/>
            <w:hideMark/>
          </w:tcPr>
          <w:p w14:paraId="382D09EC" w14:textId="77777777" w:rsidR="00F3536C" w:rsidRPr="00A4272B" w:rsidRDefault="00F3536C" w:rsidP="00A41632">
            <w:pPr>
              <w:jc w:val="center"/>
              <w:rPr>
                <w:color w:val="000000"/>
                <w:sz w:val="14"/>
                <w:szCs w:val="14"/>
                <w:lang w:val="en-US"/>
              </w:rPr>
            </w:pPr>
            <w:r w:rsidRPr="00A4272B">
              <w:rPr>
                <w:color w:val="000000"/>
                <w:sz w:val="14"/>
                <w:szCs w:val="14"/>
                <w:lang w:val="en-US"/>
              </w:rPr>
              <w:t>2925</w:t>
            </w:r>
          </w:p>
        </w:tc>
        <w:tc>
          <w:tcPr>
            <w:tcW w:w="792" w:type="dxa"/>
            <w:noWrap/>
            <w:vAlign w:val="center"/>
            <w:hideMark/>
          </w:tcPr>
          <w:p w14:paraId="32E270F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414591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BABC63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7E0F30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BD8C18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584BA98"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56ECB387" w14:textId="77777777" w:rsidTr="00F006B1">
        <w:trPr>
          <w:trHeight w:val="276"/>
          <w:jc w:val="center"/>
        </w:trPr>
        <w:tc>
          <w:tcPr>
            <w:tcW w:w="955" w:type="dxa"/>
            <w:tcBorders>
              <w:top w:val="nil"/>
              <w:left w:val="single" w:sz="8" w:space="0" w:color="auto"/>
              <w:right w:val="nil"/>
            </w:tcBorders>
            <w:noWrap/>
            <w:vAlign w:val="center"/>
            <w:hideMark/>
          </w:tcPr>
          <w:p w14:paraId="4CFAEF54"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51BC4C0C" w14:textId="77777777" w:rsidR="00F3536C" w:rsidRPr="00A4272B" w:rsidRDefault="00F3536C" w:rsidP="00A41632">
            <w:pPr>
              <w:rPr>
                <w:color w:val="000000"/>
                <w:sz w:val="14"/>
                <w:szCs w:val="14"/>
                <w:lang w:val="en-US"/>
              </w:rPr>
            </w:pPr>
            <w:r w:rsidRPr="00A4272B">
              <w:rPr>
                <w:color w:val="000000"/>
                <w:sz w:val="14"/>
                <w:szCs w:val="14"/>
                <w:lang w:val="en-US"/>
              </w:rPr>
              <w:t>Croatia</w:t>
            </w:r>
          </w:p>
        </w:tc>
        <w:tc>
          <w:tcPr>
            <w:tcW w:w="2504" w:type="dxa"/>
            <w:noWrap/>
            <w:vAlign w:val="center"/>
            <w:hideMark/>
          </w:tcPr>
          <w:p w14:paraId="3FBE3CBB" w14:textId="77777777" w:rsidR="00F3536C" w:rsidRPr="00A4272B" w:rsidRDefault="00F3536C" w:rsidP="00A41632">
            <w:pPr>
              <w:rPr>
                <w:color w:val="000000"/>
                <w:sz w:val="14"/>
                <w:szCs w:val="14"/>
                <w:lang w:val="en-US"/>
              </w:rPr>
            </w:pPr>
            <w:r w:rsidRPr="00A4272B">
              <w:rPr>
                <w:color w:val="000000"/>
                <w:sz w:val="14"/>
                <w:szCs w:val="14"/>
                <w:lang w:val="en-US"/>
              </w:rPr>
              <w:t>Zagreb, Siget</w:t>
            </w:r>
          </w:p>
        </w:tc>
        <w:tc>
          <w:tcPr>
            <w:tcW w:w="998" w:type="dxa"/>
            <w:noWrap/>
            <w:vAlign w:val="center"/>
            <w:hideMark/>
          </w:tcPr>
          <w:p w14:paraId="002C99A5" w14:textId="77777777" w:rsidR="00F3536C" w:rsidRPr="00A4272B" w:rsidRDefault="00F3536C" w:rsidP="00A41632">
            <w:pPr>
              <w:jc w:val="center"/>
              <w:rPr>
                <w:color w:val="000000"/>
                <w:sz w:val="14"/>
                <w:szCs w:val="14"/>
                <w:lang w:val="en-US"/>
              </w:rPr>
            </w:pPr>
            <w:r w:rsidRPr="00A4272B">
              <w:rPr>
                <w:color w:val="000000"/>
                <w:sz w:val="14"/>
                <w:szCs w:val="14"/>
                <w:lang w:val="en-US"/>
              </w:rPr>
              <w:t>203</w:t>
            </w:r>
          </w:p>
        </w:tc>
        <w:tc>
          <w:tcPr>
            <w:tcW w:w="1342" w:type="dxa"/>
            <w:noWrap/>
            <w:vAlign w:val="center"/>
            <w:hideMark/>
          </w:tcPr>
          <w:p w14:paraId="4A0EFBE6"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3BE27FCC" w14:textId="77777777" w:rsidR="00F3536C" w:rsidRPr="00A4272B" w:rsidRDefault="00F3536C" w:rsidP="00A41632">
            <w:pPr>
              <w:jc w:val="right"/>
              <w:rPr>
                <w:color w:val="000000"/>
                <w:sz w:val="14"/>
                <w:szCs w:val="14"/>
                <w:lang w:val="en-US"/>
              </w:rPr>
            </w:pPr>
            <w:r w:rsidRPr="00A4272B">
              <w:rPr>
                <w:color w:val="000000"/>
                <w:sz w:val="14"/>
                <w:szCs w:val="14"/>
                <w:lang w:val="en-US"/>
              </w:rPr>
              <w:t>45.773530</w:t>
            </w:r>
          </w:p>
        </w:tc>
        <w:tc>
          <w:tcPr>
            <w:tcW w:w="998" w:type="dxa"/>
            <w:noWrap/>
            <w:vAlign w:val="center"/>
            <w:hideMark/>
          </w:tcPr>
          <w:p w14:paraId="7B4D83C8" w14:textId="77777777" w:rsidR="00F3536C" w:rsidRPr="00A4272B" w:rsidRDefault="00F3536C" w:rsidP="00A41632">
            <w:pPr>
              <w:jc w:val="right"/>
              <w:rPr>
                <w:color w:val="000000"/>
                <w:sz w:val="14"/>
                <w:szCs w:val="14"/>
                <w:lang w:val="en-US"/>
              </w:rPr>
            </w:pPr>
            <w:r w:rsidRPr="00A4272B">
              <w:rPr>
                <w:color w:val="000000"/>
                <w:sz w:val="14"/>
                <w:szCs w:val="14"/>
                <w:lang w:val="en-US"/>
              </w:rPr>
              <w:t>15.984580</w:t>
            </w:r>
          </w:p>
        </w:tc>
        <w:tc>
          <w:tcPr>
            <w:tcW w:w="859" w:type="dxa"/>
            <w:tcBorders>
              <w:top w:val="nil"/>
              <w:left w:val="nil"/>
              <w:right w:val="single" w:sz="8" w:space="0" w:color="auto"/>
            </w:tcBorders>
            <w:noWrap/>
            <w:vAlign w:val="center"/>
            <w:hideMark/>
          </w:tcPr>
          <w:p w14:paraId="67C5853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F948F0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140100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1B2D7F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5151F1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6576E5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right w:val="single" w:sz="8" w:space="0" w:color="auto"/>
            </w:tcBorders>
            <w:noWrap/>
            <w:vAlign w:val="center"/>
            <w:hideMark/>
          </w:tcPr>
          <w:p w14:paraId="633081B4"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747985F3"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51B0136A"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tcBorders>
              <w:bottom w:val="single" w:sz="4" w:space="0" w:color="auto"/>
            </w:tcBorders>
            <w:noWrap/>
            <w:vAlign w:val="center"/>
            <w:hideMark/>
          </w:tcPr>
          <w:p w14:paraId="6AE5AD63" w14:textId="77777777" w:rsidR="00F3536C" w:rsidRPr="00A4272B" w:rsidRDefault="00F3536C" w:rsidP="00A41632">
            <w:pPr>
              <w:rPr>
                <w:color w:val="000000"/>
                <w:sz w:val="14"/>
                <w:szCs w:val="14"/>
                <w:lang w:val="en-US"/>
              </w:rPr>
            </w:pPr>
            <w:r w:rsidRPr="00A4272B">
              <w:rPr>
                <w:color w:val="000000"/>
                <w:sz w:val="14"/>
                <w:szCs w:val="14"/>
                <w:lang w:val="en-US"/>
              </w:rPr>
              <w:t>Cyprus</w:t>
            </w:r>
          </w:p>
        </w:tc>
        <w:tc>
          <w:tcPr>
            <w:tcW w:w="2504" w:type="dxa"/>
            <w:tcBorders>
              <w:bottom w:val="single" w:sz="4" w:space="0" w:color="auto"/>
            </w:tcBorders>
            <w:noWrap/>
            <w:vAlign w:val="center"/>
            <w:hideMark/>
          </w:tcPr>
          <w:p w14:paraId="08398DAE" w14:textId="77777777" w:rsidR="00F3536C" w:rsidRPr="00A4272B" w:rsidRDefault="00F3536C" w:rsidP="00A41632">
            <w:pPr>
              <w:rPr>
                <w:color w:val="000000"/>
                <w:sz w:val="14"/>
                <w:szCs w:val="14"/>
                <w:lang w:val="en-US"/>
              </w:rPr>
            </w:pPr>
            <w:r w:rsidRPr="00A4272B">
              <w:rPr>
                <w:color w:val="000000"/>
                <w:sz w:val="14"/>
                <w:szCs w:val="14"/>
                <w:lang w:val="en-US"/>
              </w:rPr>
              <w:t>Ayia Marina [EMEP]</w:t>
            </w:r>
          </w:p>
        </w:tc>
        <w:tc>
          <w:tcPr>
            <w:tcW w:w="998" w:type="dxa"/>
            <w:tcBorders>
              <w:bottom w:val="single" w:sz="4" w:space="0" w:color="auto"/>
            </w:tcBorders>
            <w:noWrap/>
            <w:vAlign w:val="center"/>
            <w:hideMark/>
          </w:tcPr>
          <w:p w14:paraId="22FCF01B" w14:textId="77777777" w:rsidR="00F3536C" w:rsidRPr="00A4272B" w:rsidRDefault="00F3536C" w:rsidP="00A41632">
            <w:pPr>
              <w:jc w:val="center"/>
              <w:rPr>
                <w:color w:val="000000"/>
                <w:sz w:val="14"/>
                <w:szCs w:val="14"/>
                <w:lang w:val="en-US"/>
              </w:rPr>
            </w:pPr>
            <w:r w:rsidRPr="00A4272B">
              <w:rPr>
                <w:color w:val="000000"/>
                <w:sz w:val="14"/>
                <w:szCs w:val="14"/>
                <w:lang w:val="en-US"/>
              </w:rPr>
              <w:t>744</w:t>
            </w:r>
          </w:p>
        </w:tc>
        <w:tc>
          <w:tcPr>
            <w:tcW w:w="1342" w:type="dxa"/>
            <w:tcBorders>
              <w:bottom w:val="single" w:sz="4" w:space="0" w:color="auto"/>
            </w:tcBorders>
            <w:noWrap/>
            <w:vAlign w:val="center"/>
            <w:hideMark/>
          </w:tcPr>
          <w:p w14:paraId="5C93EF82"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bottom w:val="single" w:sz="4" w:space="0" w:color="auto"/>
            </w:tcBorders>
            <w:noWrap/>
            <w:vAlign w:val="center"/>
            <w:hideMark/>
          </w:tcPr>
          <w:p w14:paraId="325834CE" w14:textId="77777777" w:rsidR="00F3536C" w:rsidRPr="00A4272B" w:rsidRDefault="00F3536C" w:rsidP="00A41632">
            <w:pPr>
              <w:jc w:val="right"/>
              <w:rPr>
                <w:color w:val="000000"/>
                <w:sz w:val="14"/>
                <w:szCs w:val="14"/>
                <w:lang w:val="en-US"/>
              </w:rPr>
            </w:pPr>
            <w:r w:rsidRPr="00A4272B">
              <w:rPr>
                <w:color w:val="000000"/>
                <w:sz w:val="14"/>
                <w:szCs w:val="14"/>
                <w:lang w:val="en-US"/>
              </w:rPr>
              <w:t>35.038056</w:t>
            </w:r>
          </w:p>
        </w:tc>
        <w:tc>
          <w:tcPr>
            <w:tcW w:w="998" w:type="dxa"/>
            <w:tcBorders>
              <w:bottom w:val="single" w:sz="4" w:space="0" w:color="auto"/>
            </w:tcBorders>
            <w:noWrap/>
            <w:vAlign w:val="center"/>
            <w:hideMark/>
          </w:tcPr>
          <w:p w14:paraId="7CEE8FDC" w14:textId="77777777" w:rsidR="00F3536C" w:rsidRPr="00A4272B" w:rsidRDefault="00F3536C" w:rsidP="00A41632">
            <w:pPr>
              <w:jc w:val="right"/>
              <w:rPr>
                <w:color w:val="000000"/>
                <w:sz w:val="14"/>
                <w:szCs w:val="14"/>
                <w:lang w:val="en-US"/>
              </w:rPr>
            </w:pPr>
            <w:r w:rsidRPr="00A4272B">
              <w:rPr>
                <w:color w:val="000000"/>
                <w:sz w:val="14"/>
                <w:szCs w:val="14"/>
                <w:lang w:val="en-US"/>
              </w:rPr>
              <w:t>33.057778</w:t>
            </w:r>
          </w:p>
        </w:tc>
        <w:tc>
          <w:tcPr>
            <w:tcW w:w="859" w:type="dxa"/>
            <w:tcBorders>
              <w:top w:val="nil"/>
              <w:left w:val="nil"/>
              <w:bottom w:val="single" w:sz="4" w:space="0" w:color="auto"/>
              <w:right w:val="single" w:sz="8" w:space="0" w:color="auto"/>
            </w:tcBorders>
            <w:noWrap/>
            <w:vAlign w:val="center"/>
            <w:hideMark/>
          </w:tcPr>
          <w:p w14:paraId="6711E0A2" w14:textId="77777777" w:rsidR="00F3536C" w:rsidRPr="00A4272B" w:rsidRDefault="00F3536C" w:rsidP="00A41632">
            <w:pPr>
              <w:jc w:val="center"/>
              <w:rPr>
                <w:color w:val="000000"/>
                <w:sz w:val="14"/>
                <w:szCs w:val="14"/>
                <w:lang w:val="en-US"/>
              </w:rPr>
            </w:pPr>
            <w:r w:rsidRPr="00A4272B">
              <w:rPr>
                <w:color w:val="000000"/>
                <w:sz w:val="14"/>
                <w:szCs w:val="14"/>
                <w:lang w:val="en-US"/>
              </w:rPr>
              <w:t>532</w:t>
            </w:r>
          </w:p>
        </w:tc>
        <w:tc>
          <w:tcPr>
            <w:tcW w:w="792" w:type="dxa"/>
            <w:tcBorders>
              <w:bottom w:val="single" w:sz="4" w:space="0" w:color="auto"/>
            </w:tcBorders>
            <w:noWrap/>
            <w:vAlign w:val="center"/>
            <w:hideMark/>
          </w:tcPr>
          <w:p w14:paraId="33E38E7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bottom w:val="single" w:sz="4" w:space="0" w:color="auto"/>
            </w:tcBorders>
            <w:noWrap/>
            <w:vAlign w:val="center"/>
            <w:hideMark/>
          </w:tcPr>
          <w:p w14:paraId="3BDDC02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bottom w:val="single" w:sz="4" w:space="0" w:color="auto"/>
            </w:tcBorders>
            <w:noWrap/>
            <w:vAlign w:val="center"/>
            <w:hideMark/>
          </w:tcPr>
          <w:p w14:paraId="452260B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bottom w:val="single" w:sz="4" w:space="0" w:color="auto"/>
            </w:tcBorders>
            <w:noWrap/>
            <w:vAlign w:val="center"/>
            <w:hideMark/>
          </w:tcPr>
          <w:p w14:paraId="52E5AC5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bottom w:val="single" w:sz="4" w:space="0" w:color="auto"/>
            </w:tcBorders>
            <w:noWrap/>
            <w:vAlign w:val="center"/>
            <w:hideMark/>
          </w:tcPr>
          <w:p w14:paraId="5012621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6C4A2BA7"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2D16F9A0"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7514A4D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tcBorders>
              <w:top w:val="single" w:sz="4" w:space="0" w:color="auto"/>
            </w:tcBorders>
            <w:noWrap/>
            <w:vAlign w:val="center"/>
            <w:hideMark/>
          </w:tcPr>
          <w:p w14:paraId="3405167D"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tcBorders>
              <w:top w:val="single" w:sz="4" w:space="0" w:color="auto"/>
            </w:tcBorders>
            <w:noWrap/>
            <w:vAlign w:val="center"/>
            <w:hideMark/>
          </w:tcPr>
          <w:p w14:paraId="423C846A" w14:textId="77777777" w:rsidR="00F3536C" w:rsidRPr="00A4272B" w:rsidRDefault="00F3536C" w:rsidP="00A41632">
            <w:pPr>
              <w:rPr>
                <w:color w:val="000000"/>
                <w:sz w:val="14"/>
                <w:szCs w:val="14"/>
                <w:lang w:val="en-US"/>
              </w:rPr>
            </w:pPr>
            <w:r w:rsidRPr="00A4272B">
              <w:rPr>
                <w:color w:val="000000"/>
                <w:sz w:val="14"/>
                <w:szCs w:val="14"/>
                <w:lang w:val="en-US"/>
              </w:rPr>
              <w:t>Bily Kriz, Beskydy</w:t>
            </w:r>
          </w:p>
        </w:tc>
        <w:tc>
          <w:tcPr>
            <w:tcW w:w="998" w:type="dxa"/>
            <w:tcBorders>
              <w:top w:val="single" w:sz="4" w:space="0" w:color="auto"/>
            </w:tcBorders>
            <w:noWrap/>
            <w:vAlign w:val="center"/>
            <w:hideMark/>
          </w:tcPr>
          <w:p w14:paraId="26B0A988" w14:textId="77777777" w:rsidR="00F3536C" w:rsidRPr="00A4272B" w:rsidRDefault="00F3536C" w:rsidP="00A41632">
            <w:pPr>
              <w:jc w:val="center"/>
              <w:rPr>
                <w:color w:val="000000"/>
                <w:sz w:val="14"/>
                <w:szCs w:val="14"/>
                <w:lang w:val="en-US"/>
              </w:rPr>
            </w:pPr>
            <w:r w:rsidRPr="00A4272B">
              <w:rPr>
                <w:color w:val="000000"/>
                <w:sz w:val="14"/>
                <w:szCs w:val="14"/>
                <w:lang w:val="en-US"/>
              </w:rPr>
              <w:t>2</w:t>
            </w:r>
          </w:p>
        </w:tc>
        <w:tc>
          <w:tcPr>
            <w:tcW w:w="1342" w:type="dxa"/>
            <w:tcBorders>
              <w:top w:val="single" w:sz="4" w:space="0" w:color="auto"/>
            </w:tcBorders>
            <w:noWrap/>
            <w:vAlign w:val="center"/>
            <w:hideMark/>
          </w:tcPr>
          <w:p w14:paraId="626483C5"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tcBorders>
              <w:top w:val="single" w:sz="4" w:space="0" w:color="auto"/>
            </w:tcBorders>
            <w:noWrap/>
            <w:vAlign w:val="center"/>
            <w:hideMark/>
          </w:tcPr>
          <w:p w14:paraId="452013B4" w14:textId="77777777" w:rsidR="00F3536C" w:rsidRPr="00A4272B" w:rsidRDefault="00F3536C" w:rsidP="00A41632">
            <w:pPr>
              <w:jc w:val="right"/>
              <w:rPr>
                <w:color w:val="000000"/>
                <w:sz w:val="14"/>
                <w:szCs w:val="14"/>
                <w:lang w:val="en-US"/>
              </w:rPr>
            </w:pPr>
            <w:r w:rsidRPr="00A4272B">
              <w:rPr>
                <w:color w:val="000000"/>
                <w:sz w:val="14"/>
                <w:szCs w:val="14"/>
                <w:lang w:val="en-US"/>
              </w:rPr>
              <w:t>49.502610</w:t>
            </w:r>
          </w:p>
        </w:tc>
        <w:tc>
          <w:tcPr>
            <w:tcW w:w="998" w:type="dxa"/>
            <w:tcBorders>
              <w:top w:val="single" w:sz="4" w:space="0" w:color="auto"/>
            </w:tcBorders>
            <w:noWrap/>
            <w:vAlign w:val="center"/>
            <w:hideMark/>
          </w:tcPr>
          <w:p w14:paraId="7AA0B2E2" w14:textId="77777777" w:rsidR="00F3536C" w:rsidRPr="00A4272B" w:rsidRDefault="00F3536C" w:rsidP="00A41632">
            <w:pPr>
              <w:jc w:val="right"/>
              <w:rPr>
                <w:color w:val="000000"/>
                <w:sz w:val="14"/>
                <w:szCs w:val="14"/>
                <w:lang w:val="en-US"/>
              </w:rPr>
            </w:pPr>
            <w:r w:rsidRPr="00A4272B">
              <w:rPr>
                <w:color w:val="000000"/>
                <w:sz w:val="14"/>
                <w:szCs w:val="14"/>
                <w:lang w:val="en-US"/>
              </w:rPr>
              <w:t>18.538560</w:t>
            </w:r>
          </w:p>
        </w:tc>
        <w:tc>
          <w:tcPr>
            <w:tcW w:w="859" w:type="dxa"/>
            <w:tcBorders>
              <w:top w:val="single" w:sz="4" w:space="0" w:color="auto"/>
              <w:left w:val="nil"/>
              <w:bottom w:val="nil"/>
              <w:right w:val="single" w:sz="8" w:space="0" w:color="auto"/>
            </w:tcBorders>
            <w:noWrap/>
            <w:vAlign w:val="center"/>
            <w:hideMark/>
          </w:tcPr>
          <w:p w14:paraId="01FB87C9" w14:textId="77777777" w:rsidR="00F3536C" w:rsidRPr="00A4272B" w:rsidRDefault="00F3536C" w:rsidP="00A41632">
            <w:pPr>
              <w:jc w:val="center"/>
              <w:rPr>
                <w:color w:val="000000"/>
                <w:sz w:val="14"/>
                <w:szCs w:val="14"/>
                <w:lang w:val="en-US"/>
              </w:rPr>
            </w:pPr>
            <w:r w:rsidRPr="00A4272B">
              <w:rPr>
                <w:color w:val="000000"/>
                <w:sz w:val="14"/>
                <w:szCs w:val="14"/>
                <w:lang w:val="en-US"/>
              </w:rPr>
              <w:t>828</w:t>
            </w:r>
          </w:p>
        </w:tc>
        <w:tc>
          <w:tcPr>
            <w:tcW w:w="792" w:type="dxa"/>
            <w:tcBorders>
              <w:top w:val="single" w:sz="4" w:space="0" w:color="auto"/>
            </w:tcBorders>
            <w:noWrap/>
            <w:vAlign w:val="center"/>
            <w:hideMark/>
          </w:tcPr>
          <w:p w14:paraId="2994CAE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tcBorders>
            <w:noWrap/>
            <w:vAlign w:val="center"/>
            <w:hideMark/>
          </w:tcPr>
          <w:p w14:paraId="4C3942E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tcBorders>
            <w:noWrap/>
            <w:vAlign w:val="center"/>
            <w:hideMark/>
          </w:tcPr>
          <w:p w14:paraId="4BC7BAB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tcBorders>
            <w:noWrap/>
            <w:vAlign w:val="center"/>
            <w:hideMark/>
          </w:tcPr>
          <w:p w14:paraId="48528D1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single" w:sz="4" w:space="0" w:color="auto"/>
            </w:tcBorders>
            <w:noWrap/>
            <w:vAlign w:val="center"/>
            <w:hideMark/>
          </w:tcPr>
          <w:p w14:paraId="21FB954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single" w:sz="4" w:space="0" w:color="auto"/>
              <w:left w:val="nil"/>
              <w:bottom w:val="nil"/>
              <w:right w:val="single" w:sz="8" w:space="0" w:color="auto"/>
            </w:tcBorders>
            <w:noWrap/>
            <w:vAlign w:val="center"/>
            <w:hideMark/>
          </w:tcPr>
          <w:p w14:paraId="4B9BA508"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2876AB4B" w14:textId="77777777" w:rsidTr="00A41632">
        <w:trPr>
          <w:trHeight w:val="276"/>
          <w:jc w:val="center"/>
        </w:trPr>
        <w:tc>
          <w:tcPr>
            <w:tcW w:w="955" w:type="dxa"/>
            <w:tcBorders>
              <w:top w:val="nil"/>
              <w:left w:val="single" w:sz="8" w:space="0" w:color="auto"/>
              <w:bottom w:val="nil"/>
              <w:right w:val="nil"/>
            </w:tcBorders>
            <w:noWrap/>
            <w:vAlign w:val="center"/>
            <w:hideMark/>
          </w:tcPr>
          <w:p w14:paraId="6573412B"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11980ADB"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10E52D2F" w14:textId="77777777" w:rsidR="00F3536C" w:rsidRPr="00A4272B" w:rsidRDefault="00F3536C" w:rsidP="00A41632">
            <w:pPr>
              <w:rPr>
                <w:color w:val="000000"/>
                <w:sz w:val="14"/>
                <w:szCs w:val="14"/>
                <w:lang w:val="en-US"/>
              </w:rPr>
            </w:pPr>
            <w:r w:rsidRPr="00A4272B">
              <w:rPr>
                <w:color w:val="000000"/>
                <w:sz w:val="14"/>
                <w:szCs w:val="14"/>
                <w:lang w:val="en-US"/>
              </w:rPr>
              <w:t>Brno, Lisen, CHMI station</w:t>
            </w:r>
          </w:p>
        </w:tc>
        <w:tc>
          <w:tcPr>
            <w:tcW w:w="998" w:type="dxa"/>
            <w:noWrap/>
            <w:vAlign w:val="center"/>
            <w:hideMark/>
          </w:tcPr>
          <w:p w14:paraId="43030B56" w14:textId="77777777" w:rsidR="00F3536C" w:rsidRPr="00A4272B" w:rsidRDefault="00F3536C" w:rsidP="00A41632">
            <w:pPr>
              <w:jc w:val="center"/>
              <w:rPr>
                <w:color w:val="000000"/>
                <w:sz w:val="14"/>
                <w:szCs w:val="14"/>
                <w:lang w:val="en-US"/>
              </w:rPr>
            </w:pPr>
            <w:r w:rsidRPr="00A4272B">
              <w:rPr>
                <w:color w:val="000000"/>
                <w:sz w:val="14"/>
                <w:szCs w:val="14"/>
                <w:lang w:val="en-US"/>
              </w:rPr>
              <w:t>695</w:t>
            </w:r>
          </w:p>
        </w:tc>
        <w:tc>
          <w:tcPr>
            <w:tcW w:w="1342" w:type="dxa"/>
            <w:noWrap/>
            <w:vAlign w:val="center"/>
            <w:hideMark/>
          </w:tcPr>
          <w:p w14:paraId="66D6C2F9"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5802B767" w14:textId="77777777" w:rsidR="00F3536C" w:rsidRPr="00A4272B" w:rsidRDefault="00F3536C" w:rsidP="00A41632">
            <w:pPr>
              <w:jc w:val="right"/>
              <w:rPr>
                <w:color w:val="000000"/>
                <w:sz w:val="14"/>
                <w:szCs w:val="14"/>
                <w:lang w:val="en-US"/>
              </w:rPr>
            </w:pPr>
            <w:r w:rsidRPr="00A4272B">
              <w:rPr>
                <w:color w:val="000000"/>
                <w:sz w:val="14"/>
                <w:szCs w:val="14"/>
                <w:lang w:val="en-US"/>
              </w:rPr>
              <w:t>49.213333</w:t>
            </w:r>
          </w:p>
        </w:tc>
        <w:tc>
          <w:tcPr>
            <w:tcW w:w="998" w:type="dxa"/>
            <w:noWrap/>
            <w:vAlign w:val="center"/>
            <w:hideMark/>
          </w:tcPr>
          <w:p w14:paraId="7B42C84D" w14:textId="77777777" w:rsidR="00F3536C" w:rsidRPr="00A4272B" w:rsidRDefault="00F3536C" w:rsidP="00A41632">
            <w:pPr>
              <w:jc w:val="right"/>
              <w:rPr>
                <w:color w:val="000000"/>
                <w:sz w:val="14"/>
                <w:szCs w:val="14"/>
                <w:lang w:val="en-US"/>
              </w:rPr>
            </w:pPr>
            <w:r w:rsidRPr="00A4272B">
              <w:rPr>
                <w:color w:val="000000"/>
                <w:sz w:val="14"/>
                <w:szCs w:val="14"/>
                <w:lang w:val="en-US"/>
              </w:rPr>
              <w:t>16.678056</w:t>
            </w:r>
          </w:p>
        </w:tc>
        <w:tc>
          <w:tcPr>
            <w:tcW w:w="859" w:type="dxa"/>
            <w:tcBorders>
              <w:top w:val="nil"/>
              <w:left w:val="nil"/>
              <w:bottom w:val="nil"/>
              <w:right w:val="single" w:sz="8" w:space="0" w:color="auto"/>
            </w:tcBorders>
            <w:noWrap/>
            <w:vAlign w:val="center"/>
            <w:hideMark/>
          </w:tcPr>
          <w:p w14:paraId="4C0B22AA" w14:textId="77777777" w:rsidR="00F3536C" w:rsidRPr="00A4272B" w:rsidRDefault="00F3536C" w:rsidP="00A41632">
            <w:pPr>
              <w:jc w:val="center"/>
              <w:rPr>
                <w:color w:val="000000"/>
                <w:sz w:val="14"/>
                <w:szCs w:val="14"/>
                <w:lang w:val="en-US"/>
              </w:rPr>
            </w:pPr>
            <w:r w:rsidRPr="00A4272B">
              <w:rPr>
                <w:color w:val="000000"/>
                <w:sz w:val="14"/>
                <w:szCs w:val="14"/>
                <w:lang w:val="en-US"/>
              </w:rPr>
              <w:t>344</w:t>
            </w:r>
          </w:p>
        </w:tc>
        <w:tc>
          <w:tcPr>
            <w:tcW w:w="792" w:type="dxa"/>
            <w:noWrap/>
            <w:vAlign w:val="center"/>
            <w:hideMark/>
          </w:tcPr>
          <w:p w14:paraId="623DB4C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44D8BD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DFA848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EBA3B2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97B3AE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78F8890"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197F3E62" w14:textId="77777777" w:rsidTr="00A41632">
        <w:trPr>
          <w:trHeight w:val="276"/>
          <w:jc w:val="center"/>
        </w:trPr>
        <w:tc>
          <w:tcPr>
            <w:tcW w:w="955" w:type="dxa"/>
            <w:tcBorders>
              <w:top w:val="nil"/>
              <w:left w:val="single" w:sz="8" w:space="0" w:color="auto"/>
              <w:bottom w:val="nil"/>
              <w:right w:val="nil"/>
            </w:tcBorders>
            <w:noWrap/>
            <w:vAlign w:val="center"/>
            <w:hideMark/>
          </w:tcPr>
          <w:p w14:paraId="6B9631D0"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7C01E308"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6F6FAE74" w14:textId="77777777" w:rsidR="00F3536C" w:rsidRPr="00A4272B" w:rsidRDefault="00F3536C" w:rsidP="00A41632">
            <w:pPr>
              <w:rPr>
                <w:color w:val="000000"/>
                <w:sz w:val="14"/>
                <w:szCs w:val="14"/>
                <w:lang w:val="en-US"/>
              </w:rPr>
            </w:pPr>
            <w:r w:rsidRPr="00A4272B">
              <w:rPr>
                <w:color w:val="000000"/>
                <w:sz w:val="14"/>
                <w:szCs w:val="14"/>
                <w:lang w:val="en-US"/>
              </w:rPr>
              <w:t>Churanov, Sumava [EMEP]</w:t>
            </w:r>
          </w:p>
        </w:tc>
        <w:tc>
          <w:tcPr>
            <w:tcW w:w="998" w:type="dxa"/>
            <w:noWrap/>
            <w:vAlign w:val="center"/>
            <w:hideMark/>
          </w:tcPr>
          <w:p w14:paraId="2A847E6B" w14:textId="77777777" w:rsidR="00F3536C" w:rsidRPr="00A4272B" w:rsidRDefault="00F3536C" w:rsidP="00A41632">
            <w:pPr>
              <w:jc w:val="center"/>
              <w:rPr>
                <w:color w:val="000000"/>
                <w:sz w:val="14"/>
                <w:szCs w:val="14"/>
                <w:lang w:val="en-US"/>
              </w:rPr>
            </w:pPr>
            <w:r w:rsidRPr="00A4272B">
              <w:rPr>
                <w:color w:val="000000"/>
                <w:sz w:val="14"/>
                <w:szCs w:val="14"/>
                <w:lang w:val="en-US"/>
              </w:rPr>
              <w:t>13</w:t>
            </w:r>
          </w:p>
        </w:tc>
        <w:tc>
          <w:tcPr>
            <w:tcW w:w="1342" w:type="dxa"/>
            <w:noWrap/>
            <w:vAlign w:val="center"/>
            <w:hideMark/>
          </w:tcPr>
          <w:p w14:paraId="37F2A677"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72E8E3AB" w14:textId="77777777" w:rsidR="00F3536C" w:rsidRPr="00A4272B" w:rsidRDefault="00F3536C" w:rsidP="00A41632">
            <w:pPr>
              <w:jc w:val="right"/>
              <w:rPr>
                <w:color w:val="000000"/>
                <w:sz w:val="14"/>
                <w:szCs w:val="14"/>
                <w:lang w:val="en-US"/>
              </w:rPr>
            </w:pPr>
            <w:r w:rsidRPr="00A4272B">
              <w:rPr>
                <w:color w:val="000000"/>
                <w:sz w:val="14"/>
                <w:szCs w:val="14"/>
                <w:lang w:val="en-US"/>
              </w:rPr>
              <w:t>49.068440</w:t>
            </w:r>
          </w:p>
        </w:tc>
        <w:tc>
          <w:tcPr>
            <w:tcW w:w="998" w:type="dxa"/>
            <w:noWrap/>
            <w:vAlign w:val="center"/>
            <w:hideMark/>
          </w:tcPr>
          <w:p w14:paraId="6B72F90D" w14:textId="77777777" w:rsidR="00F3536C" w:rsidRPr="00A4272B" w:rsidRDefault="00F3536C" w:rsidP="00A41632">
            <w:pPr>
              <w:jc w:val="right"/>
              <w:rPr>
                <w:color w:val="000000"/>
                <w:sz w:val="14"/>
                <w:szCs w:val="14"/>
                <w:lang w:val="en-US"/>
              </w:rPr>
            </w:pPr>
            <w:r w:rsidRPr="00A4272B">
              <w:rPr>
                <w:color w:val="000000"/>
                <w:sz w:val="14"/>
                <w:szCs w:val="14"/>
                <w:lang w:val="en-US"/>
              </w:rPr>
              <w:t>13.614880</w:t>
            </w:r>
          </w:p>
        </w:tc>
        <w:tc>
          <w:tcPr>
            <w:tcW w:w="859" w:type="dxa"/>
            <w:tcBorders>
              <w:top w:val="nil"/>
              <w:left w:val="nil"/>
              <w:bottom w:val="nil"/>
              <w:right w:val="single" w:sz="8" w:space="0" w:color="auto"/>
            </w:tcBorders>
            <w:noWrap/>
            <w:vAlign w:val="center"/>
            <w:hideMark/>
          </w:tcPr>
          <w:p w14:paraId="34C95126" w14:textId="77777777" w:rsidR="00F3536C" w:rsidRPr="00A4272B" w:rsidRDefault="00F3536C" w:rsidP="00A41632">
            <w:pPr>
              <w:jc w:val="center"/>
              <w:rPr>
                <w:color w:val="000000"/>
                <w:sz w:val="14"/>
                <w:szCs w:val="14"/>
                <w:lang w:val="en-US"/>
              </w:rPr>
            </w:pPr>
            <w:r w:rsidRPr="00A4272B">
              <w:rPr>
                <w:color w:val="000000"/>
                <w:sz w:val="14"/>
                <w:szCs w:val="14"/>
                <w:lang w:val="en-US"/>
              </w:rPr>
              <w:t>1121</w:t>
            </w:r>
          </w:p>
        </w:tc>
        <w:tc>
          <w:tcPr>
            <w:tcW w:w="792" w:type="dxa"/>
            <w:noWrap/>
            <w:vAlign w:val="center"/>
            <w:hideMark/>
          </w:tcPr>
          <w:p w14:paraId="2A3AE82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0E9401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F4B977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1FF123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16A9B3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1D1D257"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26BBDFFF" w14:textId="77777777" w:rsidTr="00A41632">
        <w:trPr>
          <w:trHeight w:val="276"/>
          <w:jc w:val="center"/>
        </w:trPr>
        <w:tc>
          <w:tcPr>
            <w:tcW w:w="955" w:type="dxa"/>
            <w:tcBorders>
              <w:top w:val="nil"/>
              <w:left w:val="single" w:sz="8" w:space="0" w:color="auto"/>
              <w:bottom w:val="nil"/>
              <w:right w:val="nil"/>
            </w:tcBorders>
            <w:noWrap/>
            <w:vAlign w:val="center"/>
            <w:hideMark/>
          </w:tcPr>
          <w:p w14:paraId="4188EE7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3D316CA0"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2C2119B5" w14:textId="77777777" w:rsidR="00F3536C" w:rsidRPr="00A4272B" w:rsidRDefault="00F3536C" w:rsidP="00A41632">
            <w:pPr>
              <w:rPr>
                <w:color w:val="000000"/>
                <w:sz w:val="14"/>
                <w:szCs w:val="14"/>
                <w:lang w:val="en-US"/>
              </w:rPr>
            </w:pPr>
            <w:r w:rsidRPr="00A4272B">
              <w:rPr>
                <w:color w:val="000000"/>
                <w:sz w:val="14"/>
                <w:szCs w:val="14"/>
                <w:lang w:val="en-US"/>
              </w:rPr>
              <w:t>Dolni Lutyne, Vernovice</w:t>
            </w:r>
          </w:p>
        </w:tc>
        <w:tc>
          <w:tcPr>
            <w:tcW w:w="998" w:type="dxa"/>
            <w:noWrap/>
            <w:vAlign w:val="center"/>
            <w:hideMark/>
          </w:tcPr>
          <w:p w14:paraId="0CE3F798" w14:textId="77777777" w:rsidR="00F3536C" w:rsidRPr="00A4272B" w:rsidRDefault="00F3536C" w:rsidP="00A41632">
            <w:pPr>
              <w:jc w:val="center"/>
              <w:rPr>
                <w:color w:val="000000"/>
                <w:sz w:val="14"/>
                <w:szCs w:val="14"/>
                <w:lang w:val="en-US"/>
              </w:rPr>
            </w:pPr>
            <w:r w:rsidRPr="00A4272B">
              <w:rPr>
                <w:color w:val="000000"/>
                <w:sz w:val="14"/>
                <w:szCs w:val="14"/>
                <w:lang w:val="en-US"/>
              </w:rPr>
              <w:t>647</w:t>
            </w:r>
          </w:p>
        </w:tc>
        <w:tc>
          <w:tcPr>
            <w:tcW w:w="1342" w:type="dxa"/>
            <w:noWrap/>
            <w:vAlign w:val="center"/>
            <w:hideMark/>
          </w:tcPr>
          <w:p w14:paraId="209E3699"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70A13DC8" w14:textId="77777777" w:rsidR="00F3536C" w:rsidRPr="00A4272B" w:rsidRDefault="00F3536C" w:rsidP="00A41632">
            <w:pPr>
              <w:jc w:val="right"/>
              <w:rPr>
                <w:color w:val="000000"/>
                <w:sz w:val="14"/>
                <w:szCs w:val="14"/>
                <w:lang w:val="en-US"/>
              </w:rPr>
            </w:pPr>
            <w:r w:rsidRPr="00A4272B">
              <w:rPr>
                <w:color w:val="000000"/>
                <w:sz w:val="14"/>
                <w:szCs w:val="14"/>
                <w:lang w:val="en-US"/>
              </w:rPr>
              <w:t>49.924722</w:t>
            </w:r>
          </w:p>
        </w:tc>
        <w:tc>
          <w:tcPr>
            <w:tcW w:w="998" w:type="dxa"/>
            <w:noWrap/>
            <w:vAlign w:val="center"/>
            <w:hideMark/>
          </w:tcPr>
          <w:p w14:paraId="74CC1651" w14:textId="77777777" w:rsidR="00F3536C" w:rsidRPr="00A4272B" w:rsidRDefault="00F3536C" w:rsidP="00A41632">
            <w:pPr>
              <w:jc w:val="right"/>
              <w:rPr>
                <w:color w:val="000000"/>
                <w:sz w:val="14"/>
                <w:szCs w:val="14"/>
                <w:lang w:val="en-US"/>
              </w:rPr>
            </w:pPr>
            <w:r w:rsidRPr="00A4272B">
              <w:rPr>
                <w:color w:val="000000"/>
                <w:sz w:val="14"/>
                <w:szCs w:val="14"/>
                <w:lang w:val="en-US"/>
              </w:rPr>
              <w:t>18.422778</w:t>
            </w:r>
          </w:p>
        </w:tc>
        <w:tc>
          <w:tcPr>
            <w:tcW w:w="859" w:type="dxa"/>
            <w:tcBorders>
              <w:top w:val="nil"/>
              <w:left w:val="nil"/>
              <w:bottom w:val="nil"/>
              <w:right w:val="single" w:sz="8" w:space="0" w:color="auto"/>
            </w:tcBorders>
            <w:noWrap/>
            <w:vAlign w:val="center"/>
            <w:hideMark/>
          </w:tcPr>
          <w:p w14:paraId="54811A95" w14:textId="77777777" w:rsidR="00F3536C" w:rsidRPr="00A4272B" w:rsidRDefault="00F3536C" w:rsidP="00A41632">
            <w:pPr>
              <w:jc w:val="center"/>
              <w:rPr>
                <w:color w:val="000000"/>
                <w:sz w:val="14"/>
                <w:szCs w:val="14"/>
                <w:lang w:val="en-US"/>
              </w:rPr>
            </w:pPr>
            <w:r w:rsidRPr="00A4272B">
              <w:rPr>
                <w:color w:val="000000"/>
                <w:sz w:val="14"/>
                <w:szCs w:val="14"/>
                <w:lang w:val="en-US"/>
              </w:rPr>
              <w:t>202</w:t>
            </w:r>
          </w:p>
        </w:tc>
        <w:tc>
          <w:tcPr>
            <w:tcW w:w="792" w:type="dxa"/>
            <w:noWrap/>
            <w:vAlign w:val="center"/>
            <w:hideMark/>
          </w:tcPr>
          <w:p w14:paraId="77E5BB6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352CF6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AECA29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325C5A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B1C993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32ED55B"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12B3A899" w14:textId="77777777" w:rsidTr="00A41632">
        <w:trPr>
          <w:trHeight w:val="276"/>
          <w:jc w:val="center"/>
        </w:trPr>
        <w:tc>
          <w:tcPr>
            <w:tcW w:w="955" w:type="dxa"/>
            <w:tcBorders>
              <w:top w:val="nil"/>
              <w:left w:val="single" w:sz="8" w:space="0" w:color="auto"/>
              <w:bottom w:val="nil"/>
              <w:right w:val="nil"/>
            </w:tcBorders>
            <w:noWrap/>
            <w:vAlign w:val="center"/>
            <w:hideMark/>
          </w:tcPr>
          <w:p w14:paraId="108D0E9C"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0E762967"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661F06C5" w14:textId="77777777" w:rsidR="00F3536C" w:rsidRPr="00A4272B" w:rsidRDefault="00F3536C" w:rsidP="00A41632">
            <w:pPr>
              <w:rPr>
                <w:color w:val="000000"/>
                <w:sz w:val="14"/>
                <w:szCs w:val="14"/>
                <w:lang w:val="en-US"/>
              </w:rPr>
            </w:pPr>
            <w:r w:rsidRPr="00A4272B">
              <w:rPr>
                <w:color w:val="000000"/>
                <w:sz w:val="14"/>
                <w:szCs w:val="14"/>
                <w:lang w:val="en-US"/>
              </w:rPr>
              <w:t>Jesenik, Jeseniky</w:t>
            </w:r>
          </w:p>
        </w:tc>
        <w:tc>
          <w:tcPr>
            <w:tcW w:w="998" w:type="dxa"/>
            <w:noWrap/>
            <w:vAlign w:val="center"/>
            <w:hideMark/>
          </w:tcPr>
          <w:p w14:paraId="4F538FCD" w14:textId="77777777" w:rsidR="00F3536C" w:rsidRPr="00A4272B" w:rsidRDefault="00F3536C" w:rsidP="00A41632">
            <w:pPr>
              <w:jc w:val="center"/>
              <w:rPr>
                <w:color w:val="000000"/>
                <w:sz w:val="14"/>
                <w:szCs w:val="14"/>
                <w:lang w:val="en-US"/>
              </w:rPr>
            </w:pPr>
            <w:r w:rsidRPr="00A4272B">
              <w:rPr>
                <w:color w:val="000000"/>
                <w:sz w:val="14"/>
                <w:szCs w:val="14"/>
                <w:lang w:val="en-US"/>
              </w:rPr>
              <w:t>15</w:t>
            </w:r>
          </w:p>
        </w:tc>
        <w:tc>
          <w:tcPr>
            <w:tcW w:w="1342" w:type="dxa"/>
            <w:noWrap/>
            <w:vAlign w:val="center"/>
            <w:hideMark/>
          </w:tcPr>
          <w:p w14:paraId="53C09C50"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1F399809" w14:textId="77777777" w:rsidR="00F3536C" w:rsidRPr="00A4272B" w:rsidRDefault="00F3536C" w:rsidP="00A41632">
            <w:pPr>
              <w:jc w:val="right"/>
              <w:rPr>
                <w:color w:val="000000"/>
                <w:sz w:val="14"/>
                <w:szCs w:val="14"/>
                <w:lang w:val="en-US"/>
              </w:rPr>
            </w:pPr>
            <w:r w:rsidRPr="00A4272B">
              <w:rPr>
                <w:color w:val="000000"/>
                <w:sz w:val="14"/>
                <w:szCs w:val="14"/>
                <w:lang w:val="en-US"/>
              </w:rPr>
              <w:t>50.242250</w:t>
            </w:r>
          </w:p>
        </w:tc>
        <w:tc>
          <w:tcPr>
            <w:tcW w:w="998" w:type="dxa"/>
            <w:noWrap/>
            <w:vAlign w:val="center"/>
            <w:hideMark/>
          </w:tcPr>
          <w:p w14:paraId="7F8A451E" w14:textId="77777777" w:rsidR="00F3536C" w:rsidRPr="00A4272B" w:rsidRDefault="00F3536C" w:rsidP="00A41632">
            <w:pPr>
              <w:jc w:val="right"/>
              <w:rPr>
                <w:color w:val="000000"/>
                <w:sz w:val="14"/>
                <w:szCs w:val="14"/>
                <w:lang w:val="en-US"/>
              </w:rPr>
            </w:pPr>
            <w:r w:rsidRPr="00A4272B">
              <w:rPr>
                <w:color w:val="000000"/>
                <w:sz w:val="14"/>
                <w:szCs w:val="14"/>
                <w:lang w:val="en-US"/>
              </w:rPr>
              <w:t>17.190220</w:t>
            </w:r>
          </w:p>
        </w:tc>
        <w:tc>
          <w:tcPr>
            <w:tcW w:w="859" w:type="dxa"/>
            <w:tcBorders>
              <w:top w:val="nil"/>
              <w:left w:val="nil"/>
              <w:bottom w:val="nil"/>
              <w:right w:val="single" w:sz="8" w:space="0" w:color="auto"/>
            </w:tcBorders>
            <w:noWrap/>
            <w:vAlign w:val="center"/>
            <w:hideMark/>
          </w:tcPr>
          <w:p w14:paraId="768A8469" w14:textId="77777777" w:rsidR="00F3536C" w:rsidRPr="00A4272B" w:rsidRDefault="00F3536C" w:rsidP="00A41632">
            <w:pPr>
              <w:jc w:val="center"/>
              <w:rPr>
                <w:color w:val="000000"/>
                <w:sz w:val="14"/>
                <w:szCs w:val="14"/>
                <w:lang w:val="en-US"/>
              </w:rPr>
            </w:pPr>
            <w:r w:rsidRPr="00A4272B">
              <w:rPr>
                <w:color w:val="000000"/>
                <w:sz w:val="14"/>
                <w:szCs w:val="14"/>
                <w:lang w:val="en-US"/>
              </w:rPr>
              <w:t>625</w:t>
            </w:r>
          </w:p>
        </w:tc>
        <w:tc>
          <w:tcPr>
            <w:tcW w:w="792" w:type="dxa"/>
            <w:noWrap/>
            <w:vAlign w:val="center"/>
            <w:hideMark/>
          </w:tcPr>
          <w:p w14:paraId="3B069B5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7833C4B"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0ACC63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F3DE67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4BED73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8543CF7"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6B0B80B3" w14:textId="77777777" w:rsidTr="00A41632">
        <w:trPr>
          <w:trHeight w:val="276"/>
          <w:jc w:val="center"/>
        </w:trPr>
        <w:tc>
          <w:tcPr>
            <w:tcW w:w="955" w:type="dxa"/>
            <w:tcBorders>
              <w:top w:val="nil"/>
              <w:left w:val="single" w:sz="8" w:space="0" w:color="auto"/>
              <w:bottom w:val="nil"/>
              <w:right w:val="nil"/>
            </w:tcBorders>
            <w:noWrap/>
            <w:vAlign w:val="center"/>
            <w:hideMark/>
          </w:tcPr>
          <w:p w14:paraId="1157B965"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6D7019ED"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009F88D2" w14:textId="77777777" w:rsidR="00F3536C" w:rsidRPr="00A4272B" w:rsidRDefault="00F3536C" w:rsidP="00A41632">
            <w:pPr>
              <w:rPr>
                <w:color w:val="000000"/>
                <w:sz w:val="14"/>
                <w:szCs w:val="14"/>
                <w:lang w:val="en-US"/>
              </w:rPr>
            </w:pPr>
            <w:r w:rsidRPr="00A4272B">
              <w:rPr>
                <w:color w:val="000000"/>
                <w:sz w:val="14"/>
                <w:szCs w:val="14"/>
                <w:lang w:val="en-US"/>
              </w:rPr>
              <w:t>Klet, Sumava</w:t>
            </w:r>
          </w:p>
        </w:tc>
        <w:tc>
          <w:tcPr>
            <w:tcW w:w="998" w:type="dxa"/>
            <w:noWrap/>
            <w:vAlign w:val="center"/>
            <w:hideMark/>
          </w:tcPr>
          <w:p w14:paraId="03508D2D" w14:textId="77777777" w:rsidR="00F3536C" w:rsidRPr="00A4272B" w:rsidRDefault="00F3536C" w:rsidP="00A41632">
            <w:pPr>
              <w:jc w:val="center"/>
              <w:rPr>
                <w:color w:val="000000"/>
                <w:sz w:val="14"/>
                <w:szCs w:val="14"/>
                <w:lang w:val="en-US"/>
              </w:rPr>
            </w:pPr>
            <w:r w:rsidRPr="00A4272B">
              <w:rPr>
                <w:color w:val="000000"/>
                <w:sz w:val="14"/>
                <w:szCs w:val="14"/>
                <w:lang w:val="en-US"/>
              </w:rPr>
              <w:t>16</w:t>
            </w:r>
          </w:p>
        </w:tc>
        <w:tc>
          <w:tcPr>
            <w:tcW w:w="1342" w:type="dxa"/>
            <w:noWrap/>
            <w:vAlign w:val="center"/>
            <w:hideMark/>
          </w:tcPr>
          <w:p w14:paraId="4444A342"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1837EAE3" w14:textId="77777777" w:rsidR="00F3536C" w:rsidRPr="00A4272B" w:rsidRDefault="00F3536C" w:rsidP="00A41632">
            <w:pPr>
              <w:jc w:val="right"/>
              <w:rPr>
                <w:color w:val="000000"/>
                <w:sz w:val="14"/>
                <w:szCs w:val="14"/>
                <w:lang w:val="en-US"/>
              </w:rPr>
            </w:pPr>
            <w:r w:rsidRPr="00A4272B">
              <w:rPr>
                <w:color w:val="000000"/>
                <w:sz w:val="14"/>
                <w:szCs w:val="14"/>
                <w:lang w:val="en-US"/>
              </w:rPr>
              <w:t>48.863890</w:t>
            </w:r>
          </w:p>
        </w:tc>
        <w:tc>
          <w:tcPr>
            <w:tcW w:w="998" w:type="dxa"/>
            <w:noWrap/>
            <w:vAlign w:val="center"/>
            <w:hideMark/>
          </w:tcPr>
          <w:p w14:paraId="343AD1C5" w14:textId="77777777" w:rsidR="00F3536C" w:rsidRPr="00A4272B" w:rsidRDefault="00F3536C" w:rsidP="00A41632">
            <w:pPr>
              <w:jc w:val="right"/>
              <w:rPr>
                <w:color w:val="000000"/>
                <w:sz w:val="14"/>
                <w:szCs w:val="14"/>
                <w:lang w:val="en-US"/>
              </w:rPr>
            </w:pPr>
            <w:r w:rsidRPr="00A4272B">
              <w:rPr>
                <w:color w:val="000000"/>
                <w:sz w:val="14"/>
                <w:szCs w:val="14"/>
                <w:lang w:val="en-US"/>
              </w:rPr>
              <w:t>14.284410</w:t>
            </w:r>
          </w:p>
        </w:tc>
        <w:tc>
          <w:tcPr>
            <w:tcW w:w="859" w:type="dxa"/>
            <w:tcBorders>
              <w:top w:val="nil"/>
              <w:left w:val="nil"/>
              <w:bottom w:val="nil"/>
              <w:right w:val="single" w:sz="8" w:space="0" w:color="auto"/>
            </w:tcBorders>
            <w:noWrap/>
            <w:vAlign w:val="center"/>
            <w:hideMark/>
          </w:tcPr>
          <w:p w14:paraId="4F8E3B19" w14:textId="77777777" w:rsidR="00F3536C" w:rsidRPr="00A4272B" w:rsidRDefault="00F3536C" w:rsidP="00A41632">
            <w:pPr>
              <w:jc w:val="center"/>
              <w:rPr>
                <w:color w:val="000000"/>
                <w:sz w:val="14"/>
                <w:szCs w:val="14"/>
                <w:lang w:val="en-US"/>
              </w:rPr>
            </w:pPr>
            <w:r w:rsidRPr="00A4272B">
              <w:rPr>
                <w:color w:val="000000"/>
                <w:sz w:val="14"/>
                <w:szCs w:val="14"/>
                <w:lang w:val="en-US"/>
              </w:rPr>
              <w:t>1060</w:t>
            </w:r>
          </w:p>
        </w:tc>
        <w:tc>
          <w:tcPr>
            <w:tcW w:w="792" w:type="dxa"/>
            <w:noWrap/>
            <w:vAlign w:val="center"/>
            <w:hideMark/>
          </w:tcPr>
          <w:p w14:paraId="1E7E015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305C5C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F819AC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A1C315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69EB1E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11B9ABA"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7DCE44A0" w14:textId="77777777" w:rsidTr="00A41632">
        <w:trPr>
          <w:trHeight w:val="276"/>
          <w:jc w:val="center"/>
        </w:trPr>
        <w:tc>
          <w:tcPr>
            <w:tcW w:w="955" w:type="dxa"/>
            <w:tcBorders>
              <w:top w:val="nil"/>
              <w:left w:val="single" w:sz="8" w:space="0" w:color="auto"/>
              <w:bottom w:val="nil"/>
              <w:right w:val="nil"/>
            </w:tcBorders>
            <w:noWrap/>
            <w:vAlign w:val="center"/>
            <w:hideMark/>
          </w:tcPr>
          <w:p w14:paraId="3355368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6719E1A3"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66F20912" w14:textId="77777777" w:rsidR="00F3536C" w:rsidRPr="00A4272B" w:rsidRDefault="00F3536C" w:rsidP="00A41632">
            <w:pPr>
              <w:rPr>
                <w:color w:val="000000"/>
                <w:sz w:val="14"/>
                <w:szCs w:val="14"/>
                <w:lang w:val="en-US"/>
              </w:rPr>
            </w:pPr>
            <w:r w:rsidRPr="00A4272B">
              <w:rPr>
                <w:color w:val="000000"/>
                <w:sz w:val="14"/>
                <w:szCs w:val="14"/>
                <w:lang w:val="en-US"/>
              </w:rPr>
              <w:t>Kosetice [EMEP]</w:t>
            </w:r>
          </w:p>
        </w:tc>
        <w:tc>
          <w:tcPr>
            <w:tcW w:w="998" w:type="dxa"/>
            <w:noWrap/>
            <w:vAlign w:val="center"/>
            <w:hideMark/>
          </w:tcPr>
          <w:p w14:paraId="6E52F617" w14:textId="77777777" w:rsidR="00F3536C" w:rsidRPr="00A4272B" w:rsidRDefault="00F3536C" w:rsidP="00A41632">
            <w:pPr>
              <w:jc w:val="center"/>
              <w:rPr>
                <w:color w:val="000000"/>
                <w:sz w:val="14"/>
                <w:szCs w:val="14"/>
                <w:lang w:val="en-US"/>
              </w:rPr>
            </w:pPr>
            <w:r w:rsidRPr="00A4272B">
              <w:rPr>
                <w:color w:val="000000"/>
                <w:sz w:val="14"/>
                <w:szCs w:val="14"/>
                <w:lang w:val="en-US"/>
              </w:rPr>
              <w:t>17</w:t>
            </w:r>
          </w:p>
        </w:tc>
        <w:tc>
          <w:tcPr>
            <w:tcW w:w="1342" w:type="dxa"/>
            <w:noWrap/>
            <w:vAlign w:val="center"/>
            <w:hideMark/>
          </w:tcPr>
          <w:p w14:paraId="7FB7C889"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48953D75" w14:textId="77777777" w:rsidR="00F3536C" w:rsidRPr="00A4272B" w:rsidRDefault="00F3536C" w:rsidP="00A41632">
            <w:pPr>
              <w:jc w:val="right"/>
              <w:rPr>
                <w:color w:val="000000"/>
                <w:sz w:val="14"/>
                <w:szCs w:val="14"/>
                <w:lang w:val="en-US"/>
              </w:rPr>
            </w:pPr>
            <w:r w:rsidRPr="00A4272B">
              <w:rPr>
                <w:color w:val="000000"/>
                <w:sz w:val="14"/>
                <w:szCs w:val="14"/>
                <w:lang w:val="en-US"/>
              </w:rPr>
              <w:t>49.573450</w:t>
            </w:r>
          </w:p>
        </w:tc>
        <w:tc>
          <w:tcPr>
            <w:tcW w:w="998" w:type="dxa"/>
            <w:noWrap/>
            <w:vAlign w:val="center"/>
            <w:hideMark/>
          </w:tcPr>
          <w:p w14:paraId="20639DED" w14:textId="77777777" w:rsidR="00F3536C" w:rsidRPr="00A4272B" w:rsidRDefault="00F3536C" w:rsidP="00A41632">
            <w:pPr>
              <w:jc w:val="right"/>
              <w:rPr>
                <w:color w:val="000000"/>
                <w:sz w:val="14"/>
                <w:szCs w:val="14"/>
                <w:lang w:val="en-US"/>
              </w:rPr>
            </w:pPr>
            <w:r w:rsidRPr="00A4272B">
              <w:rPr>
                <w:color w:val="000000"/>
                <w:sz w:val="14"/>
                <w:szCs w:val="14"/>
                <w:lang w:val="en-US"/>
              </w:rPr>
              <w:t>15.080410</w:t>
            </w:r>
          </w:p>
        </w:tc>
        <w:tc>
          <w:tcPr>
            <w:tcW w:w="859" w:type="dxa"/>
            <w:tcBorders>
              <w:top w:val="nil"/>
              <w:left w:val="nil"/>
              <w:bottom w:val="nil"/>
              <w:right w:val="single" w:sz="8" w:space="0" w:color="auto"/>
            </w:tcBorders>
            <w:noWrap/>
            <w:vAlign w:val="center"/>
            <w:hideMark/>
          </w:tcPr>
          <w:p w14:paraId="28AE6092" w14:textId="77777777" w:rsidR="00F3536C" w:rsidRPr="00A4272B" w:rsidRDefault="00F3536C" w:rsidP="00A41632">
            <w:pPr>
              <w:jc w:val="center"/>
              <w:rPr>
                <w:color w:val="000000"/>
                <w:sz w:val="14"/>
                <w:szCs w:val="14"/>
                <w:lang w:val="en-US"/>
              </w:rPr>
            </w:pPr>
            <w:r w:rsidRPr="00A4272B">
              <w:rPr>
                <w:color w:val="000000"/>
                <w:sz w:val="14"/>
                <w:szCs w:val="14"/>
                <w:lang w:val="en-US"/>
              </w:rPr>
              <w:t>503</w:t>
            </w:r>
          </w:p>
        </w:tc>
        <w:tc>
          <w:tcPr>
            <w:tcW w:w="792" w:type="dxa"/>
            <w:noWrap/>
            <w:vAlign w:val="center"/>
            <w:hideMark/>
          </w:tcPr>
          <w:p w14:paraId="44BB81D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871669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17A1D0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4B9664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7954A2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54A488E" w14:textId="77777777" w:rsidR="00F3536C" w:rsidRPr="00A4272B" w:rsidRDefault="00F3536C" w:rsidP="00A41632">
            <w:pPr>
              <w:jc w:val="center"/>
              <w:rPr>
                <w:sz w:val="14"/>
                <w:szCs w:val="14"/>
                <w:lang w:val="en-US"/>
              </w:rPr>
            </w:pPr>
            <w:r w:rsidRPr="00A4272B">
              <w:rPr>
                <w:sz w:val="14"/>
                <w:szCs w:val="14"/>
                <w:lang w:val="en-US"/>
              </w:rPr>
              <w:t>2003</w:t>
            </w:r>
          </w:p>
        </w:tc>
      </w:tr>
      <w:tr w:rsidR="00F3536C" w:rsidRPr="00A4272B" w14:paraId="59DB7E2C" w14:textId="77777777" w:rsidTr="00A41632">
        <w:trPr>
          <w:trHeight w:val="276"/>
          <w:jc w:val="center"/>
        </w:trPr>
        <w:tc>
          <w:tcPr>
            <w:tcW w:w="955" w:type="dxa"/>
            <w:tcBorders>
              <w:top w:val="nil"/>
              <w:left w:val="single" w:sz="8" w:space="0" w:color="auto"/>
              <w:bottom w:val="nil"/>
              <w:right w:val="nil"/>
            </w:tcBorders>
            <w:noWrap/>
            <w:vAlign w:val="center"/>
            <w:hideMark/>
          </w:tcPr>
          <w:p w14:paraId="6D2BB48B"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40BA339B"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425A8592" w14:textId="77777777" w:rsidR="00F3536C" w:rsidRPr="00A4272B" w:rsidRDefault="00F3536C" w:rsidP="00A41632">
            <w:pPr>
              <w:rPr>
                <w:color w:val="000000"/>
                <w:sz w:val="14"/>
                <w:szCs w:val="14"/>
                <w:lang w:val="en-US"/>
              </w:rPr>
            </w:pPr>
            <w:r w:rsidRPr="00A4272B">
              <w:rPr>
                <w:color w:val="000000"/>
                <w:sz w:val="14"/>
                <w:szCs w:val="14"/>
                <w:lang w:val="en-US"/>
              </w:rPr>
              <w:t>Liberec, Jested</w:t>
            </w:r>
          </w:p>
        </w:tc>
        <w:tc>
          <w:tcPr>
            <w:tcW w:w="998" w:type="dxa"/>
            <w:noWrap/>
            <w:vAlign w:val="center"/>
            <w:hideMark/>
          </w:tcPr>
          <w:p w14:paraId="25C2F7B9" w14:textId="77777777" w:rsidR="00F3536C" w:rsidRPr="00A4272B" w:rsidRDefault="00F3536C" w:rsidP="00A41632">
            <w:pPr>
              <w:jc w:val="center"/>
              <w:rPr>
                <w:color w:val="000000"/>
                <w:sz w:val="14"/>
                <w:szCs w:val="14"/>
                <w:lang w:val="en-US"/>
              </w:rPr>
            </w:pPr>
            <w:r w:rsidRPr="00A4272B">
              <w:rPr>
                <w:color w:val="000000"/>
                <w:sz w:val="14"/>
                <w:szCs w:val="14"/>
                <w:lang w:val="en-US"/>
              </w:rPr>
              <w:t>23</w:t>
            </w:r>
          </w:p>
        </w:tc>
        <w:tc>
          <w:tcPr>
            <w:tcW w:w="1342" w:type="dxa"/>
            <w:noWrap/>
            <w:vAlign w:val="center"/>
            <w:hideMark/>
          </w:tcPr>
          <w:p w14:paraId="43A64B33"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5D9FB8F2" w14:textId="77777777" w:rsidR="00F3536C" w:rsidRPr="00A4272B" w:rsidRDefault="00F3536C" w:rsidP="00A41632">
            <w:pPr>
              <w:jc w:val="right"/>
              <w:rPr>
                <w:color w:val="000000"/>
                <w:sz w:val="14"/>
                <w:szCs w:val="14"/>
                <w:lang w:val="en-US"/>
              </w:rPr>
            </w:pPr>
            <w:r w:rsidRPr="00A4272B">
              <w:rPr>
                <w:color w:val="000000"/>
                <w:sz w:val="14"/>
                <w:szCs w:val="14"/>
                <w:lang w:val="en-US"/>
              </w:rPr>
              <w:t>50.729400</w:t>
            </w:r>
          </w:p>
        </w:tc>
        <w:tc>
          <w:tcPr>
            <w:tcW w:w="998" w:type="dxa"/>
            <w:noWrap/>
            <w:vAlign w:val="center"/>
            <w:hideMark/>
          </w:tcPr>
          <w:p w14:paraId="5386F873" w14:textId="77777777" w:rsidR="00F3536C" w:rsidRPr="00A4272B" w:rsidRDefault="00F3536C" w:rsidP="00A41632">
            <w:pPr>
              <w:jc w:val="right"/>
              <w:rPr>
                <w:color w:val="000000"/>
                <w:sz w:val="14"/>
                <w:szCs w:val="14"/>
                <w:lang w:val="en-US"/>
              </w:rPr>
            </w:pPr>
            <w:r w:rsidRPr="00A4272B">
              <w:rPr>
                <w:color w:val="000000"/>
                <w:sz w:val="14"/>
                <w:szCs w:val="14"/>
                <w:lang w:val="en-US"/>
              </w:rPr>
              <w:t>14.987900</w:t>
            </w:r>
          </w:p>
        </w:tc>
        <w:tc>
          <w:tcPr>
            <w:tcW w:w="859" w:type="dxa"/>
            <w:tcBorders>
              <w:top w:val="nil"/>
              <w:left w:val="nil"/>
              <w:bottom w:val="nil"/>
              <w:right w:val="single" w:sz="8" w:space="0" w:color="auto"/>
            </w:tcBorders>
            <w:noWrap/>
            <w:vAlign w:val="center"/>
            <w:hideMark/>
          </w:tcPr>
          <w:p w14:paraId="7BF63A20" w14:textId="77777777" w:rsidR="00F3536C" w:rsidRPr="00A4272B" w:rsidRDefault="00F3536C" w:rsidP="00A41632">
            <w:pPr>
              <w:jc w:val="center"/>
              <w:rPr>
                <w:color w:val="000000"/>
                <w:sz w:val="14"/>
                <w:szCs w:val="14"/>
                <w:lang w:val="en-US"/>
              </w:rPr>
            </w:pPr>
            <w:r w:rsidRPr="00A4272B">
              <w:rPr>
                <w:color w:val="000000"/>
                <w:sz w:val="14"/>
                <w:szCs w:val="14"/>
                <w:lang w:val="en-US"/>
              </w:rPr>
              <w:t>930</w:t>
            </w:r>
          </w:p>
        </w:tc>
        <w:tc>
          <w:tcPr>
            <w:tcW w:w="792" w:type="dxa"/>
            <w:noWrap/>
            <w:vAlign w:val="center"/>
            <w:hideMark/>
          </w:tcPr>
          <w:p w14:paraId="3020E27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89D17B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DA4C16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49D073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72A2DD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82E0DFD" w14:textId="77777777" w:rsidR="00F3536C" w:rsidRPr="00A4272B" w:rsidRDefault="00F3536C" w:rsidP="00A41632">
            <w:pPr>
              <w:jc w:val="center"/>
              <w:rPr>
                <w:sz w:val="14"/>
                <w:szCs w:val="14"/>
                <w:lang w:val="en-US"/>
              </w:rPr>
            </w:pPr>
            <w:r w:rsidRPr="00A4272B">
              <w:rPr>
                <w:sz w:val="14"/>
                <w:szCs w:val="14"/>
                <w:lang w:val="en-US"/>
              </w:rPr>
              <w:t>2005</w:t>
            </w:r>
          </w:p>
        </w:tc>
      </w:tr>
      <w:tr w:rsidR="00F3536C" w:rsidRPr="00A4272B" w14:paraId="47F0EFDA" w14:textId="77777777" w:rsidTr="00A41632">
        <w:trPr>
          <w:trHeight w:val="276"/>
          <w:jc w:val="center"/>
        </w:trPr>
        <w:tc>
          <w:tcPr>
            <w:tcW w:w="955" w:type="dxa"/>
            <w:tcBorders>
              <w:top w:val="nil"/>
              <w:left w:val="single" w:sz="8" w:space="0" w:color="auto"/>
              <w:bottom w:val="nil"/>
              <w:right w:val="nil"/>
            </w:tcBorders>
            <w:noWrap/>
            <w:vAlign w:val="center"/>
            <w:hideMark/>
          </w:tcPr>
          <w:p w14:paraId="548440F7"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70BD1B8B"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21D69F34" w14:textId="77777777" w:rsidR="00F3536C" w:rsidRPr="00A4272B" w:rsidRDefault="00F3536C" w:rsidP="00A41632">
            <w:pPr>
              <w:rPr>
                <w:color w:val="000000"/>
                <w:sz w:val="14"/>
                <w:szCs w:val="14"/>
                <w:lang w:val="en-US"/>
              </w:rPr>
            </w:pPr>
            <w:r w:rsidRPr="00A4272B">
              <w:rPr>
                <w:color w:val="000000"/>
                <w:sz w:val="14"/>
                <w:szCs w:val="14"/>
                <w:lang w:val="en-US"/>
              </w:rPr>
              <w:t>Mikulov, Sedlec</w:t>
            </w:r>
          </w:p>
        </w:tc>
        <w:tc>
          <w:tcPr>
            <w:tcW w:w="998" w:type="dxa"/>
            <w:noWrap/>
            <w:vAlign w:val="center"/>
            <w:hideMark/>
          </w:tcPr>
          <w:p w14:paraId="41A66389" w14:textId="77777777" w:rsidR="00F3536C" w:rsidRPr="00A4272B" w:rsidRDefault="00F3536C" w:rsidP="00A41632">
            <w:pPr>
              <w:jc w:val="center"/>
              <w:rPr>
                <w:color w:val="000000"/>
                <w:sz w:val="14"/>
                <w:szCs w:val="14"/>
                <w:lang w:val="en-US"/>
              </w:rPr>
            </w:pPr>
            <w:r w:rsidRPr="00A4272B">
              <w:rPr>
                <w:color w:val="000000"/>
                <w:sz w:val="14"/>
                <w:szCs w:val="14"/>
                <w:lang w:val="en-US"/>
              </w:rPr>
              <w:t>50</w:t>
            </w:r>
          </w:p>
        </w:tc>
        <w:tc>
          <w:tcPr>
            <w:tcW w:w="1342" w:type="dxa"/>
            <w:noWrap/>
            <w:vAlign w:val="center"/>
            <w:hideMark/>
          </w:tcPr>
          <w:p w14:paraId="274549D9"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282EE3D3" w14:textId="77777777" w:rsidR="00F3536C" w:rsidRPr="00A4272B" w:rsidRDefault="00F3536C" w:rsidP="00A41632">
            <w:pPr>
              <w:jc w:val="right"/>
              <w:rPr>
                <w:color w:val="000000"/>
                <w:sz w:val="14"/>
                <w:szCs w:val="14"/>
                <w:lang w:val="en-US"/>
              </w:rPr>
            </w:pPr>
            <w:r w:rsidRPr="00A4272B">
              <w:rPr>
                <w:color w:val="000000"/>
                <w:sz w:val="14"/>
                <w:szCs w:val="14"/>
                <w:lang w:val="en-US"/>
              </w:rPr>
              <w:t>48.791750</w:t>
            </w:r>
          </w:p>
        </w:tc>
        <w:tc>
          <w:tcPr>
            <w:tcW w:w="998" w:type="dxa"/>
            <w:noWrap/>
            <w:vAlign w:val="center"/>
            <w:hideMark/>
          </w:tcPr>
          <w:p w14:paraId="29E6CEE6" w14:textId="77777777" w:rsidR="00F3536C" w:rsidRPr="00A4272B" w:rsidRDefault="00F3536C" w:rsidP="00A41632">
            <w:pPr>
              <w:jc w:val="right"/>
              <w:rPr>
                <w:color w:val="000000"/>
                <w:sz w:val="14"/>
                <w:szCs w:val="14"/>
                <w:lang w:val="en-US"/>
              </w:rPr>
            </w:pPr>
            <w:r w:rsidRPr="00A4272B">
              <w:rPr>
                <w:color w:val="000000"/>
                <w:sz w:val="14"/>
                <w:szCs w:val="14"/>
                <w:lang w:val="en-US"/>
              </w:rPr>
              <w:t>16.724500</w:t>
            </w:r>
          </w:p>
        </w:tc>
        <w:tc>
          <w:tcPr>
            <w:tcW w:w="859" w:type="dxa"/>
            <w:tcBorders>
              <w:top w:val="nil"/>
              <w:left w:val="nil"/>
              <w:bottom w:val="nil"/>
              <w:right w:val="single" w:sz="8" w:space="0" w:color="auto"/>
            </w:tcBorders>
            <w:noWrap/>
            <w:vAlign w:val="center"/>
            <w:hideMark/>
          </w:tcPr>
          <w:p w14:paraId="169C1EB4" w14:textId="77777777" w:rsidR="00F3536C" w:rsidRPr="00A4272B" w:rsidRDefault="00F3536C" w:rsidP="00A41632">
            <w:pPr>
              <w:jc w:val="center"/>
              <w:rPr>
                <w:color w:val="000000"/>
                <w:sz w:val="14"/>
                <w:szCs w:val="14"/>
                <w:lang w:val="en-US"/>
              </w:rPr>
            </w:pPr>
            <w:r w:rsidRPr="00A4272B">
              <w:rPr>
                <w:color w:val="000000"/>
                <w:sz w:val="14"/>
                <w:szCs w:val="14"/>
                <w:lang w:val="en-US"/>
              </w:rPr>
              <w:t>232</w:t>
            </w:r>
          </w:p>
        </w:tc>
        <w:tc>
          <w:tcPr>
            <w:tcW w:w="792" w:type="dxa"/>
            <w:noWrap/>
            <w:vAlign w:val="center"/>
            <w:hideMark/>
          </w:tcPr>
          <w:p w14:paraId="7E52AE5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4F810D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BAB912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FEB643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470B24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2732F77"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6B9623D7" w14:textId="77777777" w:rsidTr="00A41632">
        <w:trPr>
          <w:trHeight w:val="276"/>
          <w:jc w:val="center"/>
        </w:trPr>
        <w:tc>
          <w:tcPr>
            <w:tcW w:w="955" w:type="dxa"/>
            <w:tcBorders>
              <w:top w:val="nil"/>
              <w:left w:val="single" w:sz="8" w:space="0" w:color="auto"/>
              <w:bottom w:val="nil"/>
              <w:right w:val="nil"/>
            </w:tcBorders>
            <w:noWrap/>
            <w:vAlign w:val="center"/>
            <w:hideMark/>
          </w:tcPr>
          <w:p w14:paraId="012E4F5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68A6B1F1"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5E05559F" w14:textId="77777777" w:rsidR="00F3536C" w:rsidRPr="00A4272B" w:rsidRDefault="00F3536C" w:rsidP="00A41632">
            <w:pPr>
              <w:rPr>
                <w:color w:val="000000"/>
                <w:sz w:val="14"/>
                <w:szCs w:val="14"/>
                <w:lang w:val="en-US"/>
              </w:rPr>
            </w:pPr>
            <w:r w:rsidRPr="00A4272B">
              <w:rPr>
                <w:color w:val="000000"/>
                <w:sz w:val="14"/>
                <w:szCs w:val="14"/>
                <w:lang w:val="en-US"/>
              </w:rPr>
              <w:t>Planavy (Sitna nad Vlari-Popov, Planavy)</w:t>
            </w:r>
          </w:p>
        </w:tc>
        <w:tc>
          <w:tcPr>
            <w:tcW w:w="998" w:type="dxa"/>
            <w:noWrap/>
            <w:vAlign w:val="center"/>
            <w:hideMark/>
          </w:tcPr>
          <w:p w14:paraId="0DB2AFB9" w14:textId="77777777" w:rsidR="00F3536C" w:rsidRPr="00A4272B" w:rsidRDefault="00F3536C" w:rsidP="00A41632">
            <w:pPr>
              <w:jc w:val="center"/>
              <w:rPr>
                <w:color w:val="000000"/>
                <w:sz w:val="14"/>
                <w:szCs w:val="14"/>
                <w:lang w:val="en-US"/>
              </w:rPr>
            </w:pPr>
            <w:r w:rsidRPr="00A4272B">
              <w:rPr>
                <w:color w:val="000000"/>
                <w:sz w:val="14"/>
                <w:szCs w:val="14"/>
                <w:lang w:val="en-US"/>
              </w:rPr>
              <w:t>66</w:t>
            </w:r>
          </w:p>
        </w:tc>
        <w:tc>
          <w:tcPr>
            <w:tcW w:w="1342" w:type="dxa"/>
            <w:noWrap/>
            <w:vAlign w:val="center"/>
            <w:hideMark/>
          </w:tcPr>
          <w:p w14:paraId="1B0C0275"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36C70976" w14:textId="77777777" w:rsidR="00F3536C" w:rsidRPr="00A4272B" w:rsidRDefault="00F3536C" w:rsidP="00A41632">
            <w:pPr>
              <w:jc w:val="right"/>
              <w:rPr>
                <w:color w:val="000000"/>
                <w:sz w:val="14"/>
                <w:szCs w:val="14"/>
                <w:lang w:val="en-US"/>
              </w:rPr>
            </w:pPr>
            <w:r w:rsidRPr="00A4272B">
              <w:rPr>
                <w:color w:val="000000"/>
                <w:sz w:val="14"/>
                <w:szCs w:val="14"/>
                <w:lang w:val="en-US"/>
              </w:rPr>
              <w:t>49.047760</w:t>
            </w:r>
          </w:p>
        </w:tc>
        <w:tc>
          <w:tcPr>
            <w:tcW w:w="998" w:type="dxa"/>
            <w:noWrap/>
            <w:vAlign w:val="center"/>
            <w:hideMark/>
          </w:tcPr>
          <w:p w14:paraId="0CC2CE3C" w14:textId="77777777" w:rsidR="00F3536C" w:rsidRPr="00A4272B" w:rsidRDefault="00F3536C" w:rsidP="00A41632">
            <w:pPr>
              <w:jc w:val="right"/>
              <w:rPr>
                <w:color w:val="000000"/>
                <w:sz w:val="14"/>
                <w:szCs w:val="14"/>
                <w:lang w:val="en-US"/>
              </w:rPr>
            </w:pPr>
            <w:r w:rsidRPr="00A4272B">
              <w:rPr>
                <w:color w:val="000000"/>
                <w:sz w:val="14"/>
                <w:szCs w:val="14"/>
                <w:lang w:val="en-US"/>
              </w:rPr>
              <w:t>18.007810</w:t>
            </w:r>
          </w:p>
        </w:tc>
        <w:tc>
          <w:tcPr>
            <w:tcW w:w="859" w:type="dxa"/>
            <w:tcBorders>
              <w:top w:val="nil"/>
              <w:left w:val="nil"/>
              <w:bottom w:val="nil"/>
              <w:right w:val="single" w:sz="8" w:space="0" w:color="auto"/>
            </w:tcBorders>
            <w:noWrap/>
            <w:vAlign w:val="center"/>
            <w:hideMark/>
          </w:tcPr>
          <w:p w14:paraId="286E8986" w14:textId="77777777" w:rsidR="00F3536C" w:rsidRPr="00A4272B" w:rsidRDefault="00F3536C" w:rsidP="00A41632">
            <w:pPr>
              <w:jc w:val="center"/>
              <w:rPr>
                <w:color w:val="000000"/>
                <w:sz w:val="14"/>
                <w:szCs w:val="14"/>
                <w:lang w:val="en-US"/>
              </w:rPr>
            </w:pPr>
            <w:r w:rsidRPr="00A4272B">
              <w:rPr>
                <w:color w:val="000000"/>
                <w:sz w:val="14"/>
                <w:szCs w:val="14"/>
                <w:lang w:val="en-US"/>
              </w:rPr>
              <w:t>561</w:t>
            </w:r>
          </w:p>
        </w:tc>
        <w:tc>
          <w:tcPr>
            <w:tcW w:w="792" w:type="dxa"/>
            <w:noWrap/>
            <w:vAlign w:val="center"/>
            <w:hideMark/>
          </w:tcPr>
          <w:p w14:paraId="339E963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5F5D98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3A7F60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D9725E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A96700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853A2B7"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16DE868F" w14:textId="77777777" w:rsidTr="00A41632">
        <w:trPr>
          <w:trHeight w:val="276"/>
          <w:jc w:val="center"/>
        </w:trPr>
        <w:tc>
          <w:tcPr>
            <w:tcW w:w="955" w:type="dxa"/>
            <w:tcBorders>
              <w:top w:val="nil"/>
              <w:left w:val="single" w:sz="8" w:space="0" w:color="auto"/>
              <w:bottom w:val="nil"/>
              <w:right w:val="nil"/>
            </w:tcBorders>
            <w:noWrap/>
            <w:vAlign w:val="center"/>
            <w:hideMark/>
          </w:tcPr>
          <w:p w14:paraId="79E9D561"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1AABE832"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4FF786AD" w14:textId="77777777" w:rsidR="00F3536C" w:rsidRPr="00A4272B" w:rsidRDefault="00F3536C" w:rsidP="00A41632">
            <w:pPr>
              <w:rPr>
                <w:color w:val="000000"/>
                <w:sz w:val="14"/>
                <w:szCs w:val="14"/>
                <w:lang w:val="en-US"/>
              </w:rPr>
            </w:pPr>
            <w:r w:rsidRPr="00A4272B">
              <w:rPr>
                <w:color w:val="000000"/>
                <w:sz w:val="14"/>
                <w:szCs w:val="14"/>
                <w:lang w:val="en-US"/>
              </w:rPr>
              <w:t>Praha, Libus, CHMI Station [EMEP]</w:t>
            </w:r>
          </w:p>
        </w:tc>
        <w:tc>
          <w:tcPr>
            <w:tcW w:w="998" w:type="dxa"/>
            <w:noWrap/>
            <w:vAlign w:val="center"/>
            <w:hideMark/>
          </w:tcPr>
          <w:p w14:paraId="65F683BF" w14:textId="77777777" w:rsidR="00F3536C" w:rsidRPr="00A4272B" w:rsidRDefault="00F3536C" w:rsidP="00A41632">
            <w:pPr>
              <w:jc w:val="center"/>
              <w:rPr>
                <w:color w:val="000000"/>
                <w:sz w:val="14"/>
                <w:szCs w:val="14"/>
                <w:lang w:val="en-US"/>
              </w:rPr>
            </w:pPr>
            <w:r w:rsidRPr="00A4272B">
              <w:rPr>
                <w:color w:val="000000"/>
                <w:sz w:val="14"/>
                <w:szCs w:val="14"/>
                <w:lang w:val="en-US"/>
              </w:rPr>
              <w:t>39</w:t>
            </w:r>
          </w:p>
        </w:tc>
        <w:tc>
          <w:tcPr>
            <w:tcW w:w="1342" w:type="dxa"/>
            <w:noWrap/>
            <w:vAlign w:val="center"/>
            <w:hideMark/>
          </w:tcPr>
          <w:p w14:paraId="3D291B9E"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6D153F15" w14:textId="77777777" w:rsidR="00F3536C" w:rsidRPr="00A4272B" w:rsidRDefault="00F3536C" w:rsidP="00A41632">
            <w:pPr>
              <w:jc w:val="right"/>
              <w:rPr>
                <w:color w:val="000000"/>
                <w:sz w:val="14"/>
                <w:szCs w:val="14"/>
                <w:lang w:val="en-US"/>
              </w:rPr>
            </w:pPr>
            <w:r w:rsidRPr="00A4272B">
              <w:rPr>
                <w:color w:val="000000"/>
                <w:sz w:val="14"/>
                <w:szCs w:val="14"/>
                <w:lang w:val="en-US"/>
              </w:rPr>
              <w:t>50.007310</w:t>
            </w:r>
          </w:p>
        </w:tc>
        <w:tc>
          <w:tcPr>
            <w:tcW w:w="998" w:type="dxa"/>
            <w:noWrap/>
            <w:vAlign w:val="center"/>
            <w:hideMark/>
          </w:tcPr>
          <w:p w14:paraId="6321FBCB" w14:textId="77777777" w:rsidR="00F3536C" w:rsidRPr="00A4272B" w:rsidRDefault="00F3536C" w:rsidP="00A41632">
            <w:pPr>
              <w:jc w:val="right"/>
              <w:rPr>
                <w:color w:val="000000"/>
                <w:sz w:val="14"/>
                <w:szCs w:val="14"/>
                <w:lang w:val="en-US"/>
              </w:rPr>
            </w:pPr>
            <w:r w:rsidRPr="00A4272B">
              <w:rPr>
                <w:color w:val="000000"/>
                <w:sz w:val="14"/>
                <w:szCs w:val="14"/>
                <w:lang w:val="en-US"/>
              </w:rPr>
              <w:t>14.446200</w:t>
            </w:r>
          </w:p>
        </w:tc>
        <w:tc>
          <w:tcPr>
            <w:tcW w:w="859" w:type="dxa"/>
            <w:tcBorders>
              <w:top w:val="nil"/>
              <w:left w:val="nil"/>
              <w:bottom w:val="nil"/>
              <w:right w:val="single" w:sz="8" w:space="0" w:color="auto"/>
            </w:tcBorders>
            <w:noWrap/>
            <w:vAlign w:val="center"/>
            <w:hideMark/>
          </w:tcPr>
          <w:p w14:paraId="29C57BA1" w14:textId="77777777" w:rsidR="00F3536C" w:rsidRPr="00A4272B" w:rsidRDefault="00F3536C" w:rsidP="00A41632">
            <w:pPr>
              <w:jc w:val="center"/>
              <w:rPr>
                <w:color w:val="000000"/>
                <w:sz w:val="14"/>
                <w:szCs w:val="14"/>
                <w:lang w:val="en-US"/>
              </w:rPr>
            </w:pPr>
            <w:r w:rsidRPr="00A4272B">
              <w:rPr>
                <w:color w:val="000000"/>
                <w:sz w:val="14"/>
                <w:szCs w:val="14"/>
                <w:lang w:val="en-US"/>
              </w:rPr>
              <w:t>302</w:t>
            </w:r>
          </w:p>
        </w:tc>
        <w:tc>
          <w:tcPr>
            <w:tcW w:w="792" w:type="dxa"/>
            <w:noWrap/>
            <w:vAlign w:val="center"/>
            <w:hideMark/>
          </w:tcPr>
          <w:p w14:paraId="1824A40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0B4B65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FC5259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93FEBD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4479D1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A61D969"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738E5A37" w14:textId="77777777" w:rsidTr="00A41632">
        <w:trPr>
          <w:trHeight w:val="276"/>
          <w:jc w:val="center"/>
        </w:trPr>
        <w:tc>
          <w:tcPr>
            <w:tcW w:w="955" w:type="dxa"/>
            <w:tcBorders>
              <w:top w:val="nil"/>
              <w:left w:val="single" w:sz="8" w:space="0" w:color="auto"/>
              <w:bottom w:val="nil"/>
              <w:right w:val="nil"/>
            </w:tcBorders>
            <w:noWrap/>
            <w:vAlign w:val="center"/>
            <w:hideMark/>
          </w:tcPr>
          <w:p w14:paraId="71DCE7B3"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42B1B05E"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35C7E72E" w14:textId="77777777" w:rsidR="00F3536C" w:rsidRPr="00A4272B" w:rsidRDefault="00F3536C" w:rsidP="00A41632">
            <w:pPr>
              <w:rPr>
                <w:color w:val="000000"/>
                <w:sz w:val="14"/>
                <w:szCs w:val="14"/>
                <w:lang w:val="en-US"/>
              </w:rPr>
            </w:pPr>
            <w:r w:rsidRPr="00A4272B">
              <w:rPr>
                <w:color w:val="000000"/>
                <w:sz w:val="14"/>
                <w:szCs w:val="14"/>
                <w:lang w:val="en-US"/>
              </w:rPr>
              <w:t>Prebuz</w:t>
            </w:r>
          </w:p>
        </w:tc>
        <w:tc>
          <w:tcPr>
            <w:tcW w:w="998" w:type="dxa"/>
            <w:noWrap/>
            <w:vAlign w:val="center"/>
            <w:hideMark/>
          </w:tcPr>
          <w:p w14:paraId="50FCB22A" w14:textId="77777777" w:rsidR="00F3536C" w:rsidRPr="00A4272B" w:rsidRDefault="00F3536C" w:rsidP="00A41632">
            <w:pPr>
              <w:jc w:val="center"/>
              <w:rPr>
                <w:color w:val="000000"/>
                <w:sz w:val="14"/>
                <w:szCs w:val="14"/>
                <w:lang w:val="en-US"/>
              </w:rPr>
            </w:pPr>
            <w:r w:rsidRPr="00A4272B">
              <w:rPr>
                <w:color w:val="000000"/>
                <w:sz w:val="14"/>
                <w:szCs w:val="14"/>
                <w:lang w:val="en-US"/>
              </w:rPr>
              <w:t>355</w:t>
            </w:r>
          </w:p>
        </w:tc>
        <w:tc>
          <w:tcPr>
            <w:tcW w:w="1342" w:type="dxa"/>
            <w:noWrap/>
            <w:vAlign w:val="center"/>
            <w:hideMark/>
          </w:tcPr>
          <w:p w14:paraId="094BE907"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40375702" w14:textId="77777777" w:rsidR="00F3536C" w:rsidRPr="00A4272B" w:rsidRDefault="00F3536C" w:rsidP="00A41632">
            <w:pPr>
              <w:jc w:val="right"/>
              <w:rPr>
                <w:color w:val="000000"/>
                <w:sz w:val="14"/>
                <w:szCs w:val="14"/>
                <w:lang w:val="en-US"/>
              </w:rPr>
            </w:pPr>
            <w:r w:rsidRPr="00A4272B">
              <w:rPr>
                <w:color w:val="000000"/>
                <w:sz w:val="14"/>
                <w:szCs w:val="14"/>
                <w:lang w:val="en-US"/>
              </w:rPr>
              <w:t>50.372500</w:t>
            </w:r>
          </w:p>
        </w:tc>
        <w:tc>
          <w:tcPr>
            <w:tcW w:w="998" w:type="dxa"/>
            <w:noWrap/>
            <w:vAlign w:val="center"/>
            <w:hideMark/>
          </w:tcPr>
          <w:p w14:paraId="2611BAAD" w14:textId="77777777" w:rsidR="00F3536C" w:rsidRPr="00A4272B" w:rsidRDefault="00F3536C" w:rsidP="00A41632">
            <w:pPr>
              <w:jc w:val="right"/>
              <w:rPr>
                <w:color w:val="000000"/>
                <w:sz w:val="14"/>
                <w:szCs w:val="14"/>
                <w:lang w:val="en-US"/>
              </w:rPr>
            </w:pPr>
            <w:r w:rsidRPr="00A4272B">
              <w:rPr>
                <w:color w:val="000000"/>
                <w:sz w:val="14"/>
                <w:szCs w:val="14"/>
                <w:lang w:val="en-US"/>
              </w:rPr>
              <w:t>12.615278</w:t>
            </w:r>
          </w:p>
        </w:tc>
        <w:tc>
          <w:tcPr>
            <w:tcW w:w="859" w:type="dxa"/>
            <w:tcBorders>
              <w:top w:val="nil"/>
              <w:left w:val="nil"/>
              <w:bottom w:val="nil"/>
              <w:right w:val="single" w:sz="8" w:space="0" w:color="auto"/>
            </w:tcBorders>
            <w:noWrap/>
            <w:vAlign w:val="center"/>
            <w:hideMark/>
          </w:tcPr>
          <w:p w14:paraId="11333540" w14:textId="77777777" w:rsidR="00F3536C" w:rsidRPr="00A4272B" w:rsidRDefault="00F3536C" w:rsidP="00A41632">
            <w:pPr>
              <w:jc w:val="center"/>
              <w:rPr>
                <w:color w:val="000000"/>
                <w:sz w:val="14"/>
                <w:szCs w:val="14"/>
                <w:lang w:val="en-US"/>
              </w:rPr>
            </w:pPr>
            <w:r w:rsidRPr="00A4272B">
              <w:rPr>
                <w:color w:val="000000"/>
                <w:sz w:val="14"/>
                <w:szCs w:val="14"/>
                <w:lang w:val="en-US"/>
              </w:rPr>
              <w:t>907</w:t>
            </w:r>
          </w:p>
        </w:tc>
        <w:tc>
          <w:tcPr>
            <w:tcW w:w="792" w:type="dxa"/>
            <w:noWrap/>
            <w:vAlign w:val="center"/>
            <w:hideMark/>
          </w:tcPr>
          <w:p w14:paraId="748E86C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AD578C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A87472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2C098D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1B4B13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BFEA860"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6C31D75C" w14:textId="77777777" w:rsidTr="00A41632">
        <w:trPr>
          <w:trHeight w:val="276"/>
          <w:jc w:val="center"/>
        </w:trPr>
        <w:tc>
          <w:tcPr>
            <w:tcW w:w="955" w:type="dxa"/>
            <w:tcBorders>
              <w:top w:val="nil"/>
              <w:left w:val="single" w:sz="8" w:space="0" w:color="auto"/>
              <w:bottom w:val="nil"/>
              <w:right w:val="nil"/>
            </w:tcBorders>
            <w:noWrap/>
            <w:vAlign w:val="center"/>
            <w:hideMark/>
          </w:tcPr>
          <w:p w14:paraId="3727ED30"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11C311FF"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03962906" w14:textId="77777777" w:rsidR="00F3536C" w:rsidRPr="00A4272B" w:rsidRDefault="00F3536C" w:rsidP="00A41632">
            <w:pPr>
              <w:rPr>
                <w:color w:val="000000"/>
                <w:sz w:val="14"/>
                <w:szCs w:val="14"/>
                <w:lang w:val="en-US"/>
              </w:rPr>
            </w:pPr>
            <w:r w:rsidRPr="00A4272B">
              <w:rPr>
                <w:color w:val="000000"/>
                <w:sz w:val="14"/>
                <w:szCs w:val="14"/>
                <w:lang w:val="en-US"/>
              </w:rPr>
              <w:t>Primda, Sumava</w:t>
            </w:r>
          </w:p>
        </w:tc>
        <w:tc>
          <w:tcPr>
            <w:tcW w:w="998" w:type="dxa"/>
            <w:noWrap/>
            <w:vAlign w:val="center"/>
            <w:hideMark/>
          </w:tcPr>
          <w:p w14:paraId="32B0864D" w14:textId="77777777" w:rsidR="00F3536C" w:rsidRPr="00A4272B" w:rsidRDefault="00F3536C" w:rsidP="00A41632">
            <w:pPr>
              <w:jc w:val="center"/>
              <w:rPr>
                <w:color w:val="000000"/>
                <w:sz w:val="14"/>
                <w:szCs w:val="14"/>
                <w:lang w:val="en-US"/>
              </w:rPr>
            </w:pPr>
            <w:r w:rsidRPr="00A4272B">
              <w:rPr>
                <w:color w:val="000000"/>
                <w:sz w:val="14"/>
                <w:szCs w:val="14"/>
                <w:lang w:val="en-US"/>
              </w:rPr>
              <w:t>41</w:t>
            </w:r>
          </w:p>
        </w:tc>
        <w:tc>
          <w:tcPr>
            <w:tcW w:w="1342" w:type="dxa"/>
            <w:noWrap/>
            <w:vAlign w:val="center"/>
            <w:hideMark/>
          </w:tcPr>
          <w:p w14:paraId="391CF783"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275037A1" w14:textId="77777777" w:rsidR="00F3536C" w:rsidRPr="00A4272B" w:rsidRDefault="00F3536C" w:rsidP="00A41632">
            <w:pPr>
              <w:jc w:val="right"/>
              <w:rPr>
                <w:color w:val="000000"/>
                <w:sz w:val="14"/>
                <w:szCs w:val="14"/>
                <w:lang w:val="en-US"/>
              </w:rPr>
            </w:pPr>
            <w:r w:rsidRPr="00A4272B">
              <w:rPr>
                <w:color w:val="000000"/>
                <w:sz w:val="14"/>
                <w:szCs w:val="14"/>
                <w:lang w:val="en-US"/>
              </w:rPr>
              <w:t>49.669590</w:t>
            </w:r>
          </w:p>
        </w:tc>
        <w:tc>
          <w:tcPr>
            <w:tcW w:w="998" w:type="dxa"/>
            <w:noWrap/>
            <w:vAlign w:val="center"/>
            <w:hideMark/>
          </w:tcPr>
          <w:p w14:paraId="4B72E990" w14:textId="77777777" w:rsidR="00F3536C" w:rsidRPr="00A4272B" w:rsidRDefault="00F3536C" w:rsidP="00A41632">
            <w:pPr>
              <w:jc w:val="right"/>
              <w:rPr>
                <w:color w:val="000000"/>
                <w:sz w:val="14"/>
                <w:szCs w:val="14"/>
                <w:lang w:val="en-US"/>
              </w:rPr>
            </w:pPr>
            <w:r w:rsidRPr="00A4272B">
              <w:rPr>
                <w:color w:val="000000"/>
                <w:sz w:val="14"/>
                <w:szCs w:val="14"/>
                <w:lang w:val="en-US"/>
              </w:rPr>
              <w:t>12.677850</w:t>
            </w:r>
          </w:p>
        </w:tc>
        <w:tc>
          <w:tcPr>
            <w:tcW w:w="859" w:type="dxa"/>
            <w:tcBorders>
              <w:top w:val="nil"/>
              <w:left w:val="nil"/>
              <w:bottom w:val="nil"/>
              <w:right w:val="single" w:sz="8" w:space="0" w:color="auto"/>
            </w:tcBorders>
            <w:noWrap/>
            <w:vAlign w:val="center"/>
            <w:hideMark/>
          </w:tcPr>
          <w:p w14:paraId="12771D7F" w14:textId="77777777" w:rsidR="00F3536C" w:rsidRPr="00A4272B" w:rsidRDefault="00F3536C" w:rsidP="00A41632">
            <w:pPr>
              <w:jc w:val="center"/>
              <w:rPr>
                <w:color w:val="000000"/>
                <w:sz w:val="14"/>
                <w:szCs w:val="14"/>
                <w:lang w:val="en-US"/>
              </w:rPr>
            </w:pPr>
            <w:r w:rsidRPr="00A4272B">
              <w:rPr>
                <w:color w:val="000000"/>
                <w:sz w:val="14"/>
                <w:szCs w:val="14"/>
                <w:lang w:val="en-US"/>
              </w:rPr>
              <w:t>704</w:t>
            </w:r>
          </w:p>
        </w:tc>
        <w:tc>
          <w:tcPr>
            <w:tcW w:w="792" w:type="dxa"/>
            <w:noWrap/>
            <w:vAlign w:val="center"/>
            <w:hideMark/>
          </w:tcPr>
          <w:p w14:paraId="7EB33EF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D84766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1DBF4F6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F569B5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891CF1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CC27C93"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597BD370" w14:textId="77777777" w:rsidTr="00A41632">
        <w:trPr>
          <w:trHeight w:val="276"/>
          <w:jc w:val="center"/>
        </w:trPr>
        <w:tc>
          <w:tcPr>
            <w:tcW w:w="955" w:type="dxa"/>
            <w:tcBorders>
              <w:top w:val="nil"/>
              <w:left w:val="single" w:sz="8" w:space="0" w:color="auto"/>
              <w:bottom w:val="nil"/>
              <w:right w:val="nil"/>
            </w:tcBorders>
            <w:noWrap/>
            <w:vAlign w:val="center"/>
            <w:hideMark/>
          </w:tcPr>
          <w:p w14:paraId="4F1FDAF5"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141FD0A2"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23939259" w14:textId="77777777" w:rsidR="00F3536C" w:rsidRPr="00A4272B" w:rsidRDefault="00F3536C" w:rsidP="00A41632">
            <w:pPr>
              <w:rPr>
                <w:color w:val="000000"/>
                <w:sz w:val="14"/>
                <w:szCs w:val="14"/>
                <w:lang w:val="en-US"/>
              </w:rPr>
            </w:pPr>
            <w:r w:rsidRPr="00A4272B">
              <w:rPr>
                <w:color w:val="000000"/>
                <w:sz w:val="14"/>
                <w:szCs w:val="14"/>
                <w:lang w:val="en-US"/>
              </w:rPr>
              <w:t>Rudolice (Rudolice v Horach, Krusne hory)</w:t>
            </w:r>
          </w:p>
        </w:tc>
        <w:tc>
          <w:tcPr>
            <w:tcW w:w="998" w:type="dxa"/>
            <w:noWrap/>
            <w:vAlign w:val="center"/>
            <w:hideMark/>
          </w:tcPr>
          <w:p w14:paraId="6F621C59" w14:textId="77777777" w:rsidR="00F3536C" w:rsidRPr="00A4272B" w:rsidRDefault="00F3536C" w:rsidP="00A41632">
            <w:pPr>
              <w:jc w:val="center"/>
              <w:rPr>
                <w:color w:val="000000"/>
                <w:sz w:val="14"/>
                <w:szCs w:val="14"/>
                <w:lang w:val="en-US"/>
              </w:rPr>
            </w:pPr>
            <w:r w:rsidRPr="00A4272B">
              <w:rPr>
                <w:color w:val="000000"/>
                <w:sz w:val="14"/>
                <w:szCs w:val="14"/>
                <w:lang w:val="en-US"/>
              </w:rPr>
              <w:t>46</w:t>
            </w:r>
          </w:p>
        </w:tc>
        <w:tc>
          <w:tcPr>
            <w:tcW w:w="1342" w:type="dxa"/>
            <w:noWrap/>
            <w:vAlign w:val="center"/>
            <w:hideMark/>
          </w:tcPr>
          <w:p w14:paraId="21E66F21"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204214F0" w14:textId="77777777" w:rsidR="00F3536C" w:rsidRPr="00A4272B" w:rsidRDefault="00F3536C" w:rsidP="00A41632">
            <w:pPr>
              <w:jc w:val="right"/>
              <w:rPr>
                <w:color w:val="000000"/>
                <w:sz w:val="14"/>
                <w:szCs w:val="14"/>
                <w:lang w:val="en-US"/>
              </w:rPr>
            </w:pPr>
            <w:r w:rsidRPr="00A4272B">
              <w:rPr>
                <w:color w:val="000000"/>
                <w:sz w:val="14"/>
                <w:szCs w:val="14"/>
                <w:lang w:val="en-US"/>
              </w:rPr>
              <w:t>50.579790</w:t>
            </w:r>
          </w:p>
        </w:tc>
        <w:tc>
          <w:tcPr>
            <w:tcW w:w="998" w:type="dxa"/>
            <w:noWrap/>
            <w:vAlign w:val="center"/>
            <w:hideMark/>
          </w:tcPr>
          <w:p w14:paraId="222A0DC3" w14:textId="77777777" w:rsidR="00F3536C" w:rsidRPr="00A4272B" w:rsidRDefault="00F3536C" w:rsidP="00A41632">
            <w:pPr>
              <w:jc w:val="right"/>
              <w:rPr>
                <w:color w:val="000000"/>
                <w:sz w:val="14"/>
                <w:szCs w:val="14"/>
                <w:lang w:val="en-US"/>
              </w:rPr>
            </w:pPr>
            <w:r w:rsidRPr="00A4272B">
              <w:rPr>
                <w:color w:val="000000"/>
                <w:sz w:val="14"/>
                <w:szCs w:val="14"/>
                <w:lang w:val="en-US"/>
              </w:rPr>
              <w:t>13.419220</w:t>
            </w:r>
          </w:p>
        </w:tc>
        <w:tc>
          <w:tcPr>
            <w:tcW w:w="859" w:type="dxa"/>
            <w:tcBorders>
              <w:top w:val="nil"/>
              <w:left w:val="nil"/>
              <w:bottom w:val="nil"/>
              <w:right w:val="single" w:sz="8" w:space="0" w:color="auto"/>
            </w:tcBorders>
            <w:noWrap/>
            <w:vAlign w:val="center"/>
            <w:hideMark/>
          </w:tcPr>
          <w:p w14:paraId="425EABC2" w14:textId="77777777" w:rsidR="00F3536C" w:rsidRPr="00A4272B" w:rsidRDefault="00F3536C" w:rsidP="00A41632">
            <w:pPr>
              <w:jc w:val="center"/>
              <w:rPr>
                <w:color w:val="000000"/>
                <w:sz w:val="14"/>
                <w:szCs w:val="14"/>
                <w:lang w:val="en-US"/>
              </w:rPr>
            </w:pPr>
            <w:r w:rsidRPr="00A4272B">
              <w:rPr>
                <w:color w:val="000000"/>
                <w:sz w:val="14"/>
                <w:szCs w:val="14"/>
                <w:lang w:val="en-US"/>
              </w:rPr>
              <w:t>852</w:t>
            </w:r>
          </w:p>
        </w:tc>
        <w:tc>
          <w:tcPr>
            <w:tcW w:w="792" w:type="dxa"/>
            <w:noWrap/>
            <w:vAlign w:val="center"/>
            <w:hideMark/>
          </w:tcPr>
          <w:p w14:paraId="44F01AF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A47B91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C93AF9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8C5369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0CAF6F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5708A70"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24037C49" w14:textId="77777777" w:rsidTr="00A41632">
        <w:trPr>
          <w:trHeight w:val="276"/>
          <w:jc w:val="center"/>
        </w:trPr>
        <w:tc>
          <w:tcPr>
            <w:tcW w:w="955" w:type="dxa"/>
            <w:tcBorders>
              <w:top w:val="nil"/>
              <w:left w:val="single" w:sz="8" w:space="0" w:color="auto"/>
              <w:bottom w:val="nil"/>
              <w:right w:val="nil"/>
            </w:tcBorders>
            <w:noWrap/>
            <w:vAlign w:val="center"/>
            <w:hideMark/>
          </w:tcPr>
          <w:p w14:paraId="7E6B46FA"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748ED61C"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26B8E297" w14:textId="77777777" w:rsidR="00F3536C" w:rsidRPr="00A4272B" w:rsidRDefault="00F3536C" w:rsidP="00A41632">
            <w:pPr>
              <w:rPr>
                <w:color w:val="000000"/>
                <w:sz w:val="14"/>
                <w:szCs w:val="14"/>
                <w:lang w:val="en-US"/>
              </w:rPr>
            </w:pPr>
            <w:r w:rsidRPr="00A4272B">
              <w:rPr>
                <w:color w:val="000000"/>
                <w:sz w:val="14"/>
                <w:szCs w:val="14"/>
                <w:lang w:val="en-US"/>
              </w:rPr>
              <w:t>Rychory (Rychory, Krkonose)</w:t>
            </w:r>
          </w:p>
        </w:tc>
        <w:tc>
          <w:tcPr>
            <w:tcW w:w="998" w:type="dxa"/>
            <w:noWrap/>
            <w:vAlign w:val="center"/>
            <w:hideMark/>
          </w:tcPr>
          <w:p w14:paraId="1DD97C6C" w14:textId="77777777" w:rsidR="00F3536C" w:rsidRPr="00A4272B" w:rsidRDefault="00F3536C" w:rsidP="00A41632">
            <w:pPr>
              <w:jc w:val="center"/>
              <w:rPr>
                <w:color w:val="000000"/>
                <w:sz w:val="14"/>
                <w:szCs w:val="14"/>
                <w:lang w:val="en-US"/>
              </w:rPr>
            </w:pPr>
            <w:r w:rsidRPr="00A4272B">
              <w:rPr>
                <w:color w:val="000000"/>
                <w:sz w:val="14"/>
                <w:szCs w:val="14"/>
                <w:lang w:val="en-US"/>
              </w:rPr>
              <w:t>49</w:t>
            </w:r>
          </w:p>
        </w:tc>
        <w:tc>
          <w:tcPr>
            <w:tcW w:w="1342" w:type="dxa"/>
            <w:noWrap/>
            <w:vAlign w:val="center"/>
            <w:hideMark/>
          </w:tcPr>
          <w:p w14:paraId="3B86EC3D"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4221B20F" w14:textId="77777777" w:rsidR="00F3536C" w:rsidRPr="00A4272B" w:rsidRDefault="00F3536C" w:rsidP="00A41632">
            <w:pPr>
              <w:jc w:val="right"/>
              <w:rPr>
                <w:color w:val="000000"/>
                <w:sz w:val="14"/>
                <w:szCs w:val="14"/>
                <w:lang w:val="en-US"/>
              </w:rPr>
            </w:pPr>
            <w:r w:rsidRPr="00A4272B">
              <w:rPr>
                <w:color w:val="000000"/>
                <w:sz w:val="14"/>
                <w:szCs w:val="14"/>
                <w:lang w:val="en-US"/>
              </w:rPr>
              <w:t>50.660460</w:t>
            </w:r>
          </w:p>
        </w:tc>
        <w:tc>
          <w:tcPr>
            <w:tcW w:w="998" w:type="dxa"/>
            <w:noWrap/>
            <w:vAlign w:val="center"/>
            <w:hideMark/>
          </w:tcPr>
          <w:p w14:paraId="21B8B162" w14:textId="77777777" w:rsidR="00F3536C" w:rsidRPr="00A4272B" w:rsidRDefault="00F3536C" w:rsidP="00A41632">
            <w:pPr>
              <w:jc w:val="right"/>
              <w:rPr>
                <w:color w:val="000000"/>
                <w:sz w:val="14"/>
                <w:szCs w:val="14"/>
                <w:lang w:val="en-US"/>
              </w:rPr>
            </w:pPr>
            <w:r w:rsidRPr="00A4272B">
              <w:rPr>
                <w:color w:val="000000"/>
                <w:sz w:val="14"/>
                <w:szCs w:val="14"/>
                <w:lang w:val="en-US"/>
              </w:rPr>
              <w:t>15.850060</w:t>
            </w:r>
          </w:p>
        </w:tc>
        <w:tc>
          <w:tcPr>
            <w:tcW w:w="859" w:type="dxa"/>
            <w:tcBorders>
              <w:top w:val="nil"/>
              <w:left w:val="nil"/>
              <w:bottom w:val="nil"/>
              <w:right w:val="single" w:sz="8" w:space="0" w:color="auto"/>
            </w:tcBorders>
            <w:noWrap/>
            <w:vAlign w:val="center"/>
            <w:hideMark/>
          </w:tcPr>
          <w:p w14:paraId="4579BE77" w14:textId="77777777" w:rsidR="00F3536C" w:rsidRPr="00A4272B" w:rsidRDefault="00F3536C" w:rsidP="00A41632">
            <w:pPr>
              <w:jc w:val="center"/>
              <w:rPr>
                <w:color w:val="000000"/>
                <w:sz w:val="14"/>
                <w:szCs w:val="14"/>
                <w:lang w:val="en-US"/>
              </w:rPr>
            </w:pPr>
            <w:r w:rsidRPr="00A4272B">
              <w:rPr>
                <w:color w:val="000000"/>
                <w:sz w:val="14"/>
                <w:szCs w:val="14"/>
                <w:lang w:val="en-US"/>
              </w:rPr>
              <w:t>948</w:t>
            </w:r>
          </w:p>
        </w:tc>
        <w:tc>
          <w:tcPr>
            <w:tcW w:w="792" w:type="dxa"/>
            <w:noWrap/>
            <w:vAlign w:val="center"/>
            <w:hideMark/>
          </w:tcPr>
          <w:p w14:paraId="6A8CA81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119FB9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CD572E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3A6A1E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A9CD58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DB997DC"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0918B9DA" w14:textId="77777777" w:rsidTr="00A41632">
        <w:trPr>
          <w:trHeight w:val="276"/>
          <w:jc w:val="center"/>
        </w:trPr>
        <w:tc>
          <w:tcPr>
            <w:tcW w:w="955" w:type="dxa"/>
            <w:tcBorders>
              <w:top w:val="nil"/>
              <w:left w:val="single" w:sz="8" w:space="0" w:color="auto"/>
              <w:bottom w:val="nil"/>
              <w:right w:val="nil"/>
            </w:tcBorders>
            <w:noWrap/>
            <w:vAlign w:val="center"/>
            <w:hideMark/>
          </w:tcPr>
          <w:p w14:paraId="34C3BA30"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53CA89B8"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1C124039" w14:textId="77777777" w:rsidR="00F3536C" w:rsidRPr="00A4272B" w:rsidRDefault="00F3536C" w:rsidP="00A41632">
            <w:pPr>
              <w:rPr>
                <w:color w:val="000000"/>
                <w:sz w:val="14"/>
                <w:szCs w:val="14"/>
                <w:lang w:val="en-US"/>
              </w:rPr>
            </w:pPr>
            <w:r w:rsidRPr="00A4272B">
              <w:rPr>
                <w:color w:val="000000"/>
                <w:sz w:val="14"/>
                <w:szCs w:val="14"/>
                <w:lang w:val="en-US"/>
              </w:rPr>
              <w:t>Sneznik (Decinsky Sneznik, Labske piskovce)</w:t>
            </w:r>
          </w:p>
        </w:tc>
        <w:tc>
          <w:tcPr>
            <w:tcW w:w="998" w:type="dxa"/>
            <w:noWrap/>
            <w:vAlign w:val="center"/>
            <w:hideMark/>
          </w:tcPr>
          <w:p w14:paraId="03367F29" w14:textId="77777777" w:rsidR="00F3536C" w:rsidRPr="00A4272B" w:rsidRDefault="00F3536C" w:rsidP="00A41632">
            <w:pPr>
              <w:jc w:val="center"/>
              <w:rPr>
                <w:color w:val="000000"/>
                <w:sz w:val="14"/>
                <w:szCs w:val="14"/>
                <w:lang w:val="en-US"/>
              </w:rPr>
            </w:pPr>
            <w:r w:rsidRPr="00A4272B">
              <w:rPr>
                <w:color w:val="000000"/>
                <w:sz w:val="14"/>
                <w:szCs w:val="14"/>
                <w:lang w:val="en-US"/>
              </w:rPr>
              <w:t>11</w:t>
            </w:r>
          </w:p>
        </w:tc>
        <w:tc>
          <w:tcPr>
            <w:tcW w:w="1342" w:type="dxa"/>
            <w:noWrap/>
            <w:vAlign w:val="center"/>
            <w:hideMark/>
          </w:tcPr>
          <w:p w14:paraId="5CB90110"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406AB35C" w14:textId="77777777" w:rsidR="00F3536C" w:rsidRPr="00A4272B" w:rsidRDefault="00F3536C" w:rsidP="00A41632">
            <w:pPr>
              <w:jc w:val="right"/>
              <w:rPr>
                <w:color w:val="000000"/>
                <w:sz w:val="14"/>
                <w:szCs w:val="14"/>
                <w:lang w:val="en-US"/>
              </w:rPr>
            </w:pPr>
            <w:r w:rsidRPr="00A4272B">
              <w:rPr>
                <w:color w:val="000000"/>
                <w:sz w:val="14"/>
                <w:szCs w:val="14"/>
                <w:lang w:val="en-US"/>
              </w:rPr>
              <w:t>50.789510</w:t>
            </w:r>
          </w:p>
        </w:tc>
        <w:tc>
          <w:tcPr>
            <w:tcW w:w="998" w:type="dxa"/>
            <w:noWrap/>
            <w:vAlign w:val="center"/>
            <w:hideMark/>
          </w:tcPr>
          <w:p w14:paraId="586F9428" w14:textId="77777777" w:rsidR="00F3536C" w:rsidRPr="00A4272B" w:rsidRDefault="00F3536C" w:rsidP="00A41632">
            <w:pPr>
              <w:jc w:val="right"/>
              <w:rPr>
                <w:color w:val="000000"/>
                <w:sz w:val="14"/>
                <w:szCs w:val="14"/>
                <w:lang w:val="en-US"/>
              </w:rPr>
            </w:pPr>
            <w:r w:rsidRPr="00A4272B">
              <w:rPr>
                <w:color w:val="000000"/>
                <w:sz w:val="14"/>
                <w:szCs w:val="14"/>
                <w:lang w:val="en-US"/>
              </w:rPr>
              <w:t>14.086840</w:t>
            </w:r>
          </w:p>
        </w:tc>
        <w:tc>
          <w:tcPr>
            <w:tcW w:w="859" w:type="dxa"/>
            <w:tcBorders>
              <w:top w:val="nil"/>
              <w:left w:val="nil"/>
              <w:bottom w:val="nil"/>
              <w:right w:val="single" w:sz="8" w:space="0" w:color="auto"/>
            </w:tcBorders>
            <w:noWrap/>
            <w:vAlign w:val="center"/>
            <w:hideMark/>
          </w:tcPr>
          <w:p w14:paraId="4B93A42A" w14:textId="77777777" w:rsidR="00F3536C" w:rsidRPr="00A4272B" w:rsidRDefault="00F3536C" w:rsidP="00A41632">
            <w:pPr>
              <w:jc w:val="center"/>
              <w:rPr>
                <w:color w:val="000000"/>
                <w:sz w:val="14"/>
                <w:szCs w:val="14"/>
                <w:lang w:val="en-US"/>
              </w:rPr>
            </w:pPr>
            <w:r w:rsidRPr="00A4272B">
              <w:rPr>
                <w:color w:val="000000"/>
                <w:sz w:val="14"/>
                <w:szCs w:val="14"/>
                <w:lang w:val="en-US"/>
              </w:rPr>
              <w:t>597</w:t>
            </w:r>
          </w:p>
        </w:tc>
        <w:tc>
          <w:tcPr>
            <w:tcW w:w="792" w:type="dxa"/>
            <w:noWrap/>
            <w:vAlign w:val="center"/>
            <w:hideMark/>
          </w:tcPr>
          <w:p w14:paraId="7A0DACB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9A87B17"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F87169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C7B8F9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B3FF4F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FA647AE"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3EDC5073" w14:textId="77777777" w:rsidTr="00A41632">
        <w:trPr>
          <w:trHeight w:val="276"/>
          <w:jc w:val="center"/>
        </w:trPr>
        <w:tc>
          <w:tcPr>
            <w:tcW w:w="955" w:type="dxa"/>
            <w:tcBorders>
              <w:top w:val="nil"/>
              <w:left w:val="single" w:sz="8" w:space="0" w:color="auto"/>
              <w:bottom w:val="nil"/>
              <w:right w:val="nil"/>
            </w:tcBorders>
            <w:noWrap/>
            <w:vAlign w:val="center"/>
            <w:hideMark/>
          </w:tcPr>
          <w:p w14:paraId="149E994B"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236B9575" w14:textId="77777777" w:rsidR="00F3536C" w:rsidRPr="00A4272B" w:rsidRDefault="00F3536C" w:rsidP="00A41632">
            <w:pPr>
              <w:rPr>
                <w:color w:val="000000"/>
                <w:sz w:val="14"/>
                <w:szCs w:val="14"/>
                <w:lang w:val="en-US"/>
              </w:rPr>
            </w:pPr>
            <w:r w:rsidRPr="00A4272B">
              <w:rPr>
                <w:color w:val="000000"/>
                <w:sz w:val="14"/>
                <w:szCs w:val="14"/>
                <w:lang w:val="en-US"/>
              </w:rPr>
              <w:t>Czech Republic</w:t>
            </w:r>
          </w:p>
        </w:tc>
        <w:tc>
          <w:tcPr>
            <w:tcW w:w="2504" w:type="dxa"/>
            <w:noWrap/>
            <w:vAlign w:val="center"/>
            <w:hideMark/>
          </w:tcPr>
          <w:p w14:paraId="715180B8" w14:textId="77777777" w:rsidR="00F3536C" w:rsidRPr="00A4272B" w:rsidRDefault="00F3536C" w:rsidP="00A41632">
            <w:pPr>
              <w:rPr>
                <w:color w:val="000000"/>
                <w:sz w:val="14"/>
                <w:szCs w:val="14"/>
                <w:lang w:val="en-US"/>
              </w:rPr>
            </w:pPr>
            <w:r w:rsidRPr="00A4272B">
              <w:rPr>
                <w:color w:val="000000"/>
                <w:sz w:val="14"/>
                <w:szCs w:val="14"/>
                <w:lang w:val="en-US"/>
              </w:rPr>
              <w:t>Svratouch [EMEP]</w:t>
            </w:r>
          </w:p>
        </w:tc>
        <w:tc>
          <w:tcPr>
            <w:tcW w:w="998" w:type="dxa"/>
            <w:noWrap/>
            <w:vAlign w:val="center"/>
            <w:hideMark/>
          </w:tcPr>
          <w:p w14:paraId="5EC3FD2A" w14:textId="77777777" w:rsidR="00F3536C" w:rsidRPr="00A4272B" w:rsidRDefault="00F3536C" w:rsidP="00A41632">
            <w:pPr>
              <w:jc w:val="center"/>
              <w:rPr>
                <w:color w:val="000000"/>
                <w:sz w:val="14"/>
                <w:szCs w:val="14"/>
                <w:lang w:val="en-US"/>
              </w:rPr>
            </w:pPr>
            <w:r w:rsidRPr="00A4272B">
              <w:rPr>
                <w:color w:val="000000"/>
                <w:sz w:val="14"/>
                <w:szCs w:val="14"/>
                <w:lang w:val="en-US"/>
              </w:rPr>
              <w:t>62</w:t>
            </w:r>
          </w:p>
        </w:tc>
        <w:tc>
          <w:tcPr>
            <w:tcW w:w="1342" w:type="dxa"/>
            <w:noWrap/>
            <w:vAlign w:val="center"/>
            <w:hideMark/>
          </w:tcPr>
          <w:p w14:paraId="1FD42ADF"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297D7518" w14:textId="77777777" w:rsidR="00F3536C" w:rsidRPr="00A4272B" w:rsidRDefault="00F3536C" w:rsidP="00A41632">
            <w:pPr>
              <w:jc w:val="right"/>
              <w:rPr>
                <w:color w:val="000000"/>
                <w:sz w:val="14"/>
                <w:szCs w:val="14"/>
                <w:lang w:val="en-US"/>
              </w:rPr>
            </w:pPr>
            <w:r w:rsidRPr="00A4272B">
              <w:rPr>
                <w:color w:val="000000"/>
                <w:sz w:val="14"/>
                <w:szCs w:val="14"/>
                <w:lang w:val="en-US"/>
              </w:rPr>
              <w:t>49.735070</w:t>
            </w:r>
          </w:p>
        </w:tc>
        <w:tc>
          <w:tcPr>
            <w:tcW w:w="998" w:type="dxa"/>
            <w:noWrap/>
            <w:vAlign w:val="center"/>
            <w:hideMark/>
          </w:tcPr>
          <w:p w14:paraId="4D01E984" w14:textId="77777777" w:rsidR="00F3536C" w:rsidRPr="00A4272B" w:rsidRDefault="00F3536C" w:rsidP="00A41632">
            <w:pPr>
              <w:jc w:val="right"/>
              <w:rPr>
                <w:color w:val="000000"/>
                <w:sz w:val="14"/>
                <w:szCs w:val="14"/>
                <w:lang w:val="en-US"/>
              </w:rPr>
            </w:pPr>
            <w:r w:rsidRPr="00A4272B">
              <w:rPr>
                <w:color w:val="000000"/>
                <w:sz w:val="14"/>
                <w:szCs w:val="14"/>
                <w:lang w:val="en-US"/>
              </w:rPr>
              <w:t>16.034130</w:t>
            </w:r>
          </w:p>
        </w:tc>
        <w:tc>
          <w:tcPr>
            <w:tcW w:w="859" w:type="dxa"/>
            <w:tcBorders>
              <w:top w:val="nil"/>
              <w:left w:val="nil"/>
              <w:bottom w:val="nil"/>
              <w:right w:val="single" w:sz="8" w:space="0" w:color="auto"/>
            </w:tcBorders>
            <w:noWrap/>
            <w:vAlign w:val="center"/>
            <w:hideMark/>
          </w:tcPr>
          <w:p w14:paraId="5D6857F3" w14:textId="77777777" w:rsidR="00F3536C" w:rsidRPr="00A4272B" w:rsidRDefault="00F3536C" w:rsidP="00A41632">
            <w:pPr>
              <w:jc w:val="center"/>
              <w:rPr>
                <w:color w:val="000000"/>
                <w:sz w:val="14"/>
                <w:szCs w:val="14"/>
                <w:lang w:val="en-US"/>
              </w:rPr>
            </w:pPr>
            <w:r w:rsidRPr="00A4272B">
              <w:rPr>
                <w:color w:val="000000"/>
                <w:sz w:val="14"/>
                <w:szCs w:val="14"/>
                <w:lang w:val="en-US"/>
              </w:rPr>
              <w:t>735</w:t>
            </w:r>
          </w:p>
        </w:tc>
        <w:tc>
          <w:tcPr>
            <w:tcW w:w="792" w:type="dxa"/>
            <w:noWrap/>
            <w:vAlign w:val="center"/>
            <w:hideMark/>
          </w:tcPr>
          <w:p w14:paraId="0702EDC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669BA3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119F3F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BB26EE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7566C8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98DC571"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520C88BA" w14:textId="77777777" w:rsidTr="00A41632">
        <w:trPr>
          <w:trHeight w:val="276"/>
          <w:jc w:val="center"/>
        </w:trPr>
        <w:tc>
          <w:tcPr>
            <w:tcW w:w="955" w:type="dxa"/>
            <w:tcBorders>
              <w:top w:val="nil"/>
              <w:left w:val="single" w:sz="8" w:space="0" w:color="auto"/>
              <w:bottom w:val="nil"/>
              <w:right w:val="nil"/>
            </w:tcBorders>
            <w:noWrap/>
            <w:vAlign w:val="center"/>
            <w:hideMark/>
          </w:tcPr>
          <w:p w14:paraId="250721CC"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1DA856AB" w14:textId="77777777" w:rsidR="00F3536C" w:rsidRPr="00A4272B" w:rsidRDefault="00F3536C" w:rsidP="00A41632">
            <w:pPr>
              <w:rPr>
                <w:color w:val="000000"/>
                <w:sz w:val="14"/>
                <w:szCs w:val="14"/>
                <w:lang w:val="en-US"/>
              </w:rPr>
            </w:pPr>
            <w:r w:rsidRPr="00A4272B">
              <w:rPr>
                <w:color w:val="000000"/>
                <w:sz w:val="14"/>
                <w:szCs w:val="14"/>
                <w:lang w:val="en-US"/>
              </w:rPr>
              <w:t>Estonia</w:t>
            </w:r>
          </w:p>
        </w:tc>
        <w:tc>
          <w:tcPr>
            <w:tcW w:w="2504" w:type="dxa"/>
            <w:noWrap/>
            <w:vAlign w:val="center"/>
            <w:hideMark/>
          </w:tcPr>
          <w:p w14:paraId="5E11A381" w14:textId="77777777" w:rsidR="00F3536C" w:rsidRPr="00A4272B" w:rsidRDefault="00F3536C" w:rsidP="00A41632">
            <w:pPr>
              <w:rPr>
                <w:color w:val="000000"/>
                <w:sz w:val="14"/>
                <w:szCs w:val="14"/>
                <w:lang w:val="en-US"/>
              </w:rPr>
            </w:pPr>
            <w:r w:rsidRPr="00A4272B">
              <w:rPr>
                <w:color w:val="000000"/>
                <w:sz w:val="14"/>
                <w:szCs w:val="14"/>
                <w:lang w:val="en-US"/>
              </w:rPr>
              <w:t>Lahemaa [EMEP]</w:t>
            </w:r>
          </w:p>
        </w:tc>
        <w:tc>
          <w:tcPr>
            <w:tcW w:w="998" w:type="dxa"/>
            <w:noWrap/>
            <w:vAlign w:val="center"/>
            <w:hideMark/>
          </w:tcPr>
          <w:p w14:paraId="65BA6D58" w14:textId="77777777" w:rsidR="00F3536C" w:rsidRPr="00A4272B" w:rsidRDefault="00F3536C" w:rsidP="00A41632">
            <w:pPr>
              <w:jc w:val="center"/>
              <w:rPr>
                <w:color w:val="000000"/>
                <w:sz w:val="14"/>
                <w:szCs w:val="14"/>
                <w:lang w:val="en-US"/>
              </w:rPr>
            </w:pPr>
            <w:r w:rsidRPr="00A4272B">
              <w:rPr>
                <w:color w:val="000000"/>
                <w:sz w:val="14"/>
                <w:szCs w:val="14"/>
                <w:lang w:val="en-US"/>
              </w:rPr>
              <w:t>194</w:t>
            </w:r>
          </w:p>
        </w:tc>
        <w:tc>
          <w:tcPr>
            <w:tcW w:w="1342" w:type="dxa"/>
            <w:noWrap/>
            <w:vAlign w:val="center"/>
            <w:hideMark/>
          </w:tcPr>
          <w:p w14:paraId="3C01AEDF"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279E7C0D" w14:textId="77777777" w:rsidR="00F3536C" w:rsidRPr="00A4272B" w:rsidRDefault="00F3536C" w:rsidP="00A41632">
            <w:pPr>
              <w:jc w:val="right"/>
              <w:rPr>
                <w:color w:val="000000"/>
                <w:sz w:val="14"/>
                <w:szCs w:val="14"/>
                <w:lang w:val="en-US"/>
              </w:rPr>
            </w:pPr>
            <w:r w:rsidRPr="00A4272B">
              <w:rPr>
                <w:color w:val="000000"/>
                <w:sz w:val="14"/>
                <w:szCs w:val="14"/>
                <w:lang w:val="en-US"/>
              </w:rPr>
              <w:t>59.515280</w:t>
            </w:r>
          </w:p>
        </w:tc>
        <w:tc>
          <w:tcPr>
            <w:tcW w:w="998" w:type="dxa"/>
            <w:noWrap/>
            <w:vAlign w:val="center"/>
            <w:hideMark/>
          </w:tcPr>
          <w:p w14:paraId="0609CCCD" w14:textId="77777777" w:rsidR="00F3536C" w:rsidRPr="00A4272B" w:rsidRDefault="00F3536C" w:rsidP="00A41632">
            <w:pPr>
              <w:jc w:val="right"/>
              <w:rPr>
                <w:color w:val="000000"/>
                <w:sz w:val="14"/>
                <w:szCs w:val="14"/>
                <w:lang w:val="en-US"/>
              </w:rPr>
            </w:pPr>
            <w:r w:rsidRPr="00A4272B">
              <w:rPr>
                <w:color w:val="000000"/>
                <w:sz w:val="14"/>
                <w:szCs w:val="14"/>
                <w:lang w:val="en-US"/>
              </w:rPr>
              <w:t>25.928050</w:t>
            </w:r>
          </w:p>
        </w:tc>
        <w:tc>
          <w:tcPr>
            <w:tcW w:w="859" w:type="dxa"/>
            <w:tcBorders>
              <w:top w:val="nil"/>
              <w:left w:val="nil"/>
              <w:bottom w:val="nil"/>
              <w:right w:val="single" w:sz="8" w:space="0" w:color="auto"/>
            </w:tcBorders>
            <w:noWrap/>
            <w:vAlign w:val="center"/>
            <w:hideMark/>
          </w:tcPr>
          <w:p w14:paraId="4102924A" w14:textId="77777777" w:rsidR="00F3536C" w:rsidRPr="00A4272B" w:rsidRDefault="00F3536C" w:rsidP="00A41632">
            <w:pPr>
              <w:jc w:val="center"/>
              <w:rPr>
                <w:color w:val="000000"/>
                <w:sz w:val="14"/>
                <w:szCs w:val="14"/>
                <w:lang w:val="en-US"/>
              </w:rPr>
            </w:pPr>
            <w:r w:rsidRPr="00A4272B">
              <w:rPr>
                <w:color w:val="000000"/>
                <w:sz w:val="14"/>
                <w:szCs w:val="14"/>
                <w:lang w:val="en-US"/>
              </w:rPr>
              <w:t>61</w:t>
            </w:r>
          </w:p>
        </w:tc>
        <w:tc>
          <w:tcPr>
            <w:tcW w:w="792" w:type="dxa"/>
            <w:noWrap/>
            <w:vAlign w:val="center"/>
            <w:hideMark/>
          </w:tcPr>
          <w:p w14:paraId="1AB2F51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E71C69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DDBF75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AAC2A0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9D4561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1F6544B"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0300C910" w14:textId="77777777" w:rsidTr="00A41632">
        <w:trPr>
          <w:trHeight w:val="276"/>
          <w:jc w:val="center"/>
        </w:trPr>
        <w:tc>
          <w:tcPr>
            <w:tcW w:w="955" w:type="dxa"/>
            <w:tcBorders>
              <w:top w:val="nil"/>
              <w:left w:val="single" w:sz="8" w:space="0" w:color="auto"/>
              <w:bottom w:val="nil"/>
              <w:right w:val="nil"/>
            </w:tcBorders>
            <w:noWrap/>
            <w:vAlign w:val="center"/>
            <w:hideMark/>
          </w:tcPr>
          <w:p w14:paraId="45E62C5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2A4037F0" w14:textId="77777777" w:rsidR="00F3536C" w:rsidRPr="00A4272B" w:rsidRDefault="00F3536C" w:rsidP="00A41632">
            <w:pPr>
              <w:rPr>
                <w:color w:val="000000"/>
                <w:sz w:val="14"/>
                <w:szCs w:val="14"/>
                <w:lang w:val="en-US"/>
              </w:rPr>
            </w:pPr>
            <w:r w:rsidRPr="00A4272B">
              <w:rPr>
                <w:color w:val="000000"/>
                <w:sz w:val="14"/>
                <w:szCs w:val="14"/>
                <w:lang w:val="en-US"/>
              </w:rPr>
              <w:t>Finland</w:t>
            </w:r>
          </w:p>
        </w:tc>
        <w:tc>
          <w:tcPr>
            <w:tcW w:w="2504" w:type="dxa"/>
            <w:noWrap/>
            <w:vAlign w:val="center"/>
            <w:hideMark/>
          </w:tcPr>
          <w:p w14:paraId="7CAEB159" w14:textId="77777777" w:rsidR="00F3536C" w:rsidRPr="00A4272B" w:rsidRDefault="00F3536C" w:rsidP="00A41632">
            <w:pPr>
              <w:rPr>
                <w:color w:val="000000"/>
                <w:sz w:val="14"/>
                <w:szCs w:val="14"/>
                <w:lang w:val="en-US"/>
              </w:rPr>
            </w:pPr>
            <w:r w:rsidRPr="00A4272B">
              <w:rPr>
                <w:color w:val="000000"/>
                <w:sz w:val="14"/>
                <w:szCs w:val="14"/>
                <w:lang w:val="en-US"/>
              </w:rPr>
              <w:t>Pallas [EMEP]</w:t>
            </w:r>
          </w:p>
        </w:tc>
        <w:tc>
          <w:tcPr>
            <w:tcW w:w="998" w:type="dxa"/>
            <w:noWrap/>
            <w:vAlign w:val="center"/>
            <w:hideMark/>
          </w:tcPr>
          <w:p w14:paraId="54D6A841" w14:textId="77777777" w:rsidR="00F3536C" w:rsidRPr="00A4272B" w:rsidRDefault="00F3536C" w:rsidP="00A41632">
            <w:pPr>
              <w:jc w:val="center"/>
              <w:rPr>
                <w:color w:val="000000"/>
                <w:sz w:val="14"/>
                <w:szCs w:val="14"/>
                <w:lang w:val="en-US"/>
              </w:rPr>
            </w:pPr>
            <w:r w:rsidRPr="00A4272B">
              <w:rPr>
                <w:color w:val="000000"/>
                <w:sz w:val="14"/>
                <w:szCs w:val="14"/>
                <w:lang w:val="en-US"/>
              </w:rPr>
              <w:t>746</w:t>
            </w:r>
          </w:p>
        </w:tc>
        <w:tc>
          <w:tcPr>
            <w:tcW w:w="1342" w:type="dxa"/>
            <w:noWrap/>
            <w:vAlign w:val="center"/>
            <w:hideMark/>
          </w:tcPr>
          <w:p w14:paraId="4A01A872"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3CA7E74B" w14:textId="77777777" w:rsidR="00F3536C" w:rsidRPr="00A4272B" w:rsidRDefault="00F3536C" w:rsidP="00A41632">
            <w:pPr>
              <w:jc w:val="right"/>
              <w:rPr>
                <w:color w:val="000000"/>
                <w:sz w:val="14"/>
                <w:szCs w:val="14"/>
                <w:lang w:val="en-US"/>
              </w:rPr>
            </w:pPr>
            <w:r w:rsidRPr="00A4272B">
              <w:rPr>
                <w:color w:val="000000"/>
                <w:sz w:val="14"/>
                <w:szCs w:val="14"/>
                <w:lang w:val="en-US"/>
              </w:rPr>
              <w:t>68.000480</w:t>
            </w:r>
          </w:p>
        </w:tc>
        <w:tc>
          <w:tcPr>
            <w:tcW w:w="998" w:type="dxa"/>
            <w:noWrap/>
            <w:vAlign w:val="center"/>
            <w:hideMark/>
          </w:tcPr>
          <w:p w14:paraId="106105D6" w14:textId="77777777" w:rsidR="00F3536C" w:rsidRPr="00A4272B" w:rsidRDefault="00F3536C" w:rsidP="00A41632">
            <w:pPr>
              <w:jc w:val="right"/>
              <w:rPr>
                <w:color w:val="000000"/>
                <w:sz w:val="14"/>
                <w:szCs w:val="14"/>
                <w:lang w:val="en-US"/>
              </w:rPr>
            </w:pPr>
            <w:r w:rsidRPr="00A4272B">
              <w:rPr>
                <w:color w:val="000000"/>
                <w:sz w:val="14"/>
                <w:szCs w:val="14"/>
                <w:lang w:val="en-US"/>
              </w:rPr>
              <w:t>24.245660</w:t>
            </w:r>
          </w:p>
        </w:tc>
        <w:tc>
          <w:tcPr>
            <w:tcW w:w="859" w:type="dxa"/>
            <w:tcBorders>
              <w:top w:val="nil"/>
              <w:left w:val="nil"/>
              <w:bottom w:val="nil"/>
              <w:right w:val="single" w:sz="8" w:space="0" w:color="auto"/>
            </w:tcBorders>
            <w:noWrap/>
            <w:vAlign w:val="center"/>
            <w:hideMark/>
          </w:tcPr>
          <w:p w14:paraId="75299132" w14:textId="77777777" w:rsidR="00F3536C" w:rsidRPr="00A4272B" w:rsidRDefault="00F3536C" w:rsidP="00A41632">
            <w:pPr>
              <w:jc w:val="center"/>
              <w:rPr>
                <w:color w:val="000000"/>
                <w:sz w:val="14"/>
                <w:szCs w:val="14"/>
                <w:lang w:val="en-US"/>
              </w:rPr>
            </w:pPr>
            <w:r w:rsidRPr="00A4272B">
              <w:rPr>
                <w:color w:val="000000"/>
                <w:sz w:val="14"/>
                <w:szCs w:val="14"/>
                <w:lang w:val="en-US"/>
              </w:rPr>
              <w:t>340</w:t>
            </w:r>
          </w:p>
        </w:tc>
        <w:tc>
          <w:tcPr>
            <w:tcW w:w="792" w:type="dxa"/>
            <w:noWrap/>
            <w:vAlign w:val="center"/>
            <w:hideMark/>
          </w:tcPr>
          <w:p w14:paraId="56B41CA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6BD203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08ACCF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7E6869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1C5F45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23AC0BC"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44A69076" w14:textId="77777777" w:rsidTr="00A41632">
        <w:trPr>
          <w:trHeight w:val="276"/>
          <w:jc w:val="center"/>
        </w:trPr>
        <w:tc>
          <w:tcPr>
            <w:tcW w:w="955" w:type="dxa"/>
            <w:tcBorders>
              <w:top w:val="nil"/>
              <w:left w:val="single" w:sz="8" w:space="0" w:color="auto"/>
              <w:bottom w:val="nil"/>
              <w:right w:val="nil"/>
            </w:tcBorders>
            <w:noWrap/>
            <w:vAlign w:val="center"/>
            <w:hideMark/>
          </w:tcPr>
          <w:p w14:paraId="502E1958"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138F1718" w14:textId="77777777" w:rsidR="00F3536C" w:rsidRPr="00A4272B" w:rsidRDefault="00F3536C" w:rsidP="00A41632">
            <w:pPr>
              <w:rPr>
                <w:color w:val="000000"/>
                <w:sz w:val="14"/>
                <w:szCs w:val="14"/>
                <w:lang w:val="en-US"/>
              </w:rPr>
            </w:pPr>
            <w:r w:rsidRPr="00A4272B">
              <w:rPr>
                <w:color w:val="000000"/>
                <w:sz w:val="14"/>
                <w:szCs w:val="14"/>
                <w:lang w:val="en-US"/>
              </w:rPr>
              <w:t>France</w:t>
            </w:r>
          </w:p>
        </w:tc>
        <w:tc>
          <w:tcPr>
            <w:tcW w:w="2504" w:type="dxa"/>
            <w:noWrap/>
            <w:vAlign w:val="center"/>
            <w:hideMark/>
          </w:tcPr>
          <w:p w14:paraId="7375C131" w14:textId="77777777" w:rsidR="00F3536C" w:rsidRPr="00A4272B" w:rsidRDefault="00F3536C" w:rsidP="00A41632">
            <w:pPr>
              <w:rPr>
                <w:color w:val="000000"/>
                <w:sz w:val="14"/>
                <w:szCs w:val="14"/>
                <w:lang w:val="en-US"/>
              </w:rPr>
            </w:pPr>
            <w:r w:rsidRPr="00A4272B">
              <w:rPr>
                <w:color w:val="000000"/>
                <w:sz w:val="14"/>
                <w:szCs w:val="14"/>
                <w:lang w:val="en-US"/>
              </w:rPr>
              <w:t>Le Montfranc [EMEP]</w:t>
            </w:r>
          </w:p>
        </w:tc>
        <w:tc>
          <w:tcPr>
            <w:tcW w:w="998" w:type="dxa"/>
            <w:noWrap/>
            <w:vAlign w:val="center"/>
            <w:hideMark/>
          </w:tcPr>
          <w:p w14:paraId="07816DF7" w14:textId="77777777" w:rsidR="00F3536C" w:rsidRPr="00A4272B" w:rsidRDefault="00F3536C" w:rsidP="00A41632">
            <w:pPr>
              <w:jc w:val="center"/>
              <w:rPr>
                <w:color w:val="000000"/>
                <w:sz w:val="14"/>
                <w:szCs w:val="14"/>
                <w:lang w:val="en-US"/>
              </w:rPr>
            </w:pPr>
            <w:r w:rsidRPr="00A4272B">
              <w:rPr>
                <w:color w:val="000000"/>
                <w:sz w:val="14"/>
                <w:szCs w:val="14"/>
                <w:lang w:val="en-US"/>
              </w:rPr>
              <w:t>748</w:t>
            </w:r>
          </w:p>
        </w:tc>
        <w:tc>
          <w:tcPr>
            <w:tcW w:w="1342" w:type="dxa"/>
            <w:noWrap/>
            <w:vAlign w:val="center"/>
            <w:hideMark/>
          </w:tcPr>
          <w:p w14:paraId="0B644545"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20C225CF" w14:textId="77777777" w:rsidR="00F3536C" w:rsidRPr="00A4272B" w:rsidRDefault="00F3536C" w:rsidP="00A41632">
            <w:pPr>
              <w:jc w:val="right"/>
              <w:rPr>
                <w:color w:val="000000"/>
                <w:sz w:val="14"/>
                <w:szCs w:val="14"/>
                <w:lang w:val="en-US"/>
              </w:rPr>
            </w:pPr>
            <w:r w:rsidRPr="00A4272B">
              <w:rPr>
                <w:color w:val="000000"/>
                <w:sz w:val="14"/>
                <w:szCs w:val="14"/>
                <w:lang w:val="en-US"/>
              </w:rPr>
              <w:t>45.809990</w:t>
            </w:r>
          </w:p>
        </w:tc>
        <w:tc>
          <w:tcPr>
            <w:tcW w:w="998" w:type="dxa"/>
            <w:noWrap/>
            <w:vAlign w:val="center"/>
            <w:hideMark/>
          </w:tcPr>
          <w:p w14:paraId="53314373" w14:textId="77777777" w:rsidR="00F3536C" w:rsidRPr="00A4272B" w:rsidRDefault="00F3536C" w:rsidP="00A41632">
            <w:pPr>
              <w:jc w:val="right"/>
              <w:rPr>
                <w:color w:val="000000"/>
                <w:sz w:val="14"/>
                <w:szCs w:val="14"/>
                <w:lang w:val="en-US"/>
              </w:rPr>
            </w:pPr>
            <w:r w:rsidRPr="00A4272B">
              <w:rPr>
                <w:color w:val="000000"/>
                <w:sz w:val="14"/>
                <w:szCs w:val="14"/>
                <w:lang w:val="en-US"/>
              </w:rPr>
              <w:t>2.060000</w:t>
            </w:r>
          </w:p>
        </w:tc>
        <w:tc>
          <w:tcPr>
            <w:tcW w:w="859" w:type="dxa"/>
            <w:tcBorders>
              <w:top w:val="nil"/>
              <w:left w:val="nil"/>
              <w:bottom w:val="nil"/>
              <w:right w:val="single" w:sz="8" w:space="0" w:color="auto"/>
            </w:tcBorders>
            <w:noWrap/>
            <w:vAlign w:val="center"/>
            <w:hideMark/>
          </w:tcPr>
          <w:p w14:paraId="23F57709" w14:textId="77777777" w:rsidR="00F3536C" w:rsidRPr="00A4272B" w:rsidRDefault="00F3536C" w:rsidP="00A41632">
            <w:pPr>
              <w:jc w:val="center"/>
              <w:rPr>
                <w:color w:val="000000"/>
                <w:sz w:val="14"/>
                <w:szCs w:val="14"/>
                <w:lang w:val="en-US"/>
              </w:rPr>
            </w:pPr>
            <w:r w:rsidRPr="00A4272B">
              <w:rPr>
                <w:color w:val="000000"/>
                <w:sz w:val="14"/>
                <w:szCs w:val="14"/>
                <w:lang w:val="en-US"/>
              </w:rPr>
              <w:t>810</w:t>
            </w:r>
          </w:p>
        </w:tc>
        <w:tc>
          <w:tcPr>
            <w:tcW w:w="792" w:type="dxa"/>
            <w:noWrap/>
            <w:vAlign w:val="center"/>
            <w:hideMark/>
          </w:tcPr>
          <w:p w14:paraId="1AE4491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2D4F9BB"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F7D56D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67A7DF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43FDF6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16B18E3"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1D652454" w14:textId="77777777" w:rsidTr="00A41632">
        <w:trPr>
          <w:trHeight w:val="276"/>
          <w:jc w:val="center"/>
        </w:trPr>
        <w:tc>
          <w:tcPr>
            <w:tcW w:w="955" w:type="dxa"/>
            <w:tcBorders>
              <w:top w:val="nil"/>
              <w:left w:val="single" w:sz="8" w:space="0" w:color="auto"/>
              <w:bottom w:val="nil"/>
              <w:right w:val="nil"/>
            </w:tcBorders>
            <w:noWrap/>
            <w:vAlign w:val="center"/>
            <w:hideMark/>
          </w:tcPr>
          <w:p w14:paraId="4500CA18"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4A55E2A5" w14:textId="77777777" w:rsidR="00F3536C" w:rsidRPr="00A4272B" w:rsidRDefault="00F3536C" w:rsidP="00A41632">
            <w:pPr>
              <w:rPr>
                <w:color w:val="000000"/>
                <w:sz w:val="14"/>
                <w:szCs w:val="14"/>
                <w:lang w:val="en-US"/>
              </w:rPr>
            </w:pPr>
            <w:r w:rsidRPr="00A4272B">
              <w:rPr>
                <w:color w:val="000000"/>
                <w:sz w:val="14"/>
                <w:szCs w:val="14"/>
                <w:lang w:val="en-US"/>
              </w:rPr>
              <w:t>France</w:t>
            </w:r>
          </w:p>
        </w:tc>
        <w:tc>
          <w:tcPr>
            <w:tcW w:w="2504" w:type="dxa"/>
            <w:noWrap/>
            <w:vAlign w:val="center"/>
            <w:hideMark/>
          </w:tcPr>
          <w:p w14:paraId="5BE4AB4E" w14:textId="77777777" w:rsidR="00F3536C" w:rsidRPr="00A4272B" w:rsidRDefault="00F3536C" w:rsidP="00A41632">
            <w:pPr>
              <w:rPr>
                <w:color w:val="000000"/>
                <w:sz w:val="14"/>
                <w:szCs w:val="14"/>
                <w:lang w:val="en-US"/>
              </w:rPr>
            </w:pPr>
            <w:r w:rsidRPr="00A4272B">
              <w:rPr>
                <w:color w:val="000000"/>
                <w:sz w:val="14"/>
                <w:szCs w:val="14"/>
                <w:lang w:val="en-US"/>
              </w:rPr>
              <w:t>Peyrusse Vieille [EMEP]</w:t>
            </w:r>
          </w:p>
        </w:tc>
        <w:tc>
          <w:tcPr>
            <w:tcW w:w="998" w:type="dxa"/>
            <w:noWrap/>
            <w:vAlign w:val="center"/>
            <w:hideMark/>
          </w:tcPr>
          <w:p w14:paraId="6E8CC798" w14:textId="77777777" w:rsidR="00F3536C" w:rsidRPr="00A4272B" w:rsidRDefault="00F3536C" w:rsidP="00A41632">
            <w:pPr>
              <w:jc w:val="center"/>
              <w:rPr>
                <w:color w:val="000000"/>
                <w:sz w:val="14"/>
                <w:szCs w:val="14"/>
                <w:lang w:val="en-US"/>
              </w:rPr>
            </w:pPr>
            <w:r w:rsidRPr="00A4272B">
              <w:rPr>
                <w:color w:val="000000"/>
                <w:sz w:val="14"/>
                <w:szCs w:val="14"/>
                <w:lang w:val="en-US"/>
              </w:rPr>
              <w:t>749</w:t>
            </w:r>
          </w:p>
        </w:tc>
        <w:tc>
          <w:tcPr>
            <w:tcW w:w="1342" w:type="dxa"/>
            <w:noWrap/>
            <w:vAlign w:val="center"/>
            <w:hideMark/>
          </w:tcPr>
          <w:p w14:paraId="29D20084"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786A89D0" w14:textId="77777777" w:rsidR="00F3536C" w:rsidRPr="00A4272B" w:rsidRDefault="00F3536C" w:rsidP="00A41632">
            <w:pPr>
              <w:jc w:val="right"/>
              <w:rPr>
                <w:color w:val="000000"/>
                <w:sz w:val="14"/>
                <w:szCs w:val="14"/>
                <w:lang w:val="en-US"/>
              </w:rPr>
            </w:pPr>
            <w:r w:rsidRPr="00A4272B">
              <w:rPr>
                <w:color w:val="000000"/>
                <w:sz w:val="14"/>
                <w:szCs w:val="14"/>
                <w:lang w:val="en-US"/>
              </w:rPr>
              <w:t>43.630270</w:t>
            </w:r>
          </w:p>
        </w:tc>
        <w:tc>
          <w:tcPr>
            <w:tcW w:w="998" w:type="dxa"/>
            <w:noWrap/>
            <w:vAlign w:val="center"/>
            <w:hideMark/>
          </w:tcPr>
          <w:p w14:paraId="2A35E3CE" w14:textId="77777777" w:rsidR="00F3536C" w:rsidRPr="00A4272B" w:rsidRDefault="00F3536C" w:rsidP="00A41632">
            <w:pPr>
              <w:jc w:val="right"/>
              <w:rPr>
                <w:color w:val="000000"/>
                <w:sz w:val="14"/>
                <w:szCs w:val="14"/>
                <w:lang w:val="en-US"/>
              </w:rPr>
            </w:pPr>
            <w:r w:rsidRPr="00A4272B">
              <w:rPr>
                <w:color w:val="000000"/>
                <w:sz w:val="14"/>
                <w:szCs w:val="14"/>
                <w:lang w:val="en-US"/>
              </w:rPr>
              <w:t>0.179722</w:t>
            </w:r>
          </w:p>
        </w:tc>
        <w:tc>
          <w:tcPr>
            <w:tcW w:w="859" w:type="dxa"/>
            <w:tcBorders>
              <w:top w:val="nil"/>
              <w:left w:val="nil"/>
              <w:bottom w:val="nil"/>
              <w:right w:val="single" w:sz="8" w:space="0" w:color="auto"/>
            </w:tcBorders>
            <w:noWrap/>
            <w:vAlign w:val="center"/>
            <w:hideMark/>
          </w:tcPr>
          <w:p w14:paraId="70711765" w14:textId="77777777" w:rsidR="00F3536C" w:rsidRPr="00A4272B" w:rsidRDefault="00F3536C" w:rsidP="00A41632">
            <w:pPr>
              <w:jc w:val="center"/>
              <w:rPr>
                <w:color w:val="000000"/>
                <w:sz w:val="14"/>
                <w:szCs w:val="14"/>
                <w:lang w:val="en-US"/>
              </w:rPr>
            </w:pPr>
            <w:r w:rsidRPr="00A4272B">
              <w:rPr>
                <w:color w:val="000000"/>
                <w:sz w:val="14"/>
                <w:szCs w:val="14"/>
                <w:lang w:val="en-US"/>
              </w:rPr>
              <w:t>175</w:t>
            </w:r>
          </w:p>
        </w:tc>
        <w:tc>
          <w:tcPr>
            <w:tcW w:w="792" w:type="dxa"/>
            <w:noWrap/>
            <w:vAlign w:val="center"/>
            <w:hideMark/>
          </w:tcPr>
          <w:p w14:paraId="3D9B7B6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0DAB04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0A9900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407162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EEA16E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57CBCD6"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1A669AB0" w14:textId="77777777" w:rsidTr="00A41632">
        <w:trPr>
          <w:trHeight w:val="276"/>
          <w:jc w:val="center"/>
        </w:trPr>
        <w:tc>
          <w:tcPr>
            <w:tcW w:w="955" w:type="dxa"/>
            <w:tcBorders>
              <w:top w:val="nil"/>
              <w:left w:val="single" w:sz="8" w:space="0" w:color="auto"/>
              <w:bottom w:val="nil"/>
              <w:right w:val="nil"/>
            </w:tcBorders>
            <w:noWrap/>
            <w:vAlign w:val="center"/>
            <w:hideMark/>
          </w:tcPr>
          <w:p w14:paraId="4C2F620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50D0E3F6" w14:textId="77777777" w:rsidR="00F3536C" w:rsidRPr="00A4272B" w:rsidRDefault="00F3536C" w:rsidP="00A41632">
            <w:pPr>
              <w:rPr>
                <w:color w:val="000000"/>
                <w:sz w:val="14"/>
                <w:szCs w:val="14"/>
                <w:lang w:val="en-US"/>
              </w:rPr>
            </w:pPr>
            <w:r w:rsidRPr="00A4272B">
              <w:rPr>
                <w:color w:val="000000"/>
                <w:sz w:val="14"/>
                <w:szCs w:val="14"/>
                <w:lang w:val="en-US"/>
              </w:rPr>
              <w:t>Hungary</w:t>
            </w:r>
          </w:p>
        </w:tc>
        <w:tc>
          <w:tcPr>
            <w:tcW w:w="2504" w:type="dxa"/>
            <w:noWrap/>
            <w:vAlign w:val="center"/>
            <w:hideMark/>
          </w:tcPr>
          <w:p w14:paraId="78C63565" w14:textId="77777777" w:rsidR="00F3536C" w:rsidRPr="00A4272B" w:rsidRDefault="00F3536C" w:rsidP="00A41632">
            <w:pPr>
              <w:rPr>
                <w:color w:val="000000"/>
                <w:sz w:val="14"/>
                <w:szCs w:val="14"/>
                <w:lang w:val="en-US"/>
              </w:rPr>
            </w:pPr>
            <w:r w:rsidRPr="00A4272B">
              <w:rPr>
                <w:color w:val="000000"/>
                <w:sz w:val="14"/>
                <w:szCs w:val="14"/>
                <w:lang w:val="en-US"/>
              </w:rPr>
              <w:t>K-puszta [EMEP]</w:t>
            </w:r>
          </w:p>
        </w:tc>
        <w:tc>
          <w:tcPr>
            <w:tcW w:w="998" w:type="dxa"/>
            <w:noWrap/>
            <w:vAlign w:val="center"/>
            <w:hideMark/>
          </w:tcPr>
          <w:p w14:paraId="66FB6C82" w14:textId="77777777" w:rsidR="00F3536C" w:rsidRPr="00A4272B" w:rsidRDefault="00F3536C" w:rsidP="00A41632">
            <w:pPr>
              <w:jc w:val="center"/>
              <w:rPr>
                <w:color w:val="000000"/>
                <w:sz w:val="14"/>
                <w:szCs w:val="14"/>
                <w:lang w:val="en-US"/>
              </w:rPr>
            </w:pPr>
            <w:r w:rsidRPr="00A4272B">
              <w:rPr>
                <w:color w:val="000000"/>
                <w:sz w:val="14"/>
                <w:szCs w:val="14"/>
                <w:lang w:val="en-US"/>
              </w:rPr>
              <w:t>753</w:t>
            </w:r>
          </w:p>
        </w:tc>
        <w:tc>
          <w:tcPr>
            <w:tcW w:w="1342" w:type="dxa"/>
            <w:noWrap/>
            <w:vAlign w:val="center"/>
            <w:hideMark/>
          </w:tcPr>
          <w:p w14:paraId="567EAB24"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54785DD7" w14:textId="77777777" w:rsidR="00F3536C" w:rsidRPr="00A4272B" w:rsidRDefault="00F3536C" w:rsidP="00A41632">
            <w:pPr>
              <w:jc w:val="right"/>
              <w:rPr>
                <w:color w:val="000000"/>
                <w:sz w:val="14"/>
                <w:szCs w:val="14"/>
                <w:lang w:val="en-US"/>
              </w:rPr>
            </w:pPr>
            <w:r w:rsidRPr="00A4272B">
              <w:rPr>
                <w:color w:val="000000"/>
                <w:sz w:val="14"/>
                <w:szCs w:val="14"/>
                <w:lang w:val="en-US"/>
              </w:rPr>
              <w:t>46.967500</w:t>
            </w:r>
          </w:p>
        </w:tc>
        <w:tc>
          <w:tcPr>
            <w:tcW w:w="998" w:type="dxa"/>
            <w:noWrap/>
            <w:vAlign w:val="center"/>
            <w:hideMark/>
          </w:tcPr>
          <w:p w14:paraId="28B4F22D" w14:textId="77777777" w:rsidR="00F3536C" w:rsidRPr="00A4272B" w:rsidRDefault="00F3536C" w:rsidP="00A41632">
            <w:pPr>
              <w:jc w:val="right"/>
              <w:rPr>
                <w:color w:val="000000"/>
                <w:sz w:val="14"/>
                <w:szCs w:val="14"/>
                <w:lang w:val="en-US"/>
              </w:rPr>
            </w:pPr>
            <w:r w:rsidRPr="00A4272B">
              <w:rPr>
                <w:color w:val="000000"/>
                <w:sz w:val="14"/>
                <w:szCs w:val="14"/>
                <w:lang w:val="en-US"/>
              </w:rPr>
              <w:t>19.553060</w:t>
            </w:r>
          </w:p>
        </w:tc>
        <w:tc>
          <w:tcPr>
            <w:tcW w:w="859" w:type="dxa"/>
            <w:tcBorders>
              <w:top w:val="nil"/>
              <w:left w:val="nil"/>
              <w:bottom w:val="nil"/>
              <w:right w:val="single" w:sz="8" w:space="0" w:color="auto"/>
            </w:tcBorders>
            <w:noWrap/>
            <w:vAlign w:val="center"/>
            <w:hideMark/>
          </w:tcPr>
          <w:p w14:paraId="40BB5F7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F4B58F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8A1B12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E1738C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BEB23C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6C88D8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6EAD7D4"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01429A12" w14:textId="77777777" w:rsidTr="00A41632">
        <w:trPr>
          <w:trHeight w:val="276"/>
          <w:jc w:val="center"/>
        </w:trPr>
        <w:tc>
          <w:tcPr>
            <w:tcW w:w="955" w:type="dxa"/>
            <w:tcBorders>
              <w:top w:val="nil"/>
              <w:left w:val="single" w:sz="8" w:space="0" w:color="auto"/>
              <w:bottom w:val="nil"/>
              <w:right w:val="nil"/>
            </w:tcBorders>
            <w:noWrap/>
            <w:vAlign w:val="center"/>
            <w:hideMark/>
          </w:tcPr>
          <w:p w14:paraId="6D490E07"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26AC164F" w14:textId="77777777" w:rsidR="00F3536C" w:rsidRPr="00A4272B" w:rsidRDefault="00F3536C" w:rsidP="00A41632">
            <w:pPr>
              <w:rPr>
                <w:color w:val="000000"/>
                <w:sz w:val="14"/>
                <w:szCs w:val="14"/>
                <w:lang w:val="en-US"/>
              </w:rPr>
            </w:pPr>
            <w:r w:rsidRPr="00A4272B">
              <w:rPr>
                <w:color w:val="000000"/>
                <w:sz w:val="14"/>
                <w:szCs w:val="14"/>
                <w:lang w:val="en-US"/>
              </w:rPr>
              <w:t>Iceland</w:t>
            </w:r>
          </w:p>
        </w:tc>
        <w:tc>
          <w:tcPr>
            <w:tcW w:w="2504" w:type="dxa"/>
            <w:noWrap/>
            <w:vAlign w:val="center"/>
            <w:hideMark/>
          </w:tcPr>
          <w:p w14:paraId="32E0A09A" w14:textId="77777777" w:rsidR="00F3536C" w:rsidRPr="00A4272B" w:rsidRDefault="00F3536C" w:rsidP="00A41632">
            <w:pPr>
              <w:rPr>
                <w:color w:val="000000"/>
                <w:sz w:val="14"/>
                <w:szCs w:val="14"/>
                <w:lang w:val="en-US"/>
              </w:rPr>
            </w:pPr>
            <w:r w:rsidRPr="00A4272B">
              <w:rPr>
                <w:color w:val="000000"/>
                <w:sz w:val="14"/>
                <w:szCs w:val="14"/>
                <w:lang w:val="en-US"/>
              </w:rPr>
              <w:t>Storhofdi [EMEP]</w:t>
            </w:r>
          </w:p>
        </w:tc>
        <w:tc>
          <w:tcPr>
            <w:tcW w:w="998" w:type="dxa"/>
            <w:noWrap/>
            <w:vAlign w:val="center"/>
            <w:hideMark/>
          </w:tcPr>
          <w:p w14:paraId="6E7E0DDB" w14:textId="77777777" w:rsidR="00F3536C" w:rsidRPr="00A4272B" w:rsidRDefault="00F3536C" w:rsidP="00A41632">
            <w:pPr>
              <w:jc w:val="center"/>
              <w:rPr>
                <w:color w:val="000000"/>
                <w:sz w:val="14"/>
                <w:szCs w:val="14"/>
                <w:lang w:val="en-US"/>
              </w:rPr>
            </w:pPr>
            <w:r w:rsidRPr="00A4272B">
              <w:rPr>
                <w:color w:val="000000"/>
                <w:sz w:val="14"/>
                <w:szCs w:val="14"/>
                <w:lang w:val="en-US"/>
              </w:rPr>
              <w:t>754</w:t>
            </w:r>
          </w:p>
        </w:tc>
        <w:tc>
          <w:tcPr>
            <w:tcW w:w="1342" w:type="dxa"/>
            <w:noWrap/>
            <w:vAlign w:val="center"/>
            <w:hideMark/>
          </w:tcPr>
          <w:p w14:paraId="74E6898F"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4B382EA8" w14:textId="77777777" w:rsidR="00F3536C" w:rsidRPr="00A4272B" w:rsidRDefault="00F3536C" w:rsidP="00A41632">
            <w:pPr>
              <w:jc w:val="right"/>
              <w:rPr>
                <w:color w:val="000000"/>
                <w:sz w:val="14"/>
                <w:szCs w:val="14"/>
                <w:lang w:val="en-US"/>
              </w:rPr>
            </w:pPr>
            <w:r w:rsidRPr="00A4272B">
              <w:rPr>
                <w:color w:val="000000"/>
                <w:sz w:val="14"/>
                <w:szCs w:val="14"/>
                <w:lang w:val="en-US"/>
              </w:rPr>
              <w:t>63.400000</w:t>
            </w:r>
          </w:p>
        </w:tc>
        <w:tc>
          <w:tcPr>
            <w:tcW w:w="998" w:type="dxa"/>
            <w:noWrap/>
            <w:vAlign w:val="center"/>
            <w:hideMark/>
          </w:tcPr>
          <w:p w14:paraId="4562B8AD" w14:textId="77777777" w:rsidR="00F3536C" w:rsidRPr="00A4272B" w:rsidRDefault="00F3536C" w:rsidP="00A41632">
            <w:pPr>
              <w:jc w:val="right"/>
              <w:rPr>
                <w:color w:val="000000"/>
                <w:sz w:val="14"/>
                <w:szCs w:val="14"/>
                <w:lang w:val="en-US"/>
              </w:rPr>
            </w:pPr>
            <w:r w:rsidRPr="00A4272B">
              <w:rPr>
                <w:color w:val="000000"/>
                <w:sz w:val="14"/>
                <w:szCs w:val="14"/>
                <w:lang w:val="en-US"/>
              </w:rPr>
              <w:t>-20.283330</w:t>
            </w:r>
          </w:p>
        </w:tc>
        <w:tc>
          <w:tcPr>
            <w:tcW w:w="859" w:type="dxa"/>
            <w:tcBorders>
              <w:top w:val="nil"/>
              <w:left w:val="nil"/>
              <w:bottom w:val="nil"/>
              <w:right w:val="single" w:sz="8" w:space="0" w:color="auto"/>
            </w:tcBorders>
            <w:noWrap/>
            <w:vAlign w:val="center"/>
            <w:hideMark/>
          </w:tcPr>
          <w:p w14:paraId="77538FEC" w14:textId="77777777" w:rsidR="00F3536C" w:rsidRPr="00A4272B" w:rsidRDefault="00F3536C" w:rsidP="00A41632">
            <w:pPr>
              <w:jc w:val="center"/>
              <w:rPr>
                <w:color w:val="000000"/>
                <w:sz w:val="14"/>
                <w:szCs w:val="14"/>
                <w:lang w:val="en-US"/>
              </w:rPr>
            </w:pPr>
            <w:r w:rsidRPr="00A4272B">
              <w:rPr>
                <w:color w:val="000000"/>
                <w:sz w:val="14"/>
                <w:szCs w:val="14"/>
                <w:lang w:val="en-US"/>
              </w:rPr>
              <w:t>118</w:t>
            </w:r>
          </w:p>
        </w:tc>
        <w:tc>
          <w:tcPr>
            <w:tcW w:w="792" w:type="dxa"/>
            <w:noWrap/>
            <w:vAlign w:val="center"/>
            <w:hideMark/>
          </w:tcPr>
          <w:p w14:paraId="5BC5511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BC498A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021FCF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2F25A9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689F19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5058EC3"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536D8F20" w14:textId="77777777" w:rsidTr="00A41632">
        <w:trPr>
          <w:trHeight w:val="276"/>
          <w:jc w:val="center"/>
        </w:trPr>
        <w:tc>
          <w:tcPr>
            <w:tcW w:w="955" w:type="dxa"/>
            <w:tcBorders>
              <w:top w:val="nil"/>
              <w:left w:val="single" w:sz="8" w:space="0" w:color="auto"/>
              <w:bottom w:val="nil"/>
              <w:right w:val="nil"/>
            </w:tcBorders>
            <w:noWrap/>
            <w:vAlign w:val="center"/>
            <w:hideMark/>
          </w:tcPr>
          <w:p w14:paraId="731D661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49E2CAD0" w14:textId="77777777" w:rsidR="00F3536C" w:rsidRPr="00A4272B" w:rsidRDefault="00F3536C" w:rsidP="00A41632">
            <w:pPr>
              <w:rPr>
                <w:color w:val="000000"/>
                <w:sz w:val="14"/>
                <w:szCs w:val="14"/>
                <w:lang w:val="en-US"/>
              </w:rPr>
            </w:pPr>
            <w:r w:rsidRPr="00A4272B">
              <w:rPr>
                <w:color w:val="000000"/>
                <w:sz w:val="14"/>
                <w:szCs w:val="14"/>
                <w:lang w:val="en-US"/>
              </w:rPr>
              <w:t>Latvia</w:t>
            </w:r>
          </w:p>
        </w:tc>
        <w:tc>
          <w:tcPr>
            <w:tcW w:w="2504" w:type="dxa"/>
            <w:noWrap/>
            <w:vAlign w:val="center"/>
            <w:hideMark/>
          </w:tcPr>
          <w:p w14:paraId="1C8B6B00" w14:textId="77777777" w:rsidR="00F3536C" w:rsidRPr="00A4272B" w:rsidRDefault="00F3536C" w:rsidP="00A41632">
            <w:pPr>
              <w:rPr>
                <w:color w:val="000000"/>
                <w:sz w:val="14"/>
                <w:szCs w:val="14"/>
                <w:lang w:val="en-US"/>
              </w:rPr>
            </w:pPr>
            <w:r w:rsidRPr="00A4272B">
              <w:rPr>
                <w:color w:val="000000"/>
                <w:sz w:val="14"/>
                <w:szCs w:val="14"/>
                <w:lang w:val="en-US"/>
              </w:rPr>
              <w:t>Rucava [EMEP]</w:t>
            </w:r>
          </w:p>
        </w:tc>
        <w:tc>
          <w:tcPr>
            <w:tcW w:w="998" w:type="dxa"/>
            <w:noWrap/>
            <w:vAlign w:val="center"/>
            <w:hideMark/>
          </w:tcPr>
          <w:p w14:paraId="2B94A5E2" w14:textId="77777777" w:rsidR="00F3536C" w:rsidRPr="00A4272B" w:rsidRDefault="00F3536C" w:rsidP="00A41632">
            <w:pPr>
              <w:jc w:val="center"/>
              <w:rPr>
                <w:color w:val="000000"/>
                <w:sz w:val="14"/>
                <w:szCs w:val="14"/>
                <w:lang w:val="en-US"/>
              </w:rPr>
            </w:pPr>
            <w:r w:rsidRPr="00A4272B">
              <w:rPr>
                <w:color w:val="000000"/>
                <w:sz w:val="14"/>
                <w:szCs w:val="14"/>
                <w:lang w:val="en-US"/>
              </w:rPr>
              <w:t>236</w:t>
            </w:r>
          </w:p>
        </w:tc>
        <w:tc>
          <w:tcPr>
            <w:tcW w:w="1342" w:type="dxa"/>
            <w:noWrap/>
            <w:vAlign w:val="center"/>
            <w:hideMark/>
          </w:tcPr>
          <w:p w14:paraId="00ACA280"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79E2C257" w14:textId="77777777" w:rsidR="00F3536C" w:rsidRPr="00A4272B" w:rsidRDefault="00F3536C" w:rsidP="00A41632">
            <w:pPr>
              <w:jc w:val="right"/>
              <w:rPr>
                <w:color w:val="000000"/>
                <w:sz w:val="14"/>
                <w:szCs w:val="14"/>
                <w:lang w:val="en-US"/>
              </w:rPr>
            </w:pPr>
            <w:r w:rsidRPr="00A4272B">
              <w:rPr>
                <w:color w:val="000000"/>
                <w:sz w:val="14"/>
                <w:szCs w:val="14"/>
                <w:lang w:val="en-US"/>
              </w:rPr>
              <w:t>56.161960</w:t>
            </w:r>
          </w:p>
        </w:tc>
        <w:tc>
          <w:tcPr>
            <w:tcW w:w="998" w:type="dxa"/>
            <w:noWrap/>
            <w:vAlign w:val="center"/>
            <w:hideMark/>
          </w:tcPr>
          <w:p w14:paraId="0B468C81" w14:textId="77777777" w:rsidR="00F3536C" w:rsidRPr="00A4272B" w:rsidRDefault="00F3536C" w:rsidP="00A41632">
            <w:pPr>
              <w:jc w:val="right"/>
              <w:rPr>
                <w:color w:val="000000"/>
                <w:sz w:val="14"/>
                <w:szCs w:val="14"/>
                <w:lang w:val="en-US"/>
              </w:rPr>
            </w:pPr>
            <w:r w:rsidRPr="00A4272B">
              <w:rPr>
                <w:color w:val="000000"/>
                <w:sz w:val="14"/>
                <w:szCs w:val="14"/>
                <w:lang w:val="en-US"/>
              </w:rPr>
              <w:t>21.173220</w:t>
            </w:r>
          </w:p>
        </w:tc>
        <w:tc>
          <w:tcPr>
            <w:tcW w:w="859" w:type="dxa"/>
            <w:tcBorders>
              <w:top w:val="nil"/>
              <w:left w:val="nil"/>
              <w:bottom w:val="nil"/>
              <w:right w:val="single" w:sz="8" w:space="0" w:color="auto"/>
            </w:tcBorders>
            <w:noWrap/>
            <w:vAlign w:val="center"/>
            <w:hideMark/>
          </w:tcPr>
          <w:p w14:paraId="2C88EA7C" w14:textId="77777777" w:rsidR="00F3536C" w:rsidRPr="00A4272B" w:rsidRDefault="00F3536C" w:rsidP="00A41632">
            <w:pPr>
              <w:jc w:val="center"/>
              <w:rPr>
                <w:color w:val="000000"/>
                <w:sz w:val="14"/>
                <w:szCs w:val="14"/>
                <w:lang w:val="en-US"/>
              </w:rPr>
            </w:pPr>
            <w:r w:rsidRPr="00A4272B">
              <w:rPr>
                <w:color w:val="000000"/>
                <w:sz w:val="14"/>
                <w:szCs w:val="14"/>
                <w:lang w:val="en-US"/>
              </w:rPr>
              <w:t>16</w:t>
            </w:r>
          </w:p>
        </w:tc>
        <w:tc>
          <w:tcPr>
            <w:tcW w:w="792" w:type="dxa"/>
            <w:noWrap/>
            <w:vAlign w:val="center"/>
            <w:hideMark/>
          </w:tcPr>
          <w:p w14:paraId="1B9864A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05AFB3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D6459E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DDAB6F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AAAABF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0937148"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1ABAB9CA" w14:textId="77777777" w:rsidTr="00A41632">
        <w:trPr>
          <w:trHeight w:val="276"/>
          <w:jc w:val="center"/>
        </w:trPr>
        <w:tc>
          <w:tcPr>
            <w:tcW w:w="955" w:type="dxa"/>
            <w:tcBorders>
              <w:top w:val="nil"/>
              <w:left w:val="single" w:sz="8" w:space="0" w:color="auto"/>
              <w:bottom w:val="nil"/>
              <w:right w:val="nil"/>
            </w:tcBorders>
            <w:noWrap/>
            <w:vAlign w:val="center"/>
            <w:hideMark/>
          </w:tcPr>
          <w:p w14:paraId="2D18B2C4" w14:textId="77777777" w:rsidR="00F3536C" w:rsidRPr="00A4272B" w:rsidRDefault="00F3536C" w:rsidP="00A41632">
            <w:pPr>
              <w:rPr>
                <w:color w:val="000000"/>
                <w:sz w:val="14"/>
                <w:szCs w:val="14"/>
                <w:lang w:val="en-US"/>
              </w:rPr>
            </w:pPr>
            <w:r w:rsidRPr="00A4272B">
              <w:rPr>
                <w:color w:val="000000"/>
                <w:sz w:val="14"/>
                <w:szCs w:val="14"/>
                <w:lang w:val="en-US"/>
              </w:rPr>
              <w:lastRenderedPageBreak/>
              <w:t>MONET</w:t>
            </w:r>
          </w:p>
        </w:tc>
        <w:tc>
          <w:tcPr>
            <w:tcW w:w="1391" w:type="dxa"/>
            <w:noWrap/>
            <w:vAlign w:val="center"/>
            <w:hideMark/>
          </w:tcPr>
          <w:p w14:paraId="278ED183" w14:textId="77777777" w:rsidR="00F3536C" w:rsidRPr="00A4272B" w:rsidRDefault="00F3536C" w:rsidP="00A41632">
            <w:pPr>
              <w:rPr>
                <w:color w:val="000000"/>
                <w:sz w:val="14"/>
                <w:szCs w:val="14"/>
                <w:lang w:val="en-US"/>
              </w:rPr>
            </w:pPr>
            <w:r w:rsidRPr="00A4272B">
              <w:rPr>
                <w:color w:val="000000"/>
                <w:sz w:val="14"/>
                <w:szCs w:val="14"/>
                <w:lang w:val="en-US"/>
              </w:rPr>
              <w:t>Lithuania</w:t>
            </w:r>
          </w:p>
        </w:tc>
        <w:tc>
          <w:tcPr>
            <w:tcW w:w="2504" w:type="dxa"/>
            <w:noWrap/>
            <w:vAlign w:val="center"/>
            <w:hideMark/>
          </w:tcPr>
          <w:p w14:paraId="2D084CEF" w14:textId="77777777" w:rsidR="00F3536C" w:rsidRPr="00A4272B" w:rsidRDefault="00F3536C" w:rsidP="00A41632">
            <w:pPr>
              <w:rPr>
                <w:color w:val="000000"/>
                <w:sz w:val="14"/>
                <w:szCs w:val="14"/>
                <w:lang w:val="en-US"/>
              </w:rPr>
            </w:pPr>
            <w:r w:rsidRPr="00A4272B">
              <w:rPr>
                <w:color w:val="000000"/>
                <w:sz w:val="14"/>
                <w:szCs w:val="14"/>
                <w:lang w:val="en-US"/>
              </w:rPr>
              <w:t>Plateliai</w:t>
            </w:r>
          </w:p>
        </w:tc>
        <w:tc>
          <w:tcPr>
            <w:tcW w:w="998" w:type="dxa"/>
            <w:noWrap/>
            <w:vAlign w:val="center"/>
            <w:hideMark/>
          </w:tcPr>
          <w:p w14:paraId="327C2519" w14:textId="77777777" w:rsidR="00F3536C" w:rsidRPr="00A4272B" w:rsidRDefault="00F3536C" w:rsidP="00A41632">
            <w:pPr>
              <w:jc w:val="center"/>
              <w:rPr>
                <w:color w:val="000000"/>
                <w:sz w:val="14"/>
                <w:szCs w:val="14"/>
                <w:lang w:val="en-US"/>
              </w:rPr>
            </w:pPr>
            <w:r w:rsidRPr="00A4272B">
              <w:rPr>
                <w:color w:val="000000"/>
                <w:sz w:val="14"/>
                <w:szCs w:val="14"/>
                <w:lang w:val="en-US"/>
              </w:rPr>
              <w:t>232</w:t>
            </w:r>
          </w:p>
        </w:tc>
        <w:tc>
          <w:tcPr>
            <w:tcW w:w="1342" w:type="dxa"/>
            <w:noWrap/>
            <w:vAlign w:val="center"/>
            <w:hideMark/>
          </w:tcPr>
          <w:p w14:paraId="5FA7F35E"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49303B55" w14:textId="77777777" w:rsidR="00F3536C" w:rsidRPr="00A4272B" w:rsidRDefault="00F3536C" w:rsidP="00A41632">
            <w:pPr>
              <w:jc w:val="right"/>
              <w:rPr>
                <w:color w:val="000000"/>
                <w:sz w:val="14"/>
                <w:szCs w:val="14"/>
                <w:lang w:val="en-US"/>
              </w:rPr>
            </w:pPr>
            <w:r w:rsidRPr="00A4272B">
              <w:rPr>
                <w:color w:val="000000"/>
                <w:sz w:val="14"/>
                <w:szCs w:val="14"/>
                <w:lang w:val="en-US"/>
              </w:rPr>
              <w:t>56.010000</w:t>
            </w:r>
          </w:p>
        </w:tc>
        <w:tc>
          <w:tcPr>
            <w:tcW w:w="998" w:type="dxa"/>
            <w:noWrap/>
            <w:vAlign w:val="center"/>
            <w:hideMark/>
          </w:tcPr>
          <w:p w14:paraId="5A611214" w14:textId="77777777" w:rsidR="00F3536C" w:rsidRPr="00A4272B" w:rsidRDefault="00F3536C" w:rsidP="00A41632">
            <w:pPr>
              <w:jc w:val="right"/>
              <w:rPr>
                <w:color w:val="000000"/>
                <w:sz w:val="14"/>
                <w:szCs w:val="14"/>
                <w:lang w:val="en-US"/>
              </w:rPr>
            </w:pPr>
            <w:r w:rsidRPr="00A4272B">
              <w:rPr>
                <w:color w:val="000000"/>
                <w:sz w:val="14"/>
                <w:szCs w:val="14"/>
                <w:lang w:val="en-US"/>
              </w:rPr>
              <w:t>21.886950</w:t>
            </w:r>
          </w:p>
        </w:tc>
        <w:tc>
          <w:tcPr>
            <w:tcW w:w="859" w:type="dxa"/>
            <w:tcBorders>
              <w:top w:val="nil"/>
              <w:left w:val="nil"/>
              <w:bottom w:val="nil"/>
              <w:right w:val="single" w:sz="8" w:space="0" w:color="auto"/>
            </w:tcBorders>
            <w:noWrap/>
            <w:vAlign w:val="center"/>
            <w:hideMark/>
          </w:tcPr>
          <w:p w14:paraId="58FF802D" w14:textId="77777777" w:rsidR="00F3536C" w:rsidRPr="00A4272B" w:rsidRDefault="00F3536C" w:rsidP="00A41632">
            <w:pPr>
              <w:jc w:val="center"/>
              <w:rPr>
                <w:color w:val="000000"/>
                <w:sz w:val="14"/>
                <w:szCs w:val="14"/>
                <w:lang w:val="en-US"/>
              </w:rPr>
            </w:pPr>
            <w:r w:rsidRPr="00A4272B">
              <w:rPr>
                <w:color w:val="000000"/>
                <w:sz w:val="14"/>
                <w:szCs w:val="14"/>
                <w:lang w:val="en-US"/>
              </w:rPr>
              <w:t>150</w:t>
            </w:r>
          </w:p>
        </w:tc>
        <w:tc>
          <w:tcPr>
            <w:tcW w:w="792" w:type="dxa"/>
            <w:noWrap/>
            <w:vAlign w:val="center"/>
            <w:hideMark/>
          </w:tcPr>
          <w:p w14:paraId="5CE5224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D61C9A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B81D1C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E5A7FE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0E9F0B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9C3E1CF"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6256B649" w14:textId="77777777" w:rsidTr="00A41632">
        <w:trPr>
          <w:trHeight w:val="276"/>
          <w:jc w:val="center"/>
        </w:trPr>
        <w:tc>
          <w:tcPr>
            <w:tcW w:w="955" w:type="dxa"/>
            <w:tcBorders>
              <w:top w:val="nil"/>
              <w:left w:val="single" w:sz="8" w:space="0" w:color="auto"/>
              <w:bottom w:val="nil"/>
              <w:right w:val="nil"/>
            </w:tcBorders>
            <w:noWrap/>
            <w:vAlign w:val="center"/>
            <w:hideMark/>
          </w:tcPr>
          <w:p w14:paraId="087629F7"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3834A952" w14:textId="77777777" w:rsidR="00F3536C" w:rsidRPr="00A4272B" w:rsidRDefault="00F3536C" w:rsidP="00A41632">
            <w:pPr>
              <w:rPr>
                <w:color w:val="000000"/>
                <w:sz w:val="14"/>
                <w:szCs w:val="14"/>
                <w:lang w:val="en-US"/>
              </w:rPr>
            </w:pPr>
            <w:r w:rsidRPr="00A4272B">
              <w:rPr>
                <w:color w:val="000000"/>
                <w:sz w:val="14"/>
                <w:szCs w:val="14"/>
                <w:lang w:val="en-US"/>
              </w:rPr>
              <w:t>Malta</w:t>
            </w:r>
          </w:p>
        </w:tc>
        <w:tc>
          <w:tcPr>
            <w:tcW w:w="2504" w:type="dxa"/>
            <w:noWrap/>
            <w:vAlign w:val="center"/>
            <w:hideMark/>
          </w:tcPr>
          <w:p w14:paraId="5750784B" w14:textId="77777777" w:rsidR="00F3536C" w:rsidRPr="00A4272B" w:rsidRDefault="00F3536C" w:rsidP="00A41632">
            <w:pPr>
              <w:rPr>
                <w:color w:val="000000"/>
                <w:sz w:val="14"/>
                <w:szCs w:val="14"/>
                <w:lang w:val="en-US"/>
              </w:rPr>
            </w:pPr>
            <w:r w:rsidRPr="00A4272B">
              <w:rPr>
                <w:color w:val="000000"/>
                <w:sz w:val="14"/>
                <w:szCs w:val="14"/>
                <w:lang w:val="en-US"/>
              </w:rPr>
              <w:t>Giordan Lighthouse [EMEP]</w:t>
            </w:r>
          </w:p>
        </w:tc>
        <w:tc>
          <w:tcPr>
            <w:tcW w:w="998" w:type="dxa"/>
            <w:noWrap/>
            <w:vAlign w:val="center"/>
            <w:hideMark/>
          </w:tcPr>
          <w:p w14:paraId="4523B65A" w14:textId="77777777" w:rsidR="00F3536C" w:rsidRPr="00A4272B" w:rsidRDefault="00F3536C" w:rsidP="00A41632">
            <w:pPr>
              <w:jc w:val="center"/>
              <w:rPr>
                <w:color w:val="000000"/>
                <w:sz w:val="14"/>
                <w:szCs w:val="14"/>
                <w:lang w:val="en-US"/>
              </w:rPr>
            </w:pPr>
            <w:r w:rsidRPr="00A4272B">
              <w:rPr>
                <w:color w:val="000000"/>
                <w:sz w:val="14"/>
                <w:szCs w:val="14"/>
                <w:lang w:val="en-US"/>
              </w:rPr>
              <w:t>760</w:t>
            </w:r>
          </w:p>
        </w:tc>
        <w:tc>
          <w:tcPr>
            <w:tcW w:w="1342" w:type="dxa"/>
            <w:noWrap/>
            <w:vAlign w:val="center"/>
            <w:hideMark/>
          </w:tcPr>
          <w:p w14:paraId="06178420"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4F34628A" w14:textId="77777777" w:rsidR="00F3536C" w:rsidRPr="00A4272B" w:rsidRDefault="00F3536C" w:rsidP="00A41632">
            <w:pPr>
              <w:jc w:val="right"/>
              <w:rPr>
                <w:color w:val="000000"/>
                <w:sz w:val="14"/>
                <w:szCs w:val="14"/>
                <w:lang w:val="en-US"/>
              </w:rPr>
            </w:pPr>
            <w:r w:rsidRPr="00A4272B">
              <w:rPr>
                <w:color w:val="000000"/>
                <w:sz w:val="14"/>
                <w:szCs w:val="14"/>
                <w:lang w:val="en-US"/>
              </w:rPr>
              <w:t>36.073330</w:t>
            </w:r>
          </w:p>
        </w:tc>
        <w:tc>
          <w:tcPr>
            <w:tcW w:w="998" w:type="dxa"/>
            <w:noWrap/>
            <w:vAlign w:val="center"/>
            <w:hideMark/>
          </w:tcPr>
          <w:p w14:paraId="27B53AB3" w14:textId="77777777" w:rsidR="00F3536C" w:rsidRPr="00A4272B" w:rsidRDefault="00F3536C" w:rsidP="00A41632">
            <w:pPr>
              <w:jc w:val="right"/>
              <w:rPr>
                <w:color w:val="000000"/>
                <w:sz w:val="14"/>
                <w:szCs w:val="14"/>
                <w:lang w:val="en-US"/>
              </w:rPr>
            </w:pPr>
            <w:r w:rsidRPr="00A4272B">
              <w:rPr>
                <w:color w:val="000000"/>
                <w:sz w:val="14"/>
                <w:szCs w:val="14"/>
                <w:lang w:val="en-US"/>
              </w:rPr>
              <w:t>14.219170</w:t>
            </w:r>
          </w:p>
        </w:tc>
        <w:tc>
          <w:tcPr>
            <w:tcW w:w="859" w:type="dxa"/>
            <w:tcBorders>
              <w:top w:val="nil"/>
              <w:left w:val="nil"/>
              <w:bottom w:val="nil"/>
              <w:right w:val="single" w:sz="8" w:space="0" w:color="auto"/>
            </w:tcBorders>
            <w:noWrap/>
            <w:vAlign w:val="center"/>
            <w:hideMark/>
          </w:tcPr>
          <w:p w14:paraId="6E99B473" w14:textId="77777777" w:rsidR="00F3536C" w:rsidRPr="00A4272B" w:rsidRDefault="00F3536C" w:rsidP="00A41632">
            <w:pPr>
              <w:jc w:val="center"/>
              <w:rPr>
                <w:color w:val="000000"/>
                <w:sz w:val="14"/>
                <w:szCs w:val="14"/>
                <w:lang w:val="en-US"/>
              </w:rPr>
            </w:pPr>
            <w:r w:rsidRPr="00A4272B">
              <w:rPr>
                <w:color w:val="000000"/>
                <w:sz w:val="14"/>
                <w:szCs w:val="14"/>
                <w:lang w:val="en-US"/>
              </w:rPr>
              <w:t>167</w:t>
            </w:r>
          </w:p>
        </w:tc>
        <w:tc>
          <w:tcPr>
            <w:tcW w:w="792" w:type="dxa"/>
            <w:noWrap/>
            <w:vAlign w:val="center"/>
            <w:hideMark/>
          </w:tcPr>
          <w:p w14:paraId="19AC8E4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BDBD07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AD8B9A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755ED8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686ACB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79D8DD4"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0DACA796" w14:textId="77777777" w:rsidTr="00A41632">
        <w:trPr>
          <w:trHeight w:val="276"/>
          <w:jc w:val="center"/>
        </w:trPr>
        <w:tc>
          <w:tcPr>
            <w:tcW w:w="955" w:type="dxa"/>
            <w:tcBorders>
              <w:top w:val="nil"/>
              <w:left w:val="single" w:sz="8" w:space="0" w:color="auto"/>
              <w:bottom w:val="nil"/>
              <w:right w:val="nil"/>
            </w:tcBorders>
            <w:noWrap/>
            <w:vAlign w:val="center"/>
            <w:hideMark/>
          </w:tcPr>
          <w:p w14:paraId="339BF82B"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018C67CF" w14:textId="77777777" w:rsidR="00F3536C" w:rsidRPr="00A4272B" w:rsidRDefault="00F3536C" w:rsidP="00A41632">
            <w:pPr>
              <w:rPr>
                <w:color w:val="000000"/>
                <w:sz w:val="14"/>
                <w:szCs w:val="14"/>
                <w:lang w:val="en-US"/>
              </w:rPr>
            </w:pPr>
            <w:r w:rsidRPr="00A4272B">
              <w:rPr>
                <w:color w:val="000000"/>
                <w:sz w:val="14"/>
                <w:szCs w:val="14"/>
                <w:lang w:val="en-US"/>
              </w:rPr>
              <w:t>Netherlands</w:t>
            </w:r>
          </w:p>
        </w:tc>
        <w:tc>
          <w:tcPr>
            <w:tcW w:w="2504" w:type="dxa"/>
            <w:noWrap/>
            <w:vAlign w:val="center"/>
            <w:hideMark/>
          </w:tcPr>
          <w:p w14:paraId="0277300B" w14:textId="77777777" w:rsidR="00F3536C" w:rsidRPr="00A4272B" w:rsidRDefault="00F3536C" w:rsidP="00A41632">
            <w:pPr>
              <w:rPr>
                <w:color w:val="000000"/>
                <w:sz w:val="14"/>
                <w:szCs w:val="14"/>
                <w:lang w:val="en-US"/>
              </w:rPr>
            </w:pPr>
            <w:r w:rsidRPr="00A4272B">
              <w:rPr>
                <w:color w:val="000000"/>
                <w:sz w:val="14"/>
                <w:szCs w:val="14"/>
                <w:lang w:val="en-US"/>
              </w:rPr>
              <w:t>De Zilk [EMEP]</w:t>
            </w:r>
          </w:p>
        </w:tc>
        <w:tc>
          <w:tcPr>
            <w:tcW w:w="998" w:type="dxa"/>
            <w:noWrap/>
            <w:vAlign w:val="center"/>
            <w:hideMark/>
          </w:tcPr>
          <w:p w14:paraId="317AC02F" w14:textId="77777777" w:rsidR="00F3536C" w:rsidRPr="00A4272B" w:rsidRDefault="00F3536C" w:rsidP="00A41632">
            <w:pPr>
              <w:jc w:val="center"/>
              <w:rPr>
                <w:color w:val="000000"/>
                <w:sz w:val="14"/>
                <w:szCs w:val="14"/>
                <w:lang w:val="en-US"/>
              </w:rPr>
            </w:pPr>
            <w:r w:rsidRPr="00A4272B">
              <w:rPr>
                <w:color w:val="000000"/>
                <w:sz w:val="14"/>
                <w:szCs w:val="14"/>
                <w:lang w:val="en-US"/>
              </w:rPr>
              <w:t>761</w:t>
            </w:r>
          </w:p>
        </w:tc>
        <w:tc>
          <w:tcPr>
            <w:tcW w:w="1342" w:type="dxa"/>
            <w:noWrap/>
            <w:vAlign w:val="center"/>
            <w:hideMark/>
          </w:tcPr>
          <w:p w14:paraId="4D2B942A"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1BDFEC95" w14:textId="77777777" w:rsidR="00F3536C" w:rsidRPr="00A4272B" w:rsidRDefault="00F3536C" w:rsidP="00A41632">
            <w:pPr>
              <w:jc w:val="right"/>
              <w:rPr>
                <w:color w:val="000000"/>
                <w:sz w:val="14"/>
                <w:szCs w:val="14"/>
                <w:lang w:val="en-US"/>
              </w:rPr>
            </w:pPr>
            <w:r w:rsidRPr="00A4272B">
              <w:rPr>
                <w:color w:val="000000"/>
                <w:sz w:val="14"/>
                <w:szCs w:val="14"/>
                <w:lang w:val="en-US"/>
              </w:rPr>
              <w:t>52.296570</w:t>
            </w:r>
          </w:p>
        </w:tc>
        <w:tc>
          <w:tcPr>
            <w:tcW w:w="998" w:type="dxa"/>
            <w:noWrap/>
            <w:vAlign w:val="center"/>
            <w:hideMark/>
          </w:tcPr>
          <w:p w14:paraId="7883DFB3" w14:textId="77777777" w:rsidR="00F3536C" w:rsidRPr="00A4272B" w:rsidRDefault="00F3536C" w:rsidP="00A41632">
            <w:pPr>
              <w:jc w:val="right"/>
              <w:rPr>
                <w:color w:val="000000"/>
                <w:sz w:val="14"/>
                <w:szCs w:val="14"/>
                <w:lang w:val="en-US"/>
              </w:rPr>
            </w:pPr>
            <w:r w:rsidRPr="00A4272B">
              <w:rPr>
                <w:color w:val="000000"/>
                <w:sz w:val="14"/>
                <w:szCs w:val="14"/>
                <w:lang w:val="en-US"/>
              </w:rPr>
              <w:t>4.510860</w:t>
            </w:r>
          </w:p>
        </w:tc>
        <w:tc>
          <w:tcPr>
            <w:tcW w:w="859" w:type="dxa"/>
            <w:tcBorders>
              <w:top w:val="nil"/>
              <w:left w:val="nil"/>
              <w:bottom w:val="nil"/>
              <w:right w:val="single" w:sz="8" w:space="0" w:color="auto"/>
            </w:tcBorders>
            <w:noWrap/>
            <w:vAlign w:val="center"/>
            <w:hideMark/>
          </w:tcPr>
          <w:p w14:paraId="7629D27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D7CADA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31E819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45F225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0B69B8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878B3F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99C566E"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6C9298DB" w14:textId="77777777" w:rsidTr="00A41632">
        <w:trPr>
          <w:trHeight w:val="276"/>
          <w:jc w:val="center"/>
        </w:trPr>
        <w:tc>
          <w:tcPr>
            <w:tcW w:w="955" w:type="dxa"/>
            <w:tcBorders>
              <w:top w:val="nil"/>
              <w:left w:val="single" w:sz="8" w:space="0" w:color="auto"/>
              <w:bottom w:val="nil"/>
              <w:right w:val="nil"/>
            </w:tcBorders>
            <w:noWrap/>
            <w:vAlign w:val="center"/>
            <w:hideMark/>
          </w:tcPr>
          <w:p w14:paraId="33A5CF01"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7B0324F6" w14:textId="77777777" w:rsidR="00F3536C" w:rsidRPr="00A4272B" w:rsidRDefault="00F3536C" w:rsidP="00A41632">
            <w:pPr>
              <w:rPr>
                <w:color w:val="000000"/>
                <w:sz w:val="14"/>
                <w:szCs w:val="14"/>
                <w:lang w:val="en-US"/>
              </w:rPr>
            </w:pPr>
            <w:r w:rsidRPr="00A4272B">
              <w:rPr>
                <w:color w:val="000000"/>
                <w:sz w:val="14"/>
                <w:szCs w:val="14"/>
                <w:lang w:val="en-US"/>
              </w:rPr>
              <w:t>Norway</w:t>
            </w:r>
          </w:p>
        </w:tc>
        <w:tc>
          <w:tcPr>
            <w:tcW w:w="2504" w:type="dxa"/>
            <w:noWrap/>
            <w:vAlign w:val="center"/>
            <w:hideMark/>
          </w:tcPr>
          <w:p w14:paraId="42ADFC22" w14:textId="77777777" w:rsidR="00F3536C" w:rsidRPr="00A4272B" w:rsidRDefault="00F3536C" w:rsidP="00A41632">
            <w:pPr>
              <w:rPr>
                <w:color w:val="000000"/>
                <w:sz w:val="14"/>
                <w:szCs w:val="14"/>
                <w:lang w:val="en-US"/>
              </w:rPr>
            </w:pPr>
            <w:r w:rsidRPr="00A4272B">
              <w:rPr>
                <w:color w:val="000000"/>
                <w:sz w:val="14"/>
                <w:szCs w:val="14"/>
                <w:lang w:val="en-US"/>
              </w:rPr>
              <w:t>Birkenes [EMEP]</w:t>
            </w:r>
          </w:p>
        </w:tc>
        <w:tc>
          <w:tcPr>
            <w:tcW w:w="998" w:type="dxa"/>
            <w:noWrap/>
            <w:vAlign w:val="center"/>
            <w:hideMark/>
          </w:tcPr>
          <w:p w14:paraId="27AE8D7A" w14:textId="77777777" w:rsidR="00F3536C" w:rsidRPr="00A4272B" w:rsidRDefault="00F3536C" w:rsidP="00A41632">
            <w:pPr>
              <w:jc w:val="center"/>
              <w:rPr>
                <w:color w:val="000000"/>
                <w:sz w:val="14"/>
                <w:szCs w:val="14"/>
                <w:lang w:val="en-US"/>
              </w:rPr>
            </w:pPr>
            <w:r w:rsidRPr="00A4272B">
              <w:rPr>
                <w:color w:val="000000"/>
                <w:sz w:val="14"/>
                <w:szCs w:val="14"/>
                <w:lang w:val="en-US"/>
              </w:rPr>
              <w:t>762</w:t>
            </w:r>
          </w:p>
        </w:tc>
        <w:tc>
          <w:tcPr>
            <w:tcW w:w="1342" w:type="dxa"/>
            <w:noWrap/>
            <w:vAlign w:val="center"/>
            <w:hideMark/>
          </w:tcPr>
          <w:p w14:paraId="6E765516"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4CAB300B" w14:textId="77777777" w:rsidR="00F3536C" w:rsidRPr="00A4272B" w:rsidRDefault="00F3536C" w:rsidP="00A41632">
            <w:pPr>
              <w:jc w:val="right"/>
              <w:rPr>
                <w:color w:val="000000"/>
                <w:sz w:val="14"/>
                <w:szCs w:val="14"/>
                <w:lang w:val="en-US"/>
              </w:rPr>
            </w:pPr>
            <w:r w:rsidRPr="00A4272B">
              <w:rPr>
                <w:color w:val="000000"/>
                <w:sz w:val="14"/>
                <w:szCs w:val="14"/>
                <w:lang w:val="en-US"/>
              </w:rPr>
              <w:t>58.383340</w:t>
            </w:r>
          </w:p>
        </w:tc>
        <w:tc>
          <w:tcPr>
            <w:tcW w:w="998" w:type="dxa"/>
            <w:noWrap/>
            <w:vAlign w:val="center"/>
            <w:hideMark/>
          </w:tcPr>
          <w:p w14:paraId="5E5EE3FF" w14:textId="77777777" w:rsidR="00F3536C" w:rsidRPr="00A4272B" w:rsidRDefault="00F3536C" w:rsidP="00A41632">
            <w:pPr>
              <w:jc w:val="right"/>
              <w:rPr>
                <w:color w:val="000000"/>
                <w:sz w:val="14"/>
                <w:szCs w:val="14"/>
                <w:lang w:val="en-US"/>
              </w:rPr>
            </w:pPr>
            <w:r w:rsidRPr="00A4272B">
              <w:rPr>
                <w:color w:val="000000"/>
                <w:sz w:val="14"/>
                <w:szCs w:val="14"/>
                <w:lang w:val="en-US"/>
              </w:rPr>
              <w:t>8.250000</w:t>
            </w:r>
          </w:p>
        </w:tc>
        <w:tc>
          <w:tcPr>
            <w:tcW w:w="859" w:type="dxa"/>
            <w:tcBorders>
              <w:top w:val="nil"/>
              <w:left w:val="nil"/>
              <w:bottom w:val="nil"/>
              <w:right w:val="single" w:sz="8" w:space="0" w:color="auto"/>
            </w:tcBorders>
            <w:noWrap/>
            <w:vAlign w:val="center"/>
            <w:hideMark/>
          </w:tcPr>
          <w:p w14:paraId="795D8AD8" w14:textId="77777777" w:rsidR="00F3536C" w:rsidRPr="00A4272B" w:rsidRDefault="00F3536C" w:rsidP="00A41632">
            <w:pPr>
              <w:jc w:val="center"/>
              <w:rPr>
                <w:color w:val="000000"/>
                <w:sz w:val="14"/>
                <w:szCs w:val="14"/>
                <w:lang w:val="en-US"/>
              </w:rPr>
            </w:pPr>
            <w:r w:rsidRPr="00A4272B">
              <w:rPr>
                <w:color w:val="000000"/>
                <w:sz w:val="14"/>
                <w:szCs w:val="14"/>
                <w:lang w:val="en-US"/>
              </w:rPr>
              <w:t>190</w:t>
            </w:r>
          </w:p>
        </w:tc>
        <w:tc>
          <w:tcPr>
            <w:tcW w:w="792" w:type="dxa"/>
            <w:noWrap/>
            <w:vAlign w:val="center"/>
            <w:hideMark/>
          </w:tcPr>
          <w:p w14:paraId="14A47F2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5AF9AD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CD329F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BFE44C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4A20BF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7B1017B"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4E20B25C" w14:textId="77777777" w:rsidTr="00A41632">
        <w:trPr>
          <w:trHeight w:val="276"/>
          <w:jc w:val="center"/>
        </w:trPr>
        <w:tc>
          <w:tcPr>
            <w:tcW w:w="955" w:type="dxa"/>
            <w:tcBorders>
              <w:top w:val="nil"/>
              <w:left w:val="single" w:sz="8" w:space="0" w:color="auto"/>
              <w:bottom w:val="nil"/>
              <w:right w:val="nil"/>
            </w:tcBorders>
            <w:noWrap/>
            <w:vAlign w:val="center"/>
            <w:hideMark/>
          </w:tcPr>
          <w:p w14:paraId="4EFF0D35"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29AA89A4" w14:textId="77777777" w:rsidR="00F3536C" w:rsidRPr="00A4272B" w:rsidRDefault="00F3536C" w:rsidP="00A41632">
            <w:pPr>
              <w:rPr>
                <w:color w:val="000000"/>
                <w:sz w:val="14"/>
                <w:szCs w:val="14"/>
                <w:lang w:val="en-US"/>
              </w:rPr>
            </w:pPr>
            <w:r w:rsidRPr="00A4272B">
              <w:rPr>
                <w:color w:val="000000"/>
                <w:sz w:val="14"/>
                <w:szCs w:val="14"/>
                <w:lang w:val="en-US"/>
              </w:rPr>
              <w:t>Norway</w:t>
            </w:r>
          </w:p>
        </w:tc>
        <w:tc>
          <w:tcPr>
            <w:tcW w:w="2504" w:type="dxa"/>
            <w:noWrap/>
            <w:vAlign w:val="center"/>
            <w:hideMark/>
          </w:tcPr>
          <w:p w14:paraId="0E6F14D3" w14:textId="77777777" w:rsidR="00F3536C" w:rsidRPr="00A4272B" w:rsidRDefault="00F3536C" w:rsidP="00A41632">
            <w:pPr>
              <w:rPr>
                <w:color w:val="000000"/>
                <w:sz w:val="14"/>
                <w:szCs w:val="14"/>
                <w:lang w:val="en-US"/>
              </w:rPr>
            </w:pPr>
            <w:r w:rsidRPr="00A4272B">
              <w:rPr>
                <w:color w:val="000000"/>
                <w:sz w:val="14"/>
                <w:szCs w:val="14"/>
                <w:lang w:val="en-US"/>
              </w:rPr>
              <w:t>Karvatn [EMEP]</w:t>
            </w:r>
          </w:p>
        </w:tc>
        <w:tc>
          <w:tcPr>
            <w:tcW w:w="998" w:type="dxa"/>
            <w:noWrap/>
            <w:vAlign w:val="center"/>
            <w:hideMark/>
          </w:tcPr>
          <w:p w14:paraId="567E97A0" w14:textId="77777777" w:rsidR="00F3536C" w:rsidRPr="00A4272B" w:rsidRDefault="00F3536C" w:rsidP="00A41632">
            <w:pPr>
              <w:jc w:val="center"/>
              <w:rPr>
                <w:color w:val="000000"/>
                <w:sz w:val="14"/>
                <w:szCs w:val="14"/>
                <w:lang w:val="en-US"/>
              </w:rPr>
            </w:pPr>
            <w:r w:rsidRPr="00A4272B">
              <w:rPr>
                <w:color w:val="000000"/>
                <w:sz w:val="14"/>
                <w:szCs w:val="14"/>
                <w:lang w:val="en-US"/>
              </w:rPr>
              <w:t>763</w:t>
            </w:r>
          </w:p>
        </w:tc>
        <w:tc>
          <w:tcPr>
            <w:tcW w:w="1342" w:type="dxa"/>
            <w:noWrap/>
            <w:vAlign w:val="center"/>
            <w:hideMark/>
          </w:tcPr>
          <w:p w14:paraId="518BBF13"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792E0F98" w14:textId="77777777" w:rsidR="00F3536C" w:rsidRPr="00A4272B" w:rsidRDefault="00F3536C" w:rsidP="00A41632">
            <w:pPr>
              <w:jc w:val="right"/>
              <w:rPr>
                <w:color w:val="000000"/>
                <w:sz w:val="14"/>
                <w:szCs w:val="14"/>
                <w:lang w:val="en-US"/>
              </w:rPr>
            </w:pPr>
            <w:r w:rsidRPr="00A4272B">
              <w:rPr>
                <w:color w:val="000000"/>
                <w:sz w:val="14"/>
                <w:szCs w:val="14"/>
                <w:lang w:val="en-US"/>
              </w:rPr>
              <w:t>62.783330</w:t>
            </w:r>
          </w:p>
        </w:tc>
        <w:tc>
          <w:tcPr>
            <w:tcW w:w="998" w:type="dxa"/>
            <w:noWrap/>
            <w:vAlign w:val="center"/>
            <w:hideMark/>
          </w:tcPr>
          <w:p w14:paraId="7719364C" w14:textId="77777777" w:rsidR="00F3536C" w:rsidRPr="00A4272B" w:rsidRDefault="00F3536C" w:rsidP="00A41632">
            <w:pPr>
              <w:jc w:val="right"/>
              <w:rPr>
                <w:color w:val="000000"/>
                <w:sz w:val="14"/>
                <w:szCs w:val="14"/>
                <w:lang w:val="en-US"/>
              </w:rPr>
            </w:pPr>
            <w:r w:rsidRPr="00A4272B">
              <w:rPr>
                <w:color w:val="000000"/>
                <w:sz w:val="14"/>
                <w:szCs w:val="14"/>
                <w:lang w:val="en-US"/>
              </w:rPr>
              <w:t>8.883333</w:t>
            </w:r>
          </w:p>
        </w:tc>
        <w:tc>
          <w:tcPr>
            <w:tcW w:w="859" w:type="dxa"/>
            <w:tcBorders>
              <w:top w:val="nil"/>
              <w:left w:val="nil"/>
              <w:bottom w:val="nil"/>
              <w:right w:val="single" w:sz="8" w:space="0" w:color="auto"/>
            </w:tcBorders>
            <w:noWrap/>
            <w:vAlign w:val="center"/>
            <w:hideMark/>
          </w:tcPr>
          <w:p w14:paraId="1D44FA06" w14:textId="77777777" w:rsidR="00F3536C" w:rsidRPr="00A4272B" w:rsidRDefault="00F3536C" w:rsidP="00A41632">
            <w:pPr>
              <w:jc w:val="center"/>
              <w:rPr>
                <w:color w:val="000000"/>
                <w:sz w:val="14"/>
                <w:szCs w:val="14"/>
                <w:lang w:val="en-US"/>
              </w:rPr>
            </w:pPr>
            <w:r w:rsidRPr="00A4272B">
              <w:rPr>
                <w:color w:val="000000"/>
                <w:sz w:val="14"/>
                <w:szCs w:val="14"/>
                <w:lang w:val="en-US"/>
              </w:rPr>
              <w:t>210</w:t>
            </w:r>
          </w:p>
        </w:tc>
        <w:tc>
          <w:tcPr>
            <w:tcW w:w="792" w:type="dxa"/>
            <w:noWrap/>
            <w:vAlign w:val="center"/>
            <w:hideMark/>
          </w:tcPr>
          <w:p w14:paraId="7A3867C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0F1646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7A6999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D600B1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895DF7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8AA08CF"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1699BCF4" w14:textId="77777777" w:rsidTr="00A41632">
        <w:trPr>
          <w:trHeight w:val="276"/>
          <w:jc w:val="center"/>
        </w:trPr>
        <w:tc>
          <w:tcPr>
            <w:tcW w:w="955" w:type="dxa"/>
            <w:tcBorders>
              <w:top w:val="nil"/>
              <w:left w:val="single" w:sz="8" w:space="0" w:color="auto"/>
              <w:bottom w:val="nil"/>
              <w:right w:val="nil"/>
            </w:tcBorders>
            <w:noWrap/>
            <w:vAlign w:val="center"/>
            <w:hideMark/>
          </w:tcPr>
          <w:p w14:paraId="57673FFF"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2F0F0BE7" w14:textId="77777777" w:rsidR="00F3536C" w:rsidRPr="00A4272B" w:rsidRDefault="00F3536C" w:rsidP="00A41632">
            <w:pPr>
              <w:rPr>
                <w:color w:val="000000"/>
                <w:sz w:val="14"/>
                <w:szCs w:val="14"/>
                <w:lang w:val="en-US"/>
              </w:rPr>
            </w:pPr>
            <w:r w:rsidRPr="00A4272B">
              <w:rPr>
                <w:color w:val="000000"/>
                <w:sz w:val="14"/>
                <w:szCs w:val="14"/>
                <w:lang w:val="en-US"/>
              </w:rPr>
              <w:t>Norway</w:t>
            </w:r>
          </w:p>
        </w:tc>
        <w:tc>
          <w:tcPr>
            <w:tcW w:w="2504" w:type="dxa"/>
            <w:noWrap/>
            <w:vAlign w:val="center"/>
            <w:hideMark/>
          </w:tcPr>
          <w:p w14:paraId="6F4876D4" w14:textId="77777777" w:rsidR="00F3536C" w:rsidRPr="00A4272B" w:rsidRDefault="00F3536C" w:rsidP="00A41632">
            <w:pPr>
              <w:rPr>
                <w:color w:val="000000"/>
                <w:sz w:val="14"/>
                <w:szCs w:val="14"/>
                <w:lang w:val="en-US"/>
              </w:rPr>
            </w:pPr>
            <w:r w:rsidRPr="00A4272B">
              <w:rPr>
                <w:color w:val="000000"/>
                <w:sz w:val="14"/>
                <w:szCs w:val="14"/>
                <w:lang w:val="en-US"/>
              </w:rPr>
              <w:t>Spitsbergen / Zeppelinfjell [EMEP]</w:t>
            </w:r>
          </w:p>
        </w:tc>
        <w:tc>
          <w:tcPr>
            <w:tcW w:w="998" w:type="dxa"/>
            <w:noWrap/>
            <w:vAlign w:val="center"/>
            <w:hideMark/>
          </w:tcPr>
          <w:p w14:paraId="4A03A205" w14:textId="77777777" w:rsidR="00F3536C" w:rsidRPr="00A4272B" w:rsidRDefault="00F3536C" w:rsidP="00A41632">
            <w:pPr>
              <w:jc w:val="center"/>
              <w:rPr>
                <w:color w:val="000000"/>
                <w:sz w:val="14"/>
                <w:szCs w:val="14"/>
                <w:lang w:val="en-US"/>
              </w:rPr>
            </w:pPr>
            <w:r w:rsidRPr="00A4272B">
              <w:rPr>
                <w:color w:val="000000"/>
                <w:sz w:val="14"/>
                <w:szCs w:val="14"/>
                <w:lang w:val="en-US"/>
              </w:rPr>
              <w:t>764</w:t>
            </w:r>
          </w:p>
        </w:tc>
        <w:tc>
          <w:tcPr>
            <w:tcW w:w="1342" w:type="dxa"/>
            <w:noWrap/>
            <w:vAlign w:val="center"/>
            <w:hideMark/>
          </w:tcPr>
          <w:p w14:paraId="086B6F2A" w14:textId="77777777" w:rsidR="00F3536C" w:rsidRPr="00A4272B" w:rsidRDefault="00F3536C" w:rsidP="00A41632">
            <w:pPr>
              <w:jc w:val="center"/>
              <w:rPr>
                <w:color w:val="000000"/>
                <w:sz w:val="14"/>
                <w:szCs w:val="14"/>
                <w:lang w:val="en-US"/>
              </w:rPr>
            </w:pPr>
            <w:r w:rsidRPr="00A4272B">
              <w:rPr>
                <w:color w:val="000000"/>
                <w:sz w:val="14"/>
                <w:szCs w:val="14"/>
                <w:lang w:val="en-US"/>
              </w:rPr>
              <w:t>Polar</w:t>
            </w:r>
          </w:p>
        </w:tc>
        <w:tc>
          <w:tcPr>
            <w:tcW w:w="900" w:type="dxa"/>
            <w:noWrap/>
            <w:vAlign w:val="center"/>
            <w:hideMark/>
          </w:tcPr>
          <w:p w14:paraId="1C944D77" w14:textId="77777777" w:rsidR="00F3536C" w:rsidRPr="00A4272B" w:rsidRDefault="00F3536C" w:rsidP="00A41632">
            <w:pPr>
              <w:jc w:val="right"/>
              <w:rPr>
                <w:color w:val="000000"/>
                <w:sz w:val="14"/>
                <w:szCs w:val="14"/>
                <w:lang w:val="en-US"/>
              </w:rPr>
            </w:pPr>
            <w:r w:rsidRPr="00A4272B">
              <w:rPr>
                <w:color w:val="000000"/>
                <w:sz w:val="14"/>
                <w:szCs w:val="14"/>
                <w:lang w:val="en-US"/>
              </w:rPr>
              <w:t>78.880000</w:t>
            </w:r>
          </w:p>
        </w:tc>
        <w:tc>
          <w:tcPr>
            <w:tcW w:w="998" w:type="dxa"/>
            <w:noWrap/>
            <w:vAlign w:val="center"/>
            <w:hideMark/>
          </w:tcPr>
          <w:p w14:paraId="006C9258" w14:textId="77777777" w:rsidR="00F3536C" w:rsidRPr="00A4272B" w:rsidRDefault="00F3536C" w:rsidP="00A41632">
            <w:pPr>
              <w:jc w:val="right"/>
              <w:rPr>
                <w:color w:val="000000"/>
                <w:sz w:val="14"/>
                <w:szCs w:val="14"/>
                <w:lang w:val="en-US"/>
              </w:rPr>
            </w:pPr>
            <w:r w:rsidRPr="00A4272B">
              <w:rPr>
                <w:color w:val="000000"/>
                <w:sz w:val="14"/>
                <w:szCs w:val="14"/>
                <w:lang w:val="en-US"/>
              </w:rPr>
              <w:t>11.883330</w:t>
            </w:r>
          </w:p>
        </w:tc>
        <w:tc>
          <w:tcPr>
            <w:tcW w:w="859" w:type="dxa"/>
            <w:tcBorders>
              <w:top w:val="nil"/>
              <w:left w:val="nil"/>
              <w:bottom w:val="nil"/>
              <w:right w:val="single" w:sz="8" w:space="0" w:color="auto"/>
            </w:tcBorders>
            <w:noWrap/>
            <w:vAlign w:val="center"/>
            <w:hideMark/>
          </w:tcPr>
          <w:p w14:paraId="6036F1B7" w14:textId="77777777" w:rsidR="00F3536C" w:rsidRPr="00A4272B" w:rsidRDefault="00F3536C" w:rsidP="00A41632">
            <w:pPr>
              <w:jc w:val="center"/>
              <w:rPr>
                <w:color w:val="000000"/>
                <w:sz w:val="14"/>
                <w:szCs w:val="14"/>
                <w:lang w:val="en-US"/>
              </w:rPr>
            </w:pPr>
            <w:r w:rsidRPr="00A4272B">
              <w:rPr>
                <w:color w:val="000000"/>
                <w:sz w:val="14"/>
                <w:szCs w:val="14"/>
                <w:lang w:val="en-US"/>
              </w:rPr>
              <w:t>474</w:t>
            </w:r>
          </w:p>
        </w:tc>
        <w:tc>
          <w:tcPr>
            <w:tcW w:w="792" w:type="dxa"/>
            <w:noWrap/>
            <w:vAlign w:val="center"/>
            <w:hideMark/>
          </w:tcPr>
          <w:p w14:paraId="36E3D8B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DFDC49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B6C969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FDA441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372544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4193882"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338C3DEF" w14:textId="77777777" w:rsidTr="00F006B1">
        <w:trPr>
          <w:trHeight w:val="276"/>
          <w:jc w:val="center"/>
        </w:trPr>
        <w:tc>
          <w:tcPr>
            <w:tcW w:w="955" w:type="dxa"/>
            <w:tcBorders>
              <w:top w:val="nil"/>
              <w:left w:val="single" w:sz="8" w:space="0" w:color="auto"/>
              <w:right w:val="nil"/>
            </w:tcBorders>
            <w:noWrap/>
            <w:vAlign w:val="center"/>
            <w:hideMark/>
          </w:tcPr>
          <w:p w14:paraId="22F29B6F"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5041AD0B" w14:textId="77777777" w:rsidR="00F3536C" w:rsidRPr="00A4272B" w:rsidRDefault="00F3536C" w:rsidP="00A41632">
            <w:pPr>
              <w:rPr>
                <w:color w:val="000000"/>
                <w:sz w:val="14"/>
                <w:szCs w:val="14"/>
                <w:lang w:val="en-US"/>
              </w:rPr>
            </w:pPr>
            <w:r w:rsidRPr="00A4272B">
              <w:rPr>
                <w:color w:val="000000"/>
                <w:sz w:val="14"/>
                <w:szCs w:val="14"/>
                <w:lang w:val="en-US"/>
              </w:rPr>
              <w:t>Poland</w:t>
            </w:r>
          </w:p>
        </w:tc>
        <w:tc>
          <w:tcPr>
            <w:tcW w:w="2504" w:type="dxa"/>
            <w:noWrap/>
            <w:vAlign w:val="center"/>
            <w:hideMark/>
          </w:tcPr>
          <w:p w14:paraId="02984FEC" w14:textId="77777777" w:rsidR="00F3536C" w:rsidRPr="00A4272B" w:rsidRDefault="00F3536C" w:rsidP="00A41632">
            <w:pPr>
              <w:rPr>
                <w:color w:val="000000"/>
                <w:sz w:val="14"/>
                <w:szCs w:val="14"/>
                <w:lang w:val="en-US"/>
              </w:rPr>
            </w:pPr>
            <w:r w:rsidRPr="00A4272B">
              <w:rPr>
                <w:color w:val="000000"/>
                <w:sz w:val="14"/>
                <w:szCs w:val="14"/>
                <w:lang w:val="en-US"/>
              </w:rPr>
              <w:t>Diabla Gora [EMEP]</w:t>
            </w:r>
          </w:p>
        </w:tc>
        <w:tc>
          <w:tcPr>
            <w:tcW w:w="998" w:type="dxa"/>
            <w:noWrap/>
            <w:vAlign w:val="center"/>
            <w:hideMark/>
          </w:tcPr>
          <w:p w14:paraId="283ECACE" w14:textId="77777777" w:rsidR="00F3536C" w:rsidRPr="00A4272B" w:rsidRDefault="00F3536C" w:rsidP="00A41632">
            <w:pPr>
              <w:jc w:val="center"/>
              <w:rPr>
                <w:color w:val="000000"/>
                <w:sz w:val="14"/>
                <w:szCs w:val="14"/>
                <w:lang w:val="en-US"/>
              </w:rPr>
            </w:pPr>
            <w:r w:rsidRPr="00A4272B">
              <w:rPr>
                <w:color w:val="000000"/>
                <w:sz w:val="14"/>
                <w:szCs w:val="14"/>
                <w:lang w:val="en-US"/>
              </w:rPr>
              <w:t>765</w:t>
            </w:r>
          </w:p>
        </w:tc>
        <w:tc>
          <w:tcPr>
            <w:tcW w:w="1342" w:type="dxa"/>
            <w:noWrap/>
            <w:vAlign w:val="center"/>
            <w:hideMark/>
          </w:tcPr>
          <w:p w14:paraId="0BF711EA"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2076F6A8" w14:textId="77777777" w:rsidR="00F3536C" w:rsidRPr="00A4272B" w:rsidRDefault="00F3536C" w:rsidP="00A41632">
            <w:pPr>
              <w:jc w:val="right"/>
              <w:rPr>
                <w:color w:val="000000"/>
                <w:sz w:val="14"/>
                <w:szCs w:val="14"/>
                <w:lang w:val="en-US"/>
              </w:rPr>
            </w:pPr>
            <w:r w:rsidRPr="00A4272B">
              <w:rPr>
                <w:color w:val="000000"/>
                <w:sz w:val="14"/>
                <w:szCs w:val="14"/>
                <w:lang w:val="en-US"/>
              </w:rPr>
              <w:t>54.124870</w:t>
            </w:r>
          </w:p>
        </w:tc>
        <w:tc>
          <w:tcPr>
            <w:tcW w:w="998" w:type="dxa"/>
            <w:noWrap/>
            <w:vAlign w:val="center"/>
            <w:hideMark/>
          </w:tcPr>
          <w:p w14:paraId="0EE14ACC" w14:textId="77777777" w:rsidR="00F3536C" w:rsidRPr="00A4272B" w:rsidRDefault="00F3536C" w:rsidP="00A41632">
            <w:pPr>
              <w:jc w:val="right"/>
              <w:rPr>
                <w:color w:val="000000"/>
                <w:sz w:val="14"/>
                <w:szCs w:val="14"/>
                <w:lang w:val="en-US"/>
              </w:rPr>
            </w:pPr>
            <w:r w:rsidRPr="00A4272B">
              <w:rPr>
                <w:color w:val="000000"/>
                <w:sz w:val="14"/>
                <w:szCs w:val="14"/>
                <w:lang w:val="en-US"/>
              </w:rPr>
              <w:t>22.038080</w:t>
            </w:r>
          </w:p>
        </w:tc>
        <w:tc>
          <w:tcPr>
            <w:tcW w:w="859" w:type="dxa"/>
            <w:tcBorders>
              <w:top w:val="nil"/>
              <w:left w:val="nil"/>
              <w:right w:val="single" w:sz="8" w:space="0" w:color="auto"/>
            </w:tcBorders>
            <w:noWrap/>
            <w:vAlign w:val="center"/>
            <w:hideMark/>
          </w:tcPr>
          <w:p w14:paraId="73FF3DB0" w14:textId="77777777" w:rsidR="00F3536C" w:rsidRPr="00A4272B" w:rsidRDefault="00F3536C" w:rsidP="00A41632">
            <w:pPr>
              <w:jc w:val="center"/>
              <w:rPr>
                <w:color w:val="000000"/>
                <w:sz w:val="14"/>
                <w:szCs w:val="14"/>
                <w:lang w:val="en-US"/>
              </w:rPr>
            </w:pPr>
            <w:r w:rsidRPr="00A4272B">
              <w:rPr>
                <w:color w:val="000000"/>
                <w:sz w:val="14"/>
                <w:szCs w:val="14"/>
                <w:lang w:val="en-US"/>
              </w:rPr>
              <w:t>157</w:t>
            </w:r>
          </w:p>
        </w:tc>
        <w:tc>
          <w:tcPr>
            <w:tcW w:w="792" w:type="dxa"/>
            <w:noWrap/>
            <w:vAlign w:val="center"/>
            <w:hideMark/>
          </w:tcPr>
          <w:p w14:paraId="21EE710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372657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6AB7D3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BEF91E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0BD2C7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right w:val="single" w:sz="8" w:space="0" w:color="auto"/>
            </w:tcBorders>
            <w:noWrap/>
            <w:vAlign w:val="center"/>
            <w:hideMark/>
          </w:tcPr>
          <w:p w14:paraId="44600AD4"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40A4007A"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2630C847"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tcBorders>
              <w:bottom w:val="single" w:sz="4" w:space="0" w:color="auto"/>
            </w:tcBorders>
            <w:noWrap/>
            <w:vAlign w:val="center"/>
            <w:hideMark/>
          </w:tcPr>
          <w:p w14:paraId="38800617" w14:textId="77777777" w:rsidR="00F3536C" w:rsidRPr="00A4272B" w:rsidRDefault="00F3536C" w:rsidP="00A41632">
            <w:pPr>
              <w:rPr>
                <w:color w:val="000000"/>
                <w:sz w:val="14"/>
                <w:szCs w:val="14"/>
                <w:lang w:val="en-US"/>
              </w:rPr>
            </w:pPr>
            <w:r w:rsidRPr="00A4272B">
              <w:rPr>
                <w:color w:val="000000"/>
                <w:sz w:val="14"/>
                <w:szCs w:val="14"/>
                <w:lang w:val="en-US"/>
              </w:rPr>
              <w:t>Russia</w:t>
            </w:r>
          </w:p>
        </w:tc>
        <w:tc>
          <w:tcPr>
            <w:tcW w:w="2504" w:type="dxa"/>
            <w:tcBorders>
              <w:bottom w:val="single" w:sz="4" w:space="0" w:color="auto"/>
            </w:tcBorders>
            <w:noWrap/>
            <w:vAlign w:val="center"/>
            <w:hideMark/>
          </w:tcPr>
          <w:p w14:paraId="22765FF9" w14:textId="77777777" w:rsidR="00F3536C" w:rsidRPr="00A4272B" w:rsidRDefault="00F3536C" w:rsidP="00A41632">
            <w:pPr>
              <w:rPr>
                <w:color w:val="000000"/>
                <w:sz w:val="14"/>
                <w:szCs w:val="14"/>
                <w:lang w:val="en-US"/>
              </w:rPr>
            </w:pPr>
            <w:r w:rsidRPr="00A4272B">
              <w:rPr>
                <w:color w:val="000000"/>
                <w:sz w:val="14"/>
                <w:szCs w:val="14"/>
                <w:lang w:val="en-US"/>
              </w:rPr>
              <w:t>Ufa, ERPC</w:t>
            </w:r>
          </w:p>
        </w:tc>
        <w:tc>
          <w:tcPr>
            <w:tcW w:w="998" w:type="dxa"/>
            <w:tcBorders>
              <w:bottom w:val="single" w:sz="4" w:space="0" w:color="auto"/>
            </w:tcBorders>
            <w:noWrap/>
            <w:vAlign w:val="center"/>
            <w:hideMark/>
          </w:tcPr>
          <w:p w14:paraId="324C8F1A" w14:textId="77777777" w:rsidR="00F3536C" w:rsidRPr="00A4272B" w:rsidRDefault="00F3536C" w:rsidP="00A41632">
            <w:pPr>
              <w:jc w:val="center"/>
              <w:rPr>
                <w:color w:val="000000"/>
                <w:sz w:val="14"/>
                <w:szCs w:val="14"/>
                <w:lang w:val="en-US"/>
              </w:rPr>
            </w:pPr>
            <w:r w:rsidRPr="00A4272B">
              <w:rPr>
                <w:color w:val="000000"/>
                <w:sz w:val="14"/>
                <w:szCs w:val="14"/>
                <w:lang w:val="en-US"/>
              </w:rPr>
              <w:t>767</w:t>
            </w:r>
          </w:p>
        </w:tc>
        <w:tc>
          <w:tcPr>
            <w:tcW w:w="1342" w:type="dxa"/>
            <w:tcBorders>
              <w:bottom w:val="single" w:sz="4" w:space="0" w:color="auto"/>
            </w:tcBorders>
            <w:noWrap/>
            <w:vAlign w:val="center"/>
            <w:hideMark/>
          </w:tcPr>
          <w:p w14:paraId="3E1AA26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bottom w:val="single" w:sz="4" w:space="0" w:color="auto"/>
            </w:tcBorders>
            <w:noWrap/>
            <w:vAlign w:val="center"/>
            <w:hideMark/>
          </w:tcPr>
          <w:p w14:paraId="1ED5079C" w14:textId="77777777" w:rsidR="00F3536C" w:rsidRPr="00A4272B" w:rsidRDefault="00F3536C" w:rsidP="00A41632">
            <w:pPr>
              <w:jc w:val="right"/>
              <w:rPr>
                <w:color w:val="000000"/>
                <w:sz w:val="14"/>
                <w:szCs w:val="14"/>
                <w:lang w:val="en-US"/>
              </w:rPr>
            </w:pPr>
            <w:r w:rsidRPr="00A4272B">
              <w:rPr>
                <w:color w:val="000000"/>
                <w:sz w:val="14"/>
                <w:szCs w:val="14"/>
                <w:lang w:val="en-US"/>
              </w:rPr>
              <w:t>54.466450</w:t>
            </w:r>
          </w:p>
        </w:tc>
        <w:tc>
          <w:tcPr>
            <w:tcW w:w="998" w:type="dxa"/>
            <w:tcBorders>
              <w:bottom w:val="single" w:sz="4" w:space="0" w:color="auto"/>
            </w:tcBorders>
            <w:noWrap/>
            <w:vAlign w:val="center"/>
            <w:hideMark/>
          </w:tcPr>
          <w:p w14:paraId="6D91BC5E" w14:textId="77777777" w:rsidR="00F3536C" w:rsidRPr="00A4272B" w:rsidRDefault="00F3536C" w:rsidP="00A41632">
            <w:pPr>
              <w:jc w:val="right"/>
              <w:rPr>
                <w:color w:val="000000"/>
                <w:sz w:val="14"/>
                <w:szCs w:val="14"/>
                <w:lang w:val="en-US"/>
              </w:rPr>
            </w:pPr>
            <w:r w:rsidRPr="00A4272B">
              <w:rPr>
                <w:color w:val="000000"/>
                <w:sz w:val="14"/>
                <w:szCs w:val="14"/>
                <w:lang w:val="en-US"/>
              </w:rPr>
              <w:t>56.012330</w:t>
            </w:r>
          </w:p>
        </w:tc>
        <w:tc>
          <w:tcPr>
            <w:tcW w:w="859" w:type="dxa"/>
            <w:tcBorders>
              <w:top w:val="nil"/>
              <w:left w:val="nil"/>
              <w:bottom w:val="single" w:sz="4" w:space="0" w:color="auto"/>
              <w:right w:val="single" w:sz="8" w:space="0" w:color="auto"/>
            </w:tcBorders>
            <w:noWrap/>
            <w:vAlign w:val="center"/>
            <w:hideMark/>
          </w:tcPr>
          <w:p w14:paraId="0AF4540B" w14:textId="77777777" w:rsidR="00F3536C" w:rsidRPr="00A4272B" w:rsidRDefault="00F3536C" w:rsidP="00A41632">
            <w:pPr>
              <w:jc w:val="center"/>
              <w:rPr>
                <w:color w:val="000000"/>
                <w:sz w:val="14"/>
                <w:szCs w:val="14"/>
                <w:lang w:val="en-US"/>
              </w:rPr>
            </w:pPr>
            <w:r w:rsidRPr="00A4272B">
              <w:rPr>
                <w:color w:val="000000"/>
                <w:sz w:val="14"/>
                <w:szCs w:val="14"/>
                <w:lang w:val="en-US"/>
              </w:rPr>
              <w:t>175</w:t>
            </w:r>
          </w:p>
        </w:tc>
        <w:tc>
          <w:tcPr>
            <w:tcW w:w="792" w:type="dxa"/>
            <w:tcBorders>
              <w:bottom w:val="single" w:sz="4" w:space="0" w:color="auto"/>
            </w:tcBorders>
            <w:noWrap/>
            <w:vAlign w:val="center"/>
            <w:hideMark/>
          </w:tcPr>
          <w:p w14:paraId="5A48E11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bottom w:val="single" w:sz="4" w:space="0" w:color="auto"/>
            </w:tcBorders>
            <w:noWrap/>
            <w:vAlign w:val="center"/>
            <w:hideMark/>
          </w:tcPr>
          <w:p w14:paraId="38EF366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bottom w:val="single" w:sz="4" w:space="0" w:color="auto"/>
            </w:tcBorders>
            <w:noWrap/>
            <w:vAlign w:val="center"/>
            <w:hideMark/>
          </w:tcPr>
          <w:p w14:paraId="4C07A0A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bottom w:val="single" w:sz="4" w:space="0" w:color="auto"/>
            </w:tcBorders>
            <w:noWrap/>
            <w:vAlign w:val="center"/>
            <w:hideMark/>
          </w:tcPr>
          <w:p w14:paraId="5BAA20B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bottom w:val="single" w:sz="4" w:space="0" w:color="auto"/>
            </w:tcBorders>
            <w:noWrap/>
            <w:vAlign w:val="center"/>
            <w:hideMark/>
          </w:tcPr>
          <w:p w14:paraId="28B52F3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49E06588"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2627B3D3"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6EB31BA3"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tcBorders>
              <w:top w:val="single" w:sz="4" w:space="0" w:color="auto"/>
            </w:tcBorders>
            <w:noWrap/>
            <w:vAlign w:val="center"/>
            <w:hideMark/>
          </w:tcPr>
          <w:p w14:paraId="68383BD1" w14:textId="77777777" w:rsidR="00F3536C" w:rsidRPr="00A4272B" w:rsidRDefault="00F3536C" w:rsidP="00A41632">
            <w:pPr>
              <w:rPr>
                <w:color w:val="000000"/>
                <w:sz w:val="14"/>
                <w:szCs w:val="14"/>
                <w:lang w:val="en-US"/>
              </w:rPr>
            </w:pPr>
            <w:r w:rsidRPr="00A4272B">
              <w:rPr>
                <w:color w:val="000000"/>
                <w:sz w:val="14"/>
                <w:szCs w:val="14"/>
                <w:lang w:val="en-US"/>
              </w:rPr>
              <w:t>Serbia</w:t>
            </w:r>
          </w:p>
        </w:tc>
        <w:tc>
          <w:tcPr>
            <w:tcW w:w="2504" w:type="dxa"/>
            <w:tcBorders>
              <w:top w:val="single" w:sz="4" w:space="0" w:color="auto"/>
            </w:tcBorders>
            <w:noWrap/>
            <w:vAlign w:val="center"/>
            <w:hideMark/>
          </w:tcPr>
          <w:p w14:paraId="505BA7A7" w14:textId="77777777" w:rsidR="00F3536C" w:rsidRPr="00A4272B" w:rsidRDefault="00F3536C" w:rsidP="00A41632">
            <w:pPr>
              <w:rPr>
                <w:color w:val="000000"/>
                <w:sz w:val="14"/>
                <w:szCs w:val="14"/>
                <w:lang w:val="en-US"/>
              </w:rPr>
            </w:pPr>
            <w:r w:rsidRPr="00A4272B">
              <w:rPr>
                <w:color w:val="000000"/>
                <w:sz w:val="14"/>
                <w:szCs w:val="14"/>
                <w:lang w:val="en-US"/>
              </w:rPr>
              <w:t>Fruska Gora</w:t>
            </w:r>
          </w:p>
        </w:tc>
        <w:tc>
          <w:tcPr>
            <w:tcW w:w="998" w:type="dxa"/>
            <w:tcBorders>
              <w:top w:val="single" w:sz="4" w:space="0" w:color="auto"/>
            </w:tcBorders>
            <w:noWrap/>
            <w:vAlign w:val="center"/>
            <w:hideMark/>
          </w:tcPr>
          <w:p w14:paraId="673B8CA1" w14:textId="77777777" w:rsidR="00F3536C" w:rsidRPr="00A4272B" w:rsidRDefault="00F3536C" w:rsidP="00A41632">
            <w:pPr>
              <w:jc w:val="center"/>
              <w:rPr>
                <w:color w:val="000000"/>
                <w:sz w:val="14"/>
                <w:szCs w:val="14"/>
                <w:lang w:val="en-US"/>
              </w:rPr>
            </w:pPr>
            <w:r w:rsidRPr="00A4272B">
              <w:rPr>
                <w:color w:val="000000"/>
                <w:sz w:val="14"/>
                <w:szCs w:val="14"/>
                <w:lang w:val="en-US"/>
              </w:rPr>
              <w:t>328</w:t>
            </w:r>
          </w:p>
        </w:tc>
        <w:tc>
          <w:tcPr>
            <w:tcW w:w="1342" w:type="dxa"/>
            <w:tcBorders>
              <w:top w:val="single" w:sz="4" w:space="0" w:color="auto"/>
            </w:tcBorders>
            <w:noWrap/>
            <w:vAlign w:val="center"/>
            <w:hideMark/>
          </w:tcPr>
          <w:p w14:paraId="728EE9F5"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tcBorders>
              <w:top w:val="single" w:sz="4" w:space="0" w:color="auto"/>
            </w:tcBorders>
            <w:noWrap/>
            <w:vAlign w:val="center"/>
            <w:hideMark/>
          </w:tcPr>
          <w:p w14:paraId="6FB2444D" w14:textId="77777777" w:rsidR="00F3536C" w:rsidRPr="00A4272B" w:rsidRDefault="00F3536C" w:rsidP="00A41632">
            <w:pPr>
              <w:jc w:val="right"/>
              <w:rPr>
                <w:color w:val="000000"/>
                <w:sz w:val="14"/>
                <w:szCs w:val="14"/>
                <w:lang w:val="en-US"/>
              </w:rPr>
            </w:pPr>
            <w:r w:rsidRPr="00A4272B">
              <w:rPr>
                <w:color w:val="000000"/>
                <w:sz w:val="14"/>
                <w:szCs w:val="14"/>
                <w:lang w:val="en-US"/>
              </w:rPr>
              <w:t>45.159170</w:t>
            </w:r>
          </w:p>
        </w:tc>
        <w:tc>
          <w:tcPr>
            <w:tcW w:w="998" w:type="dxa"/>
            <w:tcBorders>
              <w:top w:val="single" w:sz="4" w:space="0" w:color="auto"/>
            </w:tcBorders>
            <w:noWrap/>
            <w:vAlign w:val="center"/>
            <w:hideMark/>
          </w:tcPr>
          <w:p w14:paraId="24F3382F" w14:textId="77777777" w:rsidR="00F3536C" w:rsidRPr="00A4272B" w:rsidRDefault="00F3536C" w:rsidP="00A41632">
            <w:pPr>
              <w:jc w:val="right"/>
              <w:rPr>
                <w:color w:val="000000"/>
                <w:sz w:val="14"/>
                <w:szCs w:val="14"/>
                <w:lang w:val="en-US"/>
              </w:rPr>
            </w:pPr>
            <w:r w:rsidRPr="00A4272B">
              <w:rPr>
                <w:color w:val="000000"/>
                <w:sz w:val="14"/>
                <w:szCs w:val="14"/>
                <w:lang w:val="en-US"/>
              </w:rPr>
              <w:t>19.862810</w:t>
            </w:r>
          </w:p>
        </w:tc>
        <w:tc>
          <w:tcPr>
            <w:tcW w:w="859" w:type="dxa"/>
            <w:tcBorders>
              <w:top w:val="single" w:sz="4" w:space="0" w:color="auto"/>
              <w:left w:val="nil"/>
              <w:bottom w:val="nil"/>
              <w:right w:val="single" w:sz="8" w:space="0" w:color="auto"/>
            </w:tcBorders>
            <w:noWrap/>
            <w:vAlign w:val="center"/>
            <w:hideMark/>
          </w:tcPr>
          <w:p w14:paraId="21BF2071" w14:textId="77777777" w:rsidR="00F3536C" w:rsidRPr="00A4272B" w:rsidRDefault="00F3536C" w:rsidP="00A41632">
            <w:pPr>
              <w:jc w:val="center"/>
              <w:rPr>
                <w:color w:val="000000"/>
                <w:sz w:val="14"/>
                <w:szCs w:val="14"/>
                <w:lang w:val="en-US"/>
              </w:rPr>
            </w:pPr>
            <w:r w:rsidRPr="00A4272B">
              <w:rPr>
                <w:color w:val="000000"/>
                <w:sz w:val="14"/>
                <w:szCs w:val="14"/>
                <w:lang w:val="en-US"/>
              </w:rPr>
              <w:t>514</w:t>
            </w:r>
          </w:p>
        </w:tc>
        <w:tc>
          <w:tcPr>
            <w:tcW w:w="792" w:type="dxa"/>
            <w:tcBorders>
              <w:top w:val="single" w:sz="4" w:space="0" w:color="auto"/>
            </w:tcBorders>
            <w:noWrap/>
            <w:vAlign w:val="center"/>
            <w:hideMark/>
          </w:tcPr>
          <w:p w14:paraId="3C4C5FD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tcBorders>
            <w:noWrap/>
            <w:vAlign w:val="center"/>
            <w:hideMark/>
          </w:tcPr>
          <w:p w14:paraId="5904F42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tcBorders>
            <w:noWrap/>
            <w:vAlign w:val="center"/>
            <w:hideMark/>
          </w:tcPr>
          <w:p w14:paraId="2E172F1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tcBorders>
            <w:noWrap/>
            <w:vAlign w:val="center"/>
            <w:hideMark/>
          </w:tcPr>
          <w:p w14:paraId="4A777F8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single" w:sz="4" w:space="0" w:color="auto"/>
            </w:tcBorders>
            <w:noWrap/>
            <w:vAlign w:val="center"/>
            <w:hideMark/>
          </w:tcPr>
          <w:p w14:paraId="6563E13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single" w:sz="4" w:space="0" w:color="auto"/>
              <w:left w:val="nil"/>
              <w:bottom w:val="nil"/>
              <w:right w:val="single" w:sz="8" w:space="0" w:color="auto"/>
            </w:tcBorders>
            <w:noWrap/>
            <w:vAlign w:val="center"/>
            <w:hideMark/>
          </w:tcPr>
          <w:p w14:paraId="43C2E067"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4AE9FDCA" w14:textId="77777777" w:rsidTr="00A41632">
        <w:trPr>
          <w:trHeight w:val="276"/>
          <w:jc w:val="center"/>
        </w:trPr>
        <w:tc>
          <w:tcPr>
            <w:tcW w:w="955" w:type="dxa"/>
            <w:tcBorders>
              <w:top w:val="nil"/>
              <w:left w:val="single" w:sz="8" w:space="0" w:color="auto"/>
              <w:bottom w:val="nil"/>
              <w:right w:val="nil"/>
            </w:tcBorders>
            <w:noWrap/>
            <w:vAlign w:val="center"/>
            <w:hideMark/>
          </w:tcPr>
          <w:p w14:paraId="5C2A686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61F47E47" w14:textId="77777777" w:rsidR="00F3536C" w:rsidRPr="00A4272B" w:rsidRDefault="00F3536C" w:rsidP="00A41632">
            <w:pPr>
              <w:rPr>
                <w:color w:val="000000"/>
                <w:sz w:val="14"/>
                <w:szCs w:val="14"/>
                <w:lang w:val="en-US"/>
              </w:rPr>
            </w:pPr>
            <w:r w:rsidRPr="00A4272B">
              <w:rPr>
                <w:color w:val="000000"/>
                <w:sz w:val="14"/>
                <w:szCs w:val="14"/>
                <w:lang w:val="en-US"/>
              </w:rPr>
              <w:t>Slovakia</w:t>
            </w:r>
          </w:p>
        </w:tc>
        <w:tc>
          <w:tcPr>
            <w:tcW w:w="2504" w:type="dxa"/>
            <w:noWrap/>
            <w:vAlign w:val="center"/>
            <w:hideMark/>
          </w:tcPr>
          <w:p w14:paraId="7B9D467A" w14:textId="77777777" w:rsidR="00F3536C" w:rsidRPr="00A4272B" w:rsidRDefault="00F3536C" w:rsidP="00A41632">
            <w:pPr>
              <w:rPr>
                <w:color w:val="000000"/>
                <w:sz w:val="14"/>
                <w:szCs w:val="14"/>
                <w:lang w:val="en-US"/>
              </w:rPr>
            </w:pPr>
            <w:r w:rsidRPr="00A4272B">
              <w:rPr>
                <w:color w:val="000000"/>
                <w:sz w:val="14"/>
                <w:szCs w:val="14"/>
                <w:lang w:val="en-US"/>
              </w:rPr>
              <w:t>Starina [EMEP]</w:t>
            </w:r>
          </w:p>
        </w:tc>
        <w:tc>
          <w:tcPr>
            <w:tcW w:w="998" w:type="dxa"/>
            <w:noWrap/>
            <w:vAlign w:val="center"/>
            <w:hideMark/>
          </w:tcPr>
          <w:p w14:paraId="5BA5AA9C" w14:textId="77777777" w:rsidR="00F3536C" w:rsidRPr="00A4272B" w:rsidRDefault="00F3536C" w:rsidP="00A41632">
            <w:pPr>
              <w:jc w:val="center"/>
              <w:rPr>
                <w:color w:val="000000"/>
                <w:sz w:val="14"/>
                <w:szCs w:val="14"/>
                <w:lang w:val="en-US"/>
              </w:rPr>
            </w:pPr>
            <w:r w:rsidRPr="00A4272B">
              <w:rPr>
                <w:color w:val="000000"/>
                <w:sz w:val="14"/>
                <w:szCs w:val="14"/>
                <w:lang w:val="en-US"/>
              </w:rPr>
              <w:t>312</w:t>
            </w:r>
          </w:p>
        </w:tc>
        <w:tc>
          <w:tcPr>
            <w:tcW w:w="1342" w:type="dxa"/>
            <w:noWrap/>
            <w:vAlign w:val="center"/>
            <w:hideMark/>
          </w:tcPr>
          <w:p w14:paraId="7D8EF8E9"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70F00577" w14:textId="77777777" w:rsidR="00F3536C" w:rsidRPr="00A4272B" w:rsidRDefault="00F3536C" w:rsidP="00A41632">
            <w:pPr>
              <w:jc w:val="right"/>
              <w:rPr>
                <w:color w:val="000000"/>
                <w:sz w:val="14"/>
                <w:szCs w:val="14"/>
                <w:lang w:val="en-US"/>
              </w:rPr>
            </w:pPr>
            <w:r w:rsidRPr="00A4272B">
              <w:rPr>
                <w:color w:val="000000"/>
                <w:sz w:val="14"/>
                <w:szCs w:val="14"/>
                <w:lang w:val="en-US"/>
              </w:rPr>
              <w:t>49.042690</w:t>
            </w:r>
          </w:p>
        </w:tc>
        <w:tc>
          <w:tcPr>
            <w:tcW w:w="998" w:type="dxa"/>
            <w:noWrap/>
            <w:vAlign w:val="center"/>
            <w:hideMark/>
          </w:tcPr>
          <w:p w14:paraId="430EAC21" w14:textId="77777777" w:rsidR="00F3536C" w:rsidRPr="00A4272B" w:rsidRDefault="00F3536C" w:rsidP="00A41632">
            <w:pPr>
              <w:jc w:val="right"/>
              <w:rPr>
                <w:color w:val="000000"/>
                <w:sz w:val="14"/>
                <w:szCs w:val="14"/>
                <w:lang w:val="en-US"/>
              </w:rPr>
            </w:pPr>
            <w:r w:rsidRPr="00A4272B">
              <w:rPr>
                <w:color w:val="000000"/>
                <w:sz w:val="14"/>
                <w:szCs w:val="14"/>
                <w:lang w:val="en-US"/>
              </w:rPr>
              <w:t>22.260000</w:t>
            </w:r>
          </w:p>
        </w:tc>
        <w:tc>
          <w:tcPr>
            <w:tcW w:w="859" w:type="dxa"/>
            <w:tcBorders>
              <w:top w:val="nil"/>
              <w:left w:val="nil"/>
              <w:bottom w:val="nil"/>
              <w:right w:val="single" w:sz="8" w:space="0" w:color="auto"/>
            </w:tcBorders>
            <w:noWrap/>
            <w:vAlign w:val="center"/>
            <w:hideMark/>
          </w:tcPr>
          <w:p w14:paraId="24EE383F" w14:textId="77777777" w:rsidR="00F3536C" w:rsidRPr="00A4272B" w:rsidRDefault="00F3536C" w:rsidP="00A41632">
            <w:pPr>
              <w:jc w:val="center"/>
              <w:rPr>
                <w:color w:val="000000"/>
                <w:sz w:val="14"/>
                <w:szCs w:val="14"/>
                <w:lang w:val="en-US"/>
              </w:rPr>
            </w:pPr>
            <w:r w:rsidRPr="00A4272B">
              <w:rPr>
                <w:color w:val="000000"/>
                <w:sz w:val="14"/>
                <w:szCs w:val="14"/>
                <w:lang w:val="en-US"/>
              </w:rPr>
              <w:t>345</w:t>
            </w:r>
          </w:p>
        </w:tc>
        <w:tc>
          <w:tcPr>
            <w:tcW w:w="792" w:type="dxa"/>
            <w:noWrap/>
            <w:vAlign w:val="center"/>
            <w:hideMark/>
          </w:tcPr>
          <w:p w14:paraId="61F07C9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1E86D1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CAD189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794420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DB5C7B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1BC2BD3" w14:textId="77777777" w:rsidR="00F3536C" w:rsidRPr="00A4272B" w:rsidRDefault="00F3536C" w:rsidP="00A41632">
            <w:pPr>
              <w:jc w:val="center"/>
              <w:rPr>
                <w:sz w:val="14"/>
                <w:szCs w:val="14"/>
                <w:lang w:val="en-US"/>
              </w:rPr>
            </w:pPr>
            <w:r w:rsidRPr="00A4272B">
              <w:rPr>
                <w:sz w:val="14"/>
                <w:szCs w:val="14"/>
                <w:lang w:val="en-US"/>
              </w:rPr>
              <w:t>2006</w:t>
            </w:r>
          </w:p>
        </w:tc>
      </w:tr>
      <w:tr w:rsidR="00F3536C" w:rsidRPr="00A4272B" w14:paraId="75DC0F99" w14:textId="77777777" w:rsidTr="00A41632">
        <w:trPr>
          <w:trHeight w:val="276"/>
          <w:jc w:val="center"/>
        </w:trPr>
        <w:tc>
          <w:tcPr>
            <w:tcW w:w="955" w:type="dxa"/>
            <w:tcBorders>
              <w:top w:val="nil"/>
              <w:left w:val="single" w:sz="8" w:space="0" w:color="auto"/>
              <w:bottom w:val="nil"/>
              <w:right w:val="nil"/>
            </w:tcBorders>
            <w:noWrap/>
            <w:vAlign w:val="center"/>
            <w:hideMark/>
          </w:tcPr>
          <w:p w14:paraId="0DBA1ACF"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37A3244F" w14:textId="77777777" w:rsidR="00F3536C" w:rsidRPr="00A4272B" w:rsidRDefault="00F3536C" w:rsidP="00A41632">
            <w:pPr>
              <w:rPr>
                <w:color w:val="000000"/>
                <w:sz w:val="14"/>
                <w:szCs w:val="14"/>
                <w:lang w:val="en-US"/>
              </w:rPr>
            </w:pPr>
            <w:r w:rsidRPr="00A4272B">
              <w:rPr>
                <w:color w:val="000000"/>
                <w:sz w:val="14"/>
                <w:szCs w:val="14"/>
                <w:lang w:val="en-US"/>
              </w:rPr>
              <w:t>Slovenia</w:t>
            </w:r>
          </w:p>
        </w:tc>
        <w:tc>
          <w:tcPr>
            <w:tcW w:w="2504" w:type="dxa"/>
            <w:noWrap/>
            <w:vAlign w:val="center"/>
            <w:hideMark/>
          </w:tcPr>
          <w:p w14:paraId="08B4AB84" w14:textId="77777777" w:rsidR="00F3536C" w:rsidRPr="00A4272B" w:rsidRDefault="00F3536C" w:rsidP="00A41632">
            <w:pPr>
              <w:rPr>
                <w:color w:val="000000"/>
                <w:sz w:val="14"/>
                <w:szCs w:val="14"/>
                <w:lang w:val="en-US"/>
              </w:rPr>
            </w:pPr>
            <w:r w:rsidRPr="00A4272B">
              <w:rPr>
                <w:color w:val="000000"/>
                <w:sz w:val="14"/>
                <w:szCs w:val="14"/>
                <w:lang w:val="en-US"/>
              </w:rPr>
              <w:t>Iskrba [EMEP]</w:t>
            </w:r>
          </w:p>
        </w:tc>
        <w:tc>
          <w:tcPr>
            <w:tcW w:w="998" w:type="dxa"/>
            <w:noWrap/>
            <w:vAlign w:val="center"/>
            <w:hideMark/>
          </w:tcPr>
          <w:p w14:paraId="16249F01" w14:textId="77777777" w:rsidR="00F3536C" w:rsidRPr="00A4272B" w:rsidRDefault="00F3536C" w:rsidP="00A41632">
            <w:pPr>
              <w:jc w:val="center"/>
              <w:rPr>
                <w:color w:val="000000"/>
                <w:sz w:val="14"/>
                <w:szCs w:val="14"/>
                <w:lang w:val="en-US"/>
              </w:rPr>
            </w:pPr>
            <w:r w:rsidRPr="00A4272B">
              <w:rPr>
                <w:color w:val="000000"/>
                <w:sz w:val="14"/>
                <w:szCs w:val="14"/>
                <w:lang w:val="en-US"/>
              </w:rPr>
              <w:t>317</w:t>
            </w:r>
          </w:p>
        </w:tc>
        <w:tc>
          <w:tcPr>
            <w:tcW w:w="1342" w:type="dxa"/>
            <w:noWrap/>
            <w:vAlign w:val="center"/>
            <w:hideMark/>
          </w:tcPr>
          <w:p w14:paraId="15F497BF"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636E3E92" w14:textId="77777777" w:rsidR="00F3536C" w:rsidRPr="00A4272B" w:rsidRDefault="00F3536C" w:rsidP="00A41632">
            <w:pPr>
              <w:jc w:val="right"/>
              <w:rPr>
                <w:color w:val="000000"/>
                <w:sz w:val="14"/>
                <w:szCs w:val="14"/>
                <w:lang w:val="en-US"/>
              </w:rPr>
            </w:pPr>
            <w:r w:rsidRPr="00A4272B">
              <w:rPr>
                <w:color w:val="000000"/>
                <w:sz w:val="14"/>
                <w:szCs w:val="14"/>
                <w:lang w:val="en-US"/>
              </w:rPr>
              <w:t>45.561390</w:t>
            </w:r>
          </w:p>
        </w:tc>
        <w:tc>
          <w:tcPr>
            <w:tcW w:w="998" w:type="dxa"/>
            <w:noWrap/>
            <w:vAlign w:val="center"/>
            <w:hideMark/>
          </w:tcPr>
          <w:p w14:paraId="17634C1F" w14:textId="77777777" w:rsidR="00F3536C" w:rsidRPr="00A4272B" w:rsidRDefault="00F3536C" w:rsidP="00A41632">
            <w:pPr>
              <w:jc w:val="right"/>
              <w:rPr>
                <w:color w:val="000000"/>
                <w:sz w:val="14"/>
                <w:szCs w:val="14"/>
                <w:lang w:val="en-US"/>
              </w:rPr>
            </w:pPr>
            <w:r w:rsidRPr="00A4272B">
              <w:rPr>
                <w:color w:val="000000"/>
                <w:sz w:val="14"/>
                <w:szCs w:val="14"/>
                <w:lang w:val="en-US"/>
              </w:rPr>
              <w:t>14.862780</w:t>
            </w:r>
          </w:p>
        </w:tc>
        <w:tc>
          <w:tcPr>
            <w:tcW w:w="859" w:type="dxa"/>
            <w:tcBorders>
              <w:top w:val="nil"/>
              <w:left w:val="nil"/>
              <w:bottom w:val="nil"/>
              <w:right w:val="single" w:sz="8" w:space="0" w:color="auto"/>
            </w:tcBorders>
            <w:noWrap/>
            <w:vAlign w:val="center"/>
            <w:hideMark/>
          </w:tcPr>
          <w:p w14:paraId="576BF603" w14:textId="77777777" w:rsidR="00F3536C" w:rsidRPr="00A4272B" w:rsidRDefault="00F3536C" w:rsidP="00A41632">
            <w:pPr>
              <w:jc w:val="center"/>
              <w:rPr>
                <w:color w:val="000000"/>
                <w:sz w:val="14"/>
                <w:szCs w:val="14"/>
                <w:lang w:val="en-US"/>
              </w:rPr>
            </w:pPr>
            <w:r w:rsidRPr="00A4272B">
              <w:rPr>
                <w:color w:val="000000"/>
                <w:sz w:val="14"/>
                <w:szCs w:val="14"/>
                <w:lang w:val="en-US"/>
              </w:rPr>
              <w:t>520</w:t>
            </w:r>
          </w:p>
        </w:tc>
        <w:tc>
          <w:tcPr>
            <w:tcW w:w="792" w:type="dxa"/>
            <w:noWrap/>
            <w:vAlign w:val="center"/>
            <w:hideMark/>
          </w:tcPr>
          <w:p w14:paraId="63C9A62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9F7466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E54FEB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DBD754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848C56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AC94154" w14:textId="77777777" w:rsidR="00F3536C" w:rsidRPr="00A4272B" w:rsidRDefault="00F3536C" w:rsidP="00A41632">
            <w:pPr>
              <w:jc w:val="center"/>
              <w:rPr>
                <w:sz w:val="14"/>
                <w:szCs w:val="14"/>
                <w:lang w:val="en-US"/>
              </w:rPr>
            </w:pPr>
            <w:r w:rsidRPr="00A4272B">
              <w:rPr>
                <w:sz w:val="14"/>
                <w:szCs w:val="14"/>
                <w:lang w:val="en-US"/>
              </w:rPr>
              <w:t>2007</w:t>
            </w:r>
          </w:p>
        </w:tc>
      </w:tr>
      <w:tr w:rsidR="00F3536C" w:rsidRPr="00A4272B" w14:paraId="23818993" w14:textId="77777777" w:rsidTr="00A41632">
        <w:trPr>
          <w:trHeight w:val="276"/>
          <w:jc w:val="center"/>
        </w:trPr>
        <w:tc>
          <w:tcPr>
            <w:tcW w:w="955" w:type="dxa"/>
            <w:tcBorders>
              <w:top w:val="nil"/>
              <w:left w:val="single" w:sz="8" w:space="0" w:color="auto"/>
              <w:bottom w:val="nil"/>
              <w:right w:val="nil"/>
            </w:tcBorders>
            <w:noWrap/>
            <w:vAlign w:val="center"/>
            <w:hideMark/>
          </w:tcPr>
          <w:p w14:paraId="164F69DB"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7F9CA10A" w14:textId="77777777" w:rsidR="00F3536C" w:rsidRPr="00A4272B" w:rsidRDefault="00F3536C" w:rsidP="00A41632">
            <w:pPr>
              <w:rPr>
                <w:color w:val="000000"/>
                <w:sz w:val="14"/>
                <w:szCs w:val="14"/>
                <w:lang w:val="en-US"/>
              </w:rPr>
            </w:pPr>
            <w:r w:rsidRPr="00A4272B">
              <w:rPr>
                <w:color w:val="000000"/>
                <w:sz w:val="14"/>
                <w:szCs w:val="14"/>
                <w:lang w:val="en-US"/>
              </w:rPr>
              <w:t>Sweden</w:t>
            </w:r>
          </w:p>
        </w:tc>
        <w:tc>
          <w:tcPr>
            <w:tcW w:w="2504" w:type="dxa"/>
            <w:noWrap/>
            <w:vAlign w:val="center"/>
            <w:hideMark/>
          </w:tcPr>
          <w:p w14:paraId="36DAFC76" w14:textId="77777777" w:rsidR="00F3536C" w:rsidRPr="00A4272B" w:rsidRDefault="00F3536C" w:rsidP="00A41632">
            <w:pPr>
              <w:rPr>
                <w:color w:val="000000"/>
                <w:sz w:val="14"/>
                <w:szCs w:val="14"/>
                <w:lang w:val="en-US"/>
              </w:rPr>
            </w:pPr>
            <w:r w:rsidRPr="00A4272B">
              <w:rPr>
                <w:color w:val="000000"/>
                <w:sz w:val="14"/>
                <w:szCs w:val="14"/>
                <w:lang w:val="en-US"/>
              </w:rPr>
              <w:t>Rao [EMEP]</w:t>
            </w:r>
          </w:p>
        </w:tc>
        <w:tc>
          <w:tcPr>
            <w:tcW w:w="998" w:type="dxa"/>
            <w:noWrap/>
            <w:vAlign w:val="center"/>
            <w:hideMark/>
          </w:tcPr>
          <w:p w14:paraId="0A141037" w14:textId="77777777" w:rsidR="00F3536C" w:rsidRPr="00A4272B" w:rsidRDefault="00F3536C" w:rsidP="00A41632">
            <w:pPr>
              <w:jc w:val="center"/>
              <w:rPr>
                <w:color w:val="000000"/>
                <w:sz w:val="14"/>
                <w:szCs w:val="14"/>
                <w:lang w:val="en-US"/>
              </w:rPr>
            </w:pPr>
            <w:r w:rsidRPr="00A4272B">
              <w:rPr>
                <w:color w:val="000000"/>
                <w:sz w:val="14"/>
                <w:szCs w:val="14"/>
                <w:lang w:val="en-US"/>
              </w:rPr>
              <w:t>771</w:t>
            </w:r>
          </w:p>
        </w:tc>
        <w:tc>
          <w:tcPr>
            <w:tcW w:w="1342" w:type="dxa"/>
            <w:noWrap/>
            <w:vAlign w:val="center"/>
            <w:hideMark/>
          </w:tcPr>
          <w:p w14:paraId="3EBEBD30"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366C9E8C" w14:textId="77777777" w:rsidR="00F3536C" w:rsidRPr="00A4272B" w:rsidRDefault="00F3536C" w:rsidP="00A41632">
            <w:pPr>
              <w:jc w:val="right"/>
              <w:rPr>
                <w:color w:val="000000"/>
                <w:sz w:val="14"/>
                <w:szCs w:val="14"/>
                <w:lang w:val="en-US"/>
              </w:rPr>
            </w:pPr>
            <w:r w:rsidRPr="00A4272B">
              <w:rPr>
                <w:color w:val="000000"/>
                <w:sz w:val="14"/>
                <w:szCs w:val="14"/>
                <w:lang w:val="en-US"/>
              </w:rPr>
              <w:t>57.393670</w:t>
            </w:r>
          </w:p>
        </w:tc>
        <w:tc>
          <w:tcPr>
            <w:tcW w:w="998" w:type="dxa"/>
            <w:noWrap/>
            <w:vAlign w:val="center"/>
            <w:hideMark/>
          </w:tcPr>
          <w:p w14:paraId="000B3EF9" w14:textId="77777777" w:rsidR="00F3536C" w:rsidRPr="00A4272B" w:rsidRDefault="00F3536C" w:rsidP="00A41632">
            <w:pPr>
              <w:jc w:val="right"/>
              <w:rPr>
                <w:color w:val="000000"/>
                <w:sz w:val="14"/>
                <w:szCs w:val="14"/>
                <w:lang w:val="en-US"/>
              </w:rPr>
            </w:pPr>
            <w:r w:rsidRPr="00A4272B">
              <w:rPr>
                <w:color w:val="000000"/>
                <w:sz w:val="14"/>
                <w:szCs w:val="14"/>
                <w:lang w:val="en-US"/>
              </w:rPr>
              <w:t>11.914170</w:t>
            </w:r>
          </w:p>
        </w:tc>
        <w:tc>
          <w:tcPr>
            <w:tcW w:w="859" w:type="dxa"/>
            <w:tcBorders>
              <w:top w:val="nil"/>
              <w:left w:val="nil"/>
              <w:bottom w:val="nil"/>
              <w:right w:val="single" w:sz="8" w:space="0" w:color="auto"/>
            </w:tcBorders>
            <w:noWrap/>
            <w:vAlign w:val="center"/>
            <w:hideMark/>
          </w:tcPr>
          <w:p w14:paraId="4A7B8F54" w14:textId="77777777" w:rsidR="00F3536C" w:rsidRPr="00A4272B" w:rsidRDefault="00F3536C" w:rsidP="00A41632">
            <w:pPr>
              <w:jc w:val="center"/>
              <w:rPr>
                <w:color w:val="000000"/>
                <w:sz w:val="14"/>
                <w:szCs w:val="14"/>
                <w:lang w:val="en-US"/>
              </w:rPr>
            </w:pPr>
            <w:r w:rsidRPr="00A4272B">
              <w:rPr>
                <w:color w:val="000000"/>
                <w:sz w:val="14"/>
                <w:szCs w:val="14"/>
                <w:lang w:val="en-US"/>
              </w:rPr>
              <w:t>10</w:t>
            </w:r>
          </w:p>
        </w:tc>
        <w:tc>
          <w:tcPr>
            <w:tcW w:w="792" w:type="dxa"/>
            <w:noWrap/>
            <w:vAlign w:val="center"/>
            <w:hideMark/>
          </w:tcPr>
          <w:p w14:paraId="01365E3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DC8224B"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1D85C5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45AF9F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1353D9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2885714"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3F728A94" w14:textId="77777777" w:rsidTr="00A41632">
        <w:trPr>
          <w:trHeight w:val="276"/>
          <w:jc w:val="center"/>
        </w:trPr>
        <w:tc>
          <w:tcPr>
            <w:tcW w:w="955" w:type="dxa"/>
            <w:tcBorders>
              <w:top w:val="nil"/>
              <w:left w:val="single" w:sz="8" w:space="0" w:color="auto"/>
              <w:bottom w:val="nil"/>
              <w:right w:val="nil"/>
            </w:tcBorders>
            <w:noWrap/>
            <w:vAlign w:val="center"/>
            <w:hideMark/>
          </w:tcPr>
          <w:p w14:paraId="3B878C64"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5A21B6D0" w14:textId="77777777" w:rsidR="00F3536C" w:rsidRPr="00A4272B" w:rsidRDefault="00F3536C" w:rsidP="00A41632">
            <w:pPr>
              <w:rPr>
                <w:color w:val="000000"/>
                <w:sz w:val="14"/>
                <w:szCs w:val="14"/>
                <w:lang w:val="en-US"/>
              </w:rPr>
            </w:pPr>
            <w:r w:rsidRPr="00A4272B">
              <w:rPr>
                <w:color w:val="000000"/>
                <w:sz w:val="14"/>
                <w:szCs w:val="14"/>
                <w:lang w:val="en-US"/>
              </w:rPr>
              <w:t>Switzerland</w:t>
            </w:r>
          </w:p>
        </w:tc>
        <w:tc>
          <w:tcPr>
            <w:tcW w:w="2504" w:type="dxa"/>
            <w:noWrap/>
            <w:vAlign w:val="center"/>
            <w:hideMark/>
          </w:tcPr>
          <w:p w14:paraId="5A6F2546" w14:textId="77777777" w:rsidR="00F3536C" w:rsidRPr="00A4272B" w:rsidRDefault="00F3536C" w:rsidP="00A41632">
            <w:pPr>
              <w:rPr>
                <w:color w:val="000000"/>
                <w:sz w:val="14"/>
                <w:szCs w:val="14"/>
                <w:lang w:val="en-US"/>
              </w:rPr>
            </w:pPr>
            <w:r w:rsidRPr="00A4272B">
              <w:rPr>
                <w:color w:val="000000"/>
                <w:sz w:val="14"/>
                <w:szCs w:val="14"/>
                <w:lang w:val="en-US"/>
              </w:rPr>
              <w:t>Payerne [EMEP]</w:t>
            </w:r>
          </w:p>
        </w:tc>
        <w:tc>
          <w:tcPr>
            <w:tcW w:w="998" w:type="dxa"/>
            <w:noWrap/>
            <w:vAlign w:val="center"/>
            <w:hideMark/>
          </w:tcPr>
          <w:p w14:paraId="74F5D4DB" w14:textId="77777777" w:rsidR="00F3536C" w:rsidRPr="00A4272B" w:rsidRDefault="00F3536C" w:rsidP="00A41632">
            <w:pPr>
              <w:jc w:val="center"/>
              <w:rPr>
                <w:color w:val="000000"/>
                <w:sz w:val="14"/>
                <w:szCs w:val="14"/>
                <w:lang w:val="en-US"/>
              </w:rPr>
            </w:pPr>
            <w:r w:rsidRPr="00A4272B">
              <w:rPr>
                <w:color w:val="000000"/>
                <w:sz w:val="14"/>
                <w:szCs w:val="14"/>
                <w:lang w:val="en-US"/>
              </w:rPr>
              <w:t>772</w:t>
            </w:r>
          </w:p>
        </w:tc>
        <w:tc>
          <w:tcPr>
            <w:tcW w:w="1342" w:type="dxa"/>
            <w:noWrap/>
            <w:vAlign w:val="center"/>
            <w:hideMark/>
          </w:tcPr>
          <w:p w14:paraId="15F3BB04"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425A39D5" w14:textId="77777777" w:rsidR="00F3536C" w:rsidRPr="00A4272B" w:rsidRDefault="00F3536C" w:rsidP="00A41632">
            <w:pPr>
              <w:jc w:val="right"/>
              <w:rPr>
                <w:color w:val="000000"/>
                <w:sz w:val="14"/>
                <w:szCs w:val="14"/>
                <w:lang w:val="en-US"/>
              </w:rPr>
            </w:pPr>
            <w:r w:rsidRPr="00A4272B">
              <w:rPr>
                <w:color w:val="000000"/>
                <w:sz w:val="14"/>
                <w:szCs w:val="14"/>
                <w:lang w:val="en-US"/>
              </w:rPr>
              <w:t>46.800000</w:t>
            </w:r>
          </w:p>
        </w:tc>
        <w:tc>
          <w:tcPr>
            <w:tcW w:w="998" w:type="dxa"/>
            <w:noWrap/>
            <w:vAlign w:val="center"/>
            <w:hideMark/>
          </w:tcPr>
          <w:p w14:paraId="1A696EC2" w14:textId="77777777" w:rsidR="00F3536C" w:rsidRPr="00A4272B" w:rsidRDefault="00F3536C" w:rsidP="00A41632">
            <w:pPr>
              <w:jc w:val="right"/>
              <w:rPr>
                <w:color w:val="000000"/>
                <w:sz w:val="14"/>
                <w:szCs w:val="14"/>
                <w:lang w:val="en-US"/>
              </w:rPr>
            </w:pPr>
            <w:r w:rsidRPr="00A4272B">
              <w:rPr>
                <w:color w:val="000000"/>
                <w:sz w:val="14"/>
                <w:szCs w:val="14"/>
                <w:lang w:val="en-US"/>
              </w:rPr>
              <w:t>6.933330</w:t>
            </w:r>
          </w:p>
        </w:tc>
        <w:tc>
          <w:tcPr>
            <w:tcW w:w="859" w:type="dxa"/>
            <w:tcBorders>
              <w:top w:val="nil"/>
              <w:left w:val="nil"/>
              <w:bottom w:val="nil"/>
              <w:right w:val="single" w:sz="8" w:space="0" w:color="auto"/>
            </w:tcBorders>
            <w:noWrap/>
            <w:vAlign w:val="center"/>
            <w:hideMark/>
          </w:tcPr>
          <w:p w14:paraId="59CABBCD" w14:textId="77777777" w:rsidR="00F3536C" w:rsidRPr="00A4272B" w:rsidRDefault="00F3536C" w:rsidP="00A41632">
            <w:pPr>
              <w:jc w:val="center"/>
              <w:rPr>
                <w:color w:val="000000"/>
                <w:sz w:val="14"/>
                <w:szCs w:val="14"/>
                <w:lang w:val="en-US"/>
              </w:rPr>
            </w:pPr>
            <w:r w:rsidRPr="00A4272B">
              <w:rPr>
                <w:color w:val="000000"/>
                <w:sz w:val="14"/>
                <w:szCs w:val="14"/>
                <w:lang w:val="en-US"/>
              </w:rPr>
              <w:t>489</w:t>
            </w:r>
          </w:p>
        </w:tc>
        <w:tc>
          <w:tcPr>
            <w:tcW w:w="792" w:type="dxa"/>
            <w:noWrap/>
            <w:vAlign w:val="center"/>
            <w:hideMark/>
          </w:tcPr>
          <w:p w14:paraId="5193919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5446FA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D7CE6F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BB53E2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31EA01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8F022C4"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071B9F55" w14:textId="77777777" w:rsidTr="00A41632">
        <w:trPr>
          <w:trHeight w:val="276"/>
          <w:jc w:val="center"/>
        </w:trPr>
        <w:tc>
          <w:tcPr>
            <w:tcW w:w="955" w:type="dxa"/>
            <w:tcBorders>
              <w:top w:val="nil"/>
              <w:left w:val="single" w:sz="8" w:space="0" w:color="auto"/>
              <w:bottom w:val="nil"/>
              <w:right w:val="nil"/>
            </w:tcBorders>
            <w:noWrap/>
            <w:vAlign w:val="center"/>
            <w:hideMark/>
          </w:tcPr>
          <w:p w14:paraId="283B2449"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7FEBDA29" w14:textId="77777777" w:rsidR="00F3536C" w:rsidRPr="00A4272B" w:rsidRDefault="00F3536C" w:rsidP="00A41632">
            <w:pPr>
              <w:rPr>
                <w:color w:val="000000"/>
                <w:sz w:val="14"/>
                <w:szCs w:val="14"/>
                <w:lang w:val="en-US"/>
              </w:rPr>
            </w:pPr>
            <w:r w:rsidRPr="00A4272B">
              <w:rPr>
                <w:color w:val="000000"/>
                <w:sz w:val="14"/>
                <w:szCs w:val="14"/>
                <w:lang w:val="en-US"/>
              </w:rPr>
              <w:t>Turkey</w:t>
            </w:r>
          </w:p>
        </w:tc>
        <w:tc>
          <w:tcPr>
            <w:tcW w:w="2504" w:type="dxa"/>
            <w:noWrap/>
            <w:vAlign w:val="center"/>
            <w:hideMark/>
          </w:tcPr>
          <w:p w14:paraId="161D4857" w14:textId="77777777" w:rsidR="00F3536C" w:rsidRPr="00A4272B" w:rsidRDefault="00F3536C" w:rsidP="00A41632">
            <w:pPr>
              <w:rPr>
                <w:color w:val="000000"/>
                <w:sz w:val="14"/>
                <w:szCs w:val="14"/>
                <w:lang w:val="en-US"/>
              </w:rPr>
            </w:pPr>
            <w:r w:rsidRPr="00A4272B">
              <w:rPr>
                <w:color w:val="000000"/>
                <w:sz w:val="14"/>
                <w:szCs w:val="14"/>
                <w:lang w:val="en-US"/>
              </w:rPr>
              <w:t>Camkoru</w:t>
            </w:r>
          </w:p>
        </w:tc>
        <w:tc>
          <w:tcPr>
            <w:tcW w:w="998" w:type="dxa"/>
            <w:noWrap/>
            <w:vAlign w:val="center"/>
            <w:hideMark/>
          </w:tcPr>
          <w:p w14:paraId="7C6CE561" w14:textId="77777777" w:rsidR="00F3536C" w:rsidRPr="00A4272B" w:rsidRDefault="00F3536C" w:rsidP="00A41632">
            <w:pPr>
              <w:jc w:val="center"/>
              <w:rPr>
                <w:color w:val="000000"/>
                <w:sz w:val="14"/>
                <w:szCs w:val="14"/>
                <w:lang w:val="en-US"/>
              </w:rPr>
            </w:pPr>
            <w:r w:rsidRPr="00A4272B">
              <w:rPr>
                <w:color w:val="000000"/>
                <w:sz w:val="14"/>
                <w:szCs w:val="14"/>
                <w:lang w:val="en-US"/>
              </w:rPr>
              <w:t>773</w:t>
            </w:r>
          </w:p>
        </w:tc>
        <w:tc>
          <w:tcPr>
            <w:tcW w:w="1342" w:type="dxa"/>
            <w:noWrap/>
            <w:vAlign w:val="center"/>
            <w:hideMark/>
          </w:tcPr>
          <w:p w14:paraId="78A8A7C8"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79399312" w14:textId="77777777" w:rsidR="00F3536C" w:rsidRPr="00A4272B" w:rsidRDefault="00F3536C" w:rsidP="00A41632">
            <w:pPr>
              <w:jc w:val="right"/>
              <w:rPr>
                <w:color w:val="000000"/>
                <w:sz w:val="14"/>
                <w:szCs w:val="14"/>
                <w:lang w:val="en-US"/>
              </w:rPr>
            </w:pPr>
            <w:r w:rsidRPr="00A4272B">
              <w:rPr>
                <w:color w:val="000000"/>
                <w:sz w:val="14"/>
                <w:szCs w:val="14"/>
                <w:lang w:val="en-US"/>
              </w:rPr>
              <w:t>40.584690</w:t>
            </w:r>
          </w:p>
        </w:tc>
        <w:tc>
          <w:tcPr>
            <w:tcW w:w="998" w:type="dxa"/>
            <w:noWrap/>
            <w:vAlign w:val="center"/>
            <w:hideMark/>
          </w:tcPr>
          <w:p w14:paraId="30CC1DA4" w14:textId="77777777" w:rsidR="00F3536C" w:rsidRPr="00A4272B" w:rsidRDefault="00F3536C" w:rsidP="00A41632">
            <w:pPr>
              <w:jc w:val="right"/>
              <w:rPr>
                <w:color w:val="000000"/>
                <w:sz w:val="14"/>
                <w:szCs w:val="14"/>
                <w:lang w:val="en-US"/>
              </w:rPr>
            </w:pPr>
            <w:r w:rsidRPr="00A4272B">
              <w:rPr>
                <w:color w:val="000000"/>
                <w:sz w:val="14"/>
                <w:szCs w:val="14"/>
                <w:lang w:val="en-US"/>
              </w:rPr>
              <w:t>32.504860</w:t>
            </w:r>
          </w:p>
        </w:tc>
        <w:tc>
          <w:tcPr>
            <w:tcW w:w="859" w:type="dxa"/>
            <w:tcBorders>
              <w:top w:val="nil"/>
              <w:left w:val="nil"/>
              <w:bottom w:val="nil"/>
              <w:right w:val="single" w:sz="8" w:space="0" w:color="auto"/>
            </w:tcBorders>
            <w:noWrap/>
            <w:vAlign w:val="center"/>
            <w:hideMark/>
          </w:tcPr>
          <w:p w14:paraId="2199D90C" w14:textId="77777777" w:rsidR="00F3536C" w:rsidRPr="00A4272B" w:rsidRDefault="00F3536C" w:rsidP="00A41632">
            <w:pPr>
              <w:jc w:val="center"/>
              <w:rPr>
                <w:color w:val="000000"/>
                <w:sz w:val="14"/>
                <w:szCs w:val="14"/>
                <w:lang w:val="en-US"/>
              </w:rPr>
            </w:pPr>
            <w:r w:rsidRPr="00A4272B">
              <w:rPr>
                <w:color w:val="000000"/>
                <w:sz w:val="14"/>
                <w:szCs w:val="14"/>
                <w:lang w:val="en-US"/>
              </w:rPr>
              <w:t>1406</w:t>
            </w:r>
          </w:p>
        </w:tc>
        <w:tc>
          <w:tcPr>
            <w:tcW w:w="792" w:type="dxa"/>
            <w:noWrap/>
            <w:vAlign w:val="center"/>
            <w:hideMark/>
          </w:tcPr>
          <w:p w14:paraId="26286B3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7A6E0B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808D43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5C1C06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4FF36B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DE3CC25"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26F651C9" w14:textId="77777777" w:rsidTr="00A41632">
        <w:trPr>
          <w:trHeight w:val="276"/>
          <w:jc w:val="center"/>
        </w:trPr>
        <w:tc>
          <w:tcPr>
            <w:tcW w:w="955" w:type="dxa"/>
            <w:tcBorders>
              <w:top w:val="nil"/>
              <w:left w:val="single" w:sz="8" w:space="0" w:color="auto"/>
              <w:bottom w:val="nil"/>
              <w:right w:val="nil"/>
            </w:tcBorders>
            <w:noWrap/>
            <w:vAlign w:val="center"/>
            <w:hideMark/>
          </w:tcPr>
          <w:p w14:paraId="49BC24F8"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noWrap/>
            <w:vAlign w:val="center"/>
            <w:hideMark/>
          </w:tcPr>
          <w:p w14:paraId="51E3148F" w14:textId="77777777" w:rsidR="00F3536C" w:rsidRPr="00A4272B" w:rsidRDefault="00F3536C" w:rsidP="00A41632">
            <w:pPr>
              <w:rPr>
                <w:color w:val="000000"/>
                <w:sz w:val="14"/>
                <w:szCs w:val="14"/>
                <w:lang w:val="en-US"/>
              </w:rPr>
            </w:pPr>
            <w:r w:rsidRPr="00A4272B">
              <w:rPr>
                <w:color w:val="000000"/>
                <w:sz w:val="14"/>
                <w:szCs w:val="14"/>
                <w:lang w:val="en-US"/>
              </w:rPr>
              <w:t>Ukraine</w:t>
            </w:r>
          </w:p>
        </w:tc>
        <w:tc>
          <w:tcPr>
            <w:tcW w:w="2504" w:type="dxa"/>
            <w:noWrap/>
            <w:vAlign w:val="center"/>
            <w:hideMark/>
          </w:tcPr>
          <w:p w14:paraId="0F98A352" w14:textId="77777777" w:rsidR="00F3536C" w:rsidRPr="00A4272B" w:rsidRDefault="00F3536C" w:rsidP="00A41632">
            <w:pPr>
              <w:rPr>
                <w:color w:val="000000"/>
                <w:sz w:val="14"/>
                <w:szCs w:val="14"/>
                <w:lang w:val="en-US"/>
              </w:rPr>
            </w:pPr>
            <w:r w:rsidRPr="00A4272B">
              <w:rPr>
                <w:color w:val="000000"/>
                <w:sz w:val="14"/>
                <w:szCs w:val="14"/>
                <w:lang w:val="en-US"/>
              </w:rPr>
              <w:t>Zmiinyi Island [EMEP]</w:t>
            </w:r>
          </w:p>
        </w:tc>
        <w:tc>
          <w:tcPr>
            <w:tcW w:w="998" w:type="dxa"/>
            <w:noWrap/>
            <w:vAlign w:val="center"/>
            <w:hideMark/>
          </w:tcPr>
          <w:p w14:paraId="6DBE2D72" w14:textId="77777777" w:rsidR="00F3536C" w:rsidRPr="00A4272B" w:rsidRDefault="00F3536C" w:rsidP="00A41632">
            <w:pPr>
              <w:jc w:val="center"/>
              <w:rPr>
                <w:color w:val="000000"/>
                <w:sz w:val="14"/>
                <w:szCs w:val="14"/>
                <w:lang w:val="en-US"/>
              </w:rPr>
            </w:pPr>
            <w:r w:rsidRPr="00A4272B">
              <w:rPr>
                <w:color w:val="000000"/>
                <w:sz w:val="14"/>
                <w:szCs w:val="14"/>
                <w:lang w:val="en-US"/>
              </w:rPr>
              <w:t>774</w:t>
            </w:r>
          </w:p>
        </w:tc>
        <w:tc>
          <w:tcPr>
            <w:tcW w:w="1342" w:type="dxa"/>
            <w:noWrap/>
            <w:vAlign w:val="center"/>
            <w:hideMark/>
          </w:tcPr>
          <w:p w14:paraId="33E25225"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0C76264B" w14:textId="77777777" w:rsidR="00F3536C" w:rsidRPr="00A4272B" w:rsidRDefault="00F3536C" w:rsidP="00A41632">
            <w:pPr>
              <w:jc w:val="right"/>
              <w:rPr>
                <w:color w:val="000000"/>
                <w:sz w:val="14"/>
                <w:szCs w:val="14"/>
                <w:lang w:val="en-US"/>
              </w:rPr>
            </w:pPr>
            <w:r w:rsidRPr="00A4272B">
              <w:rPr>
                <w:color w:val="000000"/>
                <w:sz w:val="14"/>
                <w:szCs w:val="14"/>
                <w:lang w:val="en-US"/>
              </w:rPr>
              <w:t>45.256110</w:t>
            </w:r>
          </w:p>
        </w:tc>
        <w:tc>
          <w:tcPr>
            <w:tcW w:w="998" w:type="dxa"/>
            <w:noWrap/>
            <w:vAlign w:val="center"/>
            <w:hideMark/>
          </w:tcPr>
          <w:p w14:paraId="2BA7BE59" w14:textId="77777777" w:rsidR="00F3536C" w:rsidRPr="00A4272B" w:rsidRDefault="00F3536C" w:rsidP="00A41632">
            <w:pPr>
              <w:jc w:val="right"/>
              <w:rPr>
                <w:color w:val="000000"/>
                <w:sz w:val="14"/>
                <w:szCs w:val="14"/>
                <w:lang w:val="en-US"/>
              </w:rPr>
            </w:pPr>
            <w:r w:rsidRPr="00A4272B">
              <w:rPr>
                <w:color w:val="000000"/>
                <w:sz w:val="14"/>
                <w:szCs w:val="14"/>
                <w:lang w:val="en-US"/>
              </w:rPr>
              <w:t>30.201060</w:t>
            </w:r>
          </w:p>
        </w:tc>
        <w:tc>
          <w:tcPr>
            <w:tcW w:w="859" w:type="dxa"/>
            <w:tcBorders>
              <w:top w:val="nil"/>
              <w:left w:val="nil"/>
              <w:bottom w:val="nil"/>
              <w:right w:val="single" w:sz="8" w:space="0" w:color="auto"/>
            </w:tcBorders>
            <w:noWrap/>
            <w:vAlign w:val="center"/>
            <w:hideMark/>
          </w:tcPr>
          <w:p w14:paraId="5D3E3186" w14:textId="77777777" w:rsidR="00F3536C" w:rsidRPr="00A4272B" w:rsidRDefault="00F3536C" w:rsidP="00A41632">
            <w:pPr>
              <w:jc w:val="center"/>
              <w:rPr>
                <w:color w:val="000000"/>
                <w:sz w:val="14"/>
                <w:szCs w:val="14"/>
                <w:lang w:val="en-US"/>
              </w:rPr>
            </w:pPr>
            <w:r w:rsidRPr="00A4272B">
              <w:rPr>
                <w:color w:val="000000"/>
                <w:sz w:val="14"/>
                <w:szCs w:val="14"/>
                <w:lang w:val="en-US"/>
              </w:rPr>
              <w:t>28</w:t>
            </w:r>
          </w:p>
        </w:tc>
        <w:tc>
          <w:tcPr>
            <w:tcW w:w="792" w:type="dxa"/>
            <w:noWrap/>
            <w:vAlign w:val="center"/>
            <w:hideMark/>
          </w:tcPr>
          <w:p w14:paraId="35FECFA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B71EC3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C7F3DE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87613B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4E0378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8BF88F8"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1D3706DE"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52AC4EA1" w14:textId="77777777" w:rsidR="00F3536C" w:rsidRPr="00A4272B" w:rsidRDefault="00F3536C" w:rsidP="00A41632">
            <w:pPr>
              <w:rPr>
                <w:color w:val="000000"/>
                <w:sz w:val="14"/>
                <w:szCs w:val="14"/>
                <w:lang w:val="en-US"/>
              </w:rPr>
            </w:pPr>
            <w:r w:rsidRPr="00A4272B">
              <w:rPr>
                <w:color w:val="000000"/>
                <w:sz w:val="14"/>
                <w:szCs w:val="14"/>
                <w:lang w:val="en-US"/>
              </w:rPr>
              <w:t>MONET</w:t>
            </w:r>
          </w:p>
        </w:tc>
        <w:tc>
          <w:tcPr>
            <w:tcW w:w="1391" w:type="dxa"/>
            <w:tcBorders>
              <w:top w:val="nil"/>
              <w:left w:val="nil"/>
              <w:bottom w:val="single" w:sz="4" w:space="0" w:color="auto"/>
              <w:right w:val="nil"/>
            </w:tcBorders>
            <w:noWrap/>
            <w:vAlign w:val="center"/>
            <w:hideMark/>
          </w:tcPr>
          <w:p w14:paraId="375162B0" w14:textId="77777777" w:rsidR="00F3536C" w:rsidRPr="00A4272B" w:rsidRDefault="00F3536C" w:rsidP="00A41632">
            <w:pPr>
              <w:rPr>
                <w:color w:val="000000"/>
                <w:sz w:val="14"/>
                <w:szCs w:val="14"/>
                <w:lang w:val="en-US"/>
              </w:rPr>
            </w:pPr>
            <w:r w:rsidRPr="00A4272B">
              <w:rPr>
                <w:color w:val="000000"/>
                <w:sz w:val="14"/>
                <w:szCs w:val="14"/>
                <w:lang w:val="en-US"/>
              </w:rPr>
              <w:t>United Kingdom</w:t>
            </w:r>
          </w:p>
        </w:tc>
        <w:tc>
          <w:tcPr>
            <w:tcW w:w="2504" w:type="dxa"/>
            <w:tcBorders>
              <w:top w:val="nil"/>
              <w:left w:val="nil"/>
              <w:bottom w:val="single" w:sz="4" w:space="0" w:color="auto"/>
              <w:right w:val="nil"/>
            </w:tcBorders>
            <w:noWrap/>
            <w:vAlign w:val="center"/>
            <w:hideMark/>
          </w:tcPr>
          <w:p w14:paraId="4843B881" w14:textId="77777777" w:rsidR="00F3536C" w:rsidRPr="00A4272B" w:rsidRDefault="00F3536C" w:rsidP="00A41632">
            <w:pPr>
              <w:rPr>
                <w:color w:val="000000"/>
                <w:sz w:val="14"/>
                <w:szCs w:val="14"/>
                <w:lang w:val="en-US"/>
              </w:rPr>
            </w:pPr>
            <w:r w:rsidRPr="00A4272B">
              <w:rPr>
                <w:color w:val="000000"/>
                <w:sz w:val="14"/>
                <w:szCs w:val="14"/>
                <w:lang w:val="en-US"/>
              </w:rPr>
              <w:t>High Muffles [EMEP]</w:t>
            </w:r>
          </w:p>
        </w:tc>
        <w:tc>
          <w:tcPr>
            <w:tcW w:w="998" w:type="dxa"/>
            <w:tcBorders>
              <w:top w:val="nil"/>
              <w:left w:val="nil"/>
              <w:bottom w:val="single" w:sz="4" w:space="0" w:color="auto"/>
              <w:right w:val="nil"/>
            </w:tcBorders>
            <w:noWrap/>
            <w:vAlign w:val="center"/>
            <w:hideMark/>
          </w:tcPr>
          <w:p w14:paraId="6909FA0A" w14:textId="77777777" w:rsidR="00F3536C" w:rsidRPr="00A4272B" w:rsidRDefault="00F3536C" w:rsidP="00A41632">
            <w:pPr>
              <w:jc w:val="center"/>
              <w:rPr>
                <w:color w:val="000000"/>
                <w:sz w:val="14"/>
                <w:szCs w:val="14"/>
                <w:lang w:val="en-US"/>
              </w:rPr>
            </w:pPr>
            <w:r w:rsidRPr="00A4272B">
              <w:rPr>
                <w:color w:val="000000"/>
                <w:sz w:val="14"/>
                <w:szCs w:val="14"/>
                <w:lang w:val="en-US"/>
              </w:rPr>
              <w:t>776</w:t>
            </w:r>
          </w:p>
        </w:tc>
        <w:tc>
          <w:tcPr>
            <w:tcW w:w="1342" w:type="dxa"/>
            <w:tcBorders>
              <w:top w:val="nil"/>
              <w:left w:val="nil"/>
              <w:bottom w:val="single" w:sz="4" w:space="0" w:color="auto"/>
              <w:right w:val="nil"/>
            </w:tcBorders>
            <w:noWrap/>
            <w:vAlign w:val="center"/>
            <w:hideMark/>
          </w:tcPr>
          <w:p w14:paraId="3ECA2EEB"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top w:val="nil"/>
              <w:left w:val="nil"/>
              <w:bottom w:val="single" w:sz="4" w:space="0" w:color="auto"/>
              <w:right w:val="nil"/>
            </w:tcBorders>
            <w:noWrap/>
            <w:vAlign w:val="center"/>
            <w:hideMark/>
          </w:tcPr>
          <w:p w14:paraId="6D76CCAD" w14:textId="77777777" w:rsidR="00F3536C" w:rsidRPr="00A4272B" w:rsidRDefault="00F3536C" w:rsidP="00A41632">
            <w:pPr>
              <w:jc w:val="right"/>
              <w:rPr>
                <w:color w:val="000000"/>
                <w:sz w:val="14"/>
                <w:szCs w:val="14"/>
                <w:lang w:val="en-US"/>
              </w:rPr>
            </w:pPr>
            <w:r w:rsidRPr="00A4272B">
              <w:rPr>
                <w:color w:val="000000"/>
                <w:sz w:val="14"/>
                <w:szCs w:val="14"/>
                <w:lang w:val="en-US"/>
              </w:rPr>
              <w:t>54.334944</w:t>
            </w:r>
          </w:p>
        </w:tc>
        <w:tc>
          <w:tcPr>
            <w:tcW w:w="998" w:type="dxa"/>
            <w:tcBorders>
              <w:top w:val="nil"/>
              <w:left w:val="nil"/>
              <w:bottom w:val="single" w:sz="4" w:space="0" w:color="auto"/>
              <w:right w:val="nil"/>
            </w:tcBorders>
            <w:noWrap/>
            <w:vAlign w:val="center"/>
            <w:hideMark/>
          </w:tcPr>
          <w:p w14:paraId="01970ADA" w14:textId="77777777" w:rsidR="00F3536C" w:rsidRPr="00A4272B" w:rsidRDefault="00F3536C" w:rsidP="00A41632">
            <w:pPr>
              <w:jc w:val="right"/>
              <w:rPr>
                <w:color w:val="000000"/>
                <w:sz w:val="14"/>
                <w:szCs w:val="14"/>
                <w:lang w:val="en-US"/>
              </w:rPr>
            </w:pPr>
            <w:r w:rsidRPr="00A4272B">
              <w:rPr>
                <w:color w:val="000000"/>
                <w:sz w:val="14"/>
                <w:szCs w:val="14"/>
                <w:lang w:val="en-US"/>
              </w:rPr>
              <w:t>-0.808550</w:t>
            </w:r>
          </w:p>
        </w:tc>
        <w:tc>
          <w:tcPr>
            <w:tcW w:w="859" w:type="dxa"/>
            <w:tcBorders>
              <w:top w:val="nil"/>
              <w:left w:val="nil"/>
              <w:bottom w:val="single" w:sz="4" w:space="0" w:color="auto"/>
              <w:right w:val="single" w:sz="8" w:space="0" w:color="auto"/>
            </w:tcBorders>
            <w:noWrap/>
            <w:vAlign w:val="center"/>
            <w:hideMark/>
          </w:tcPr>
          <w:p w14:paraId="1A88065E" w14:textId="77777777" w:rsidR="00F3536C" w:rsidRPr="00A4272B" w:rsidRDefault="00F3536C" w:rsidP="00A41632">
            <w:pPr>
              <w:jc w:val="center"/>
              <w:rPr>
                <w:color w:val="000000"/>
                <w:sz w:val="14"/>
                <w:szCs w:val="14"/>
                <w:lang w:val="en-US"/>
              </w:rPr>
            </w:pPr>
            <w:r w:rsidRPr="00A4272B">
              <w:rPr>
                <w:color w:val="000000"/>
                <w:sz w:val="14"/>
                <w:szCs w:val="14"/>
                <w:lang w:val="en-US"/>
              </w:rPr>
              <w:t>270</w:t>
            </w:r>
          </w:p>
        </w:tc>
        <w:tc>
          <w:tcPr>
            <w:tcW w:w="792" w:type="dxa"/>
            <w:tcBorders>
              <w:top w:val="nil"/>
              <w:left w:val="nil"/>
              <w:bottom w:val="single" w:sz="4" w:space="0" w:color="auto"/>
              <w:right w:val="nil"/>
            </w:tcBorders>
            <w:noWrap/>
            <w:vAlign w:val="center"/>
            <w:hideMark/>
          </w:tcPr>
          <w:p w14:paraId="6F690E5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nil"/>
              <w:left w:val="nil"/>
              <w:bottom w:val="single" w:sz="4" w:space="0" w:color="auto"/>
              <w:right w:val="nil"/>
            </w:tcBorders>
            <w:noWrap/>
            <w:vAlign w:val="center"/>
            <w:hideMark/>
          </w:tcPr>
          <w:p w14:paraId="2C578B1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nil"/>
              <w:left w:val="nil"/>
              <w:bottom w:val="single" w:sz="4" w:space="0" w:color="auto"/>
              <w:right w:val="nil"/>
            </w:tcBorders>
            <w:noWrap/>
            <w:vAlign w:val="center"/>
            <w:hideMark/>
          </w:tcPr>
          <w:p w14:paraId="3580AAA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nil"/>
              <w:left w:val="nil"/>
              <w:bottom w:val="single" w:sz="4" w:space="0" w:color="auto"/>
              <w:right w:val="nil"/>
            </w:tcBorders>
            <w:noWrap/>
            <w:vAlign w:val="center"/>
            <w:hideMark/>
          </w:tcPr>
          <w:p w14:paraId="241ECD3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nil"/>
              <w:left w:val="nil"/>
              <w:bottom w:val="single" w:sz="4" w:space="0" w:color="auto"/>
              <w:right w:val="nil"/>
            </w:tcBorders>
            <w:noWrap/>
            <w:vAlign w:val="center"/>
            <w:hideMark/>
          </w:tcPr>
          <w:p w14:paraId="4CB2771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758F8039"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6B9DEA2E"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630F2560"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tcBorders>
              <w:top w:val="single" w:sz="4" w:space="0" w:color="auto"/>
              <w:left w:val="nil"/>
              <w:bottom w:val="nil"/>
              <w:right w:val="nil"/>
            </w:tcBorders>
            <w:noWrap/>
            <w:vAlign w:val="center"/>
            <w:hideMark/>
          </w:tcPr>
          <w:p w14:paraId="5719AC97"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tcBorders>
              <w:top w:val="single" w:sz="4" w:space="0" w:color="auto"/>
              <w:left w:val="nil"/>
              <w:bottom w:val="nil"/>
              <w:right w:val="nil"/>
            </w:tcBorders>
            <w:noWrap/>
            <w:vAlign w:val="center"/>
            <w:hideMark/>
          </w:tcPr>
          <w:p w14:paraId="0EFEF918" w14:textId="77777777" w:rsidR="00F3536C" w:rsidRPr="00A4272B" w:rsidRDefault="00F3536C" w:rsidP="00A41632">
            <w:pPr>
              <w:rPr>
                <w:color w:val="000000"/>
                <w:sz w:val="14"/>
                <w:szCs w:val="14"/>
                <w:lang w:val="en-US"/>
              </w:rPr>
            </w:pPr>
            <w:r w:rsidRPr="00A4272B">
              <w:rPr>
                <w:color w:val="000000"/>
                <w:sz w:val="14"/>
                <w:szCs w:val="14"/>
                <w:lang w:val="en-US"/>
              </w:rPr>
              <w:t>Albacete</w:t>
            </w:r>
          </w:p>
        </w:tc>
        <w:tc>
          <w:tcPr>
            <w:tcW w:w="998" w:type="dxa"/>
            <w:tcBorders>
              <w:top w:val="single" w:sz="4" w:space="0" w:color="auto"/>
              <w:left w:val="nil"/>
              <w:bottom w:val="nil"/>
              <w:right w:val="nil"/>
            </w:tcBorders>
            <w:noWrap/>
            <w:vAlign w:val="center"/>
            <w:hideMark/>
          </w:tcPr>
          <w:p w14:paraId="66A6D832" w14:textId="77777777" w:rsidR="00F3536C" w:rsidRPr="00A4272B" w:rsidRDefault="00F3536C" w:rsidP="00A41632">
            <w:pPr>
              <w:jc w:val="center"/>
              <w:rPr>
                <w:color w:val="000000"/>
                <w:sz w:val="14"/>
                <w:szCs w:val="14"/>
                <w:lang w:val="en-US"/>
              </w:rPr>
            </w:pPr>
            <w:r w:rsidRPr="00A4272B">
              <w:rPr>
                <w:color w:val="000000"/>
                <w:sz w:val="14"/>
                <w:szCs w:val="14"/>
                <w:lang w:val="en-US"/>
              </w:rPr>
              <w:t>EC08</w:t>
            </w:r>
          </w:p>
        </w:tc>
        <w:tc>
          <w:tcPr>
            <w:tcW w:w="1342" w:type="dxa"/>
            <w:tcBorders>
              <w:top w:val="single" w:sz="4" w:space="0" w:color="auto"/>
              <w:left w:val="nil"/>
              <w:bottom w:val="nil"/>
              <w:right w:val="nil"/>
            </w:tcBorders>
            <w:noWrap/>
            <w:vAlign w:val="center"/>
            <w:hideMark/>
          </w:tcPr>
          <w:p w14:paraId="29C0E522"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tcBorders>
              <w:top w:val="single" w:sz="4" w:space="0" w:color="auto"/>
              <w:left w:val="nil"/>
              <w:bottom w:val="nil"/>
              <w:right w:val="nil"/>
            </w:tcBorders>
            <w:noWrap/>
            <w:vAlign w:val="center"/>
            <w:hideMark/>
          </w:tcPr>
          <w:p w14:paraId="68232390" w14:textId="77777777" w:rsidR="00F3536C" w:rsidRPr="00A4272B" w:rsidRDefault="00F3536C" w:rsidP="00A41632">
            <w:pPr>
              <w:jc w:val="right"/>
              <w:rPr>
                <w:color w:val="000000"/>
                <w:sz w:val="14"/>
                <w:szCs w:val="14"/>
                <w:lang w:val="en-US"/>
              </w:rPr>
            </w:pPr>
            <w:r w:rsidRPr="00A4272B">
              <w:rPr>
                <w:color w:val="000000"/>
                <w:sz w:val="14"/>
                <w:szCs w:val="14"/>
                <w:lang w:val="en-US"/>
              </w:rPr>
              <w:t>39.000000</w:t>
            </w:r>
          </w:p>
        </w:tc>
        <w:tc>
          <w:tcPr>
            <w:tcW w:w="998" w:type="dxa"/>
            <w:tcBorders>
              <w:top w:val="single" w:sz="4" w:space="0" w:color="auto"/>
              <w:left w:val="nil"/>
              <w:bottom w:val="nil"/>
              <w:right w:val="nil"/>
            </w:tcBorders>
            <w:noWrap/>
            <w:vAlign w:val="center"/>
            <w:hideMark/>
          </w:tcPr>
          <w:p w14:paraId="27183FD4" w14:textId="77777777" w:rsidR="00F3536C" w:rsidRPr="00A4272B" w:rsidRDefault="00F3536C" w:rsidP="00A41632">
            <w:pPr>
              <w:jc w:val="right"/>
              <w:rPr>
                <w:color w:val="000000"/>
                <w:sz w:val="14"/>
                <w:szCs w:val="14"/>
                <w:lang w:val="en-US"/>
              </w:rPr>
            </w:pPr>
            <w:r w:rsidRPr="00A4272B">
              <w:rPr>
                <w:color w:val="000000"/>
                <w:sz w:val="14"/>
                <w:szCs w:val="14"/>
                <w:lang w:val="en-US"/>
              </w:rPr>
              <w:t>-1.850000</w:t>
            </w:r>
          </w:p>
        </w:tc>
        <w:tc>
          <w:tcPr>
            <w:tcW w:w="859" w:type="dxa"/>
            <w:tcBorders>
              <w:top w:val="single" w:sz="4" w:space="0" w:color="auto"/>
              <w:left w:val="nil"/>
              <w:bottom w:val="nil"/>
              <w:right w:val="single" w:sz="8" w:space="0" w:color="auto"/>
            </w:tcBorders>
            <w:noWrap/>
            <w:vAlign w:val="center"/>
            <w:hideMark/>
          </w:tcPr>
          <w:p w14:paraId="68556CC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left w:val="nil"/>
              <w:bottom w:val="nil"/>
              <w:right w:val="nil"/>
            </w:tcBorders>
            <w:noWrap/>
            <w:vAlign w:val="center"/>
            <w:hideMark/>
          </w:tcPr>
          <w:p w14:paraId="303BC49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left w:val="nil"/>
              <w:bottom w:val="nil"/>
              <w:right w:val="nil"/>
            </w:tcBorders>
            <w:noWrap/>
            <w:vAlign w:val="center"/>
            <w:hideMark/>
          </w:tcPr>
          <w:p w14:paraId="7FF0F58B"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nil"/>
              <w:right w:val="nil"/>
            </w:tcBorders>
            <w:noWrap/>
            <w:vAlign w:val="center"/>
            <w:hideMark/>
          </w:tcPr>
          <w:p w14:paraId="5A08D3E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left w:val="nil"/>
              <w:bottom w:val="nil"/>
              <w:right w:val="nil"/>
            </w:tcBorders>
            <w:noWrap/>
            <w:vAlign w:val="center"/>
            <w:hideMark/>
          </w:tcPr>
          <w:p w14:paraId="1FB608E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single" w:sz="4" w:space="0" w:color="auto"/>
              <w:left w:val="nil"/>
              <w:bottom w:val="nil"/>
              <w:right w:val="nil"/>
            </w:tcBorders>
            <w:noWrap/>
            <w:vAlign w:val="center"/>
            <w:hideMark/>
          </w:tcPr>
          <w:p w14:paraId="257F6FE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single" w:sz="4" w:space="0" w:color="auto"/>
              <w:left w:val="nil"/>
              <w:bottom w:val="nil"/>
              <w:right w:val="single" w:sz="8" w:space="0" w:color="auto"/>
            </w:tcBorders>
            <w:noWrap/>
            <w:vAlign w:val="center"/>
            <w:hideMark/>
          </w:tcPr>
          <w:p w14:paraId="24F5251F"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1501E182" w14:textId="77777777" w:rsidTr="00A41632">
        <w:trPr>
          <w:trHeight w:val="276"/>
          <w:jc w:val="center"/>
        </w:trPr>
        <w:tc>
          <w:tcPr>
            <w:tcW w:w="955" w:type="dxa"/>
            <w:tcBorders>
              <w:top w:val="nil"/>
              <w:left w:val="single" w:sz="8" w:space="0" w:color="auto"/>
              <w:bottom w:val="nil"/>
              <w:right w:val="nil"/>
            </w:tcBorders>
            <w:noWrap/>
            <w:vAlign w:val="center"/>
            <w:hideMark/>
          </w:tcPr>
          <w:p w14:paraId="242DD156"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0CC49601"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6CBB5BF5" w14:textId="77777777" w:rsidR="00F3536C" w:rsidRPr="00A4272B" w:rsidRDefault="00F3536C" w:rsidP="00A41632">
            <w:pPr>
              <w:rPr>
                <w:color w:val="000000"/>
                <w:sz w:val="14"/>
                <w:szCs w:val="14"/>
                <w:lang w:val="en-US"/>
              </w:rPr>
            </w:pPr>
            <w:r w:rsidRPr="00A4272B">
              <w:rPr>
                <w:color w:val="000000"/>
                <w:sz w:val="14"/>
                <w:szCs w:val="14"/>
                <w:lang w:val="en-US"/>
              </w:rPr>
              <w:t>Azpeitia</w:t>
            </w:r>
          </w:p>
        </w:tc>
        <w:tc>
          <w:tcPr>
            <w:tcW w:w="998" w:type="dxa"/>
            <w:noWrap/>
            <w:vAlign w:val="center"/>
            <w:hideMark/>
          </w:tcPr>
          <w:p w14:paraId="6AC3BDA9" w14:textId="77777777" w:rsidR="00F3536C" w:rsidRPr="00A4272B" w:rsidRDefault="00F3536C" w:rsidP="00A41632">
            <w:pPr>
              <w:jc w:val="center"/>
              <w:rPr>
                <w:color w:val="000000"/>
                <w:sz w:val="14"/>
                <w:szCs w:val="14"/>
                <w:lang w:val="en-US"/>
              </w:rPr>
            </w:pPr>
            <w:r w:rsidRPr="00A4272B">
              <w:rPr>
                <w:color w:val="000000"/>
                <w:sz w:val="14"/>
                <w:szCs w:val="14"/>
                <w:lang w:val="en-US"/>
              </w:rPr>
              <w:t>U1</w:t>
            </w:r>
          </w:p>
        </w:tc>
        <w:tc>
          <w:tcPr>
            <w:tcW w:w="1342" w:type="dxa"/>
            <w:noWrap/>
            <w:vAlign w:val="center"/>
            <w:hideMark/>
          </w:tcPr>
          <w:p w14:paraId="724FFFBE"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021305D4" w14:textId="77777777" w:rsidR="00F3536C" w:rsidRPr="00A4272B" w:rsidRDefault="00F3536C" w:rsidP="00A41632">
            <w:pPr>
              <w:jc w:val="right"/>
              <w:rPr>
                <w:color w:val="000000"/>
                <w:sz w:val="14"/>
                <w:szCs w:val="14"/>
                <w:lang w:val="en-US"/>
              </w:rPr>
            </w:pPr>
            <w:r w:rsidRPr="00A4272B">
              <w:rPr>
                <w:color w:val="000000"/>
                <w:sz w:val="14"/>
                <w:szCs w:val="14"/>
                <w:lang w:val="en-US"/>
              </w:rPr>
              <w:t>43.181944</w:t>
            </w:r>
          </w:p>
        </w:tc>
        <w:tc>
          <w:tcPr>
            <w:tcW w:w="998" w:type="dxa"/>
            <w:noWrap/>
            <w:vAlign w:val="center"/>
            <w:hideMark/>
          </w:tcPr>
          <w:p w14:paraId="2ED33569" w14:textId="77777777" w:rsidR="00F3536C" w:rsidRPr="00A4272B" w:rsidRDefault="00F3536C" w:rsidP="00A41632">
            <w:pPr>
              <w:jc w:val="right"/>
              <w:rPr>
                <w:color w:val="000000"/>
                <w:sz w:val="14"/>
                <w:szCs w:val="14"/>
                <w:lang w:val="en-US"/>
              </w:rPr>
            </w:pPr>
            <w:r w:rsidRPr="00A4272B">
              <w:rPr>
                <w:color w:val="000000"/>
                <w:sz w:val="14"/>
                <w:szCs w:val="14"/>
                <w:lang w:val="en-US"/>
              </w:rPr>
              <w:t>-2.265278</w:t>
            </w:r>
          </w:p>
        </w:tc>
        <w:tc>
          <w:tcPr>
            <w:tcW w:w="859" w:type="dxa"/>
            <w:tcBorders>
              <w:top w:val="nil"/>
              <w:left w:val="nil"/>
              <w:bottom w:val="nil"/>
              <w:right w:val="single" w:sz="8" w:space="0" w:color="auto"/>
            </w:tcBorders>
            <w:noWrap/>
            <w:vAlign w:val="center"/>
            <w:hideMark/>
          </w:tcPr>
          <w:p w14:paraId="77B4DB1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046831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C209D0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A34862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C0C89D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8111C5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3789BE8"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701DED5A" w14:textId="77777777" w:rsidTr="00A41632">
        <w:trPr>
          <w:trHeight w:val="276"/>
          <w:jc w:val="center"/>
        </w:trPr>
        <w:tc>
          <w:tcPr>
            <w:tcW w:w="955" w:type="dxa"/>
            <w:tcBorders>
              <w:top w:val="nil"/>
              <w:left w:val="single" w:sz="8" w:space="0" w:color="auto"/>
              <w:bottom w:val="nil"/>
              <w:right w:val="nil"/>
            </w:tcBorders>
            <w:noWrap/>
            <w:vAlign w:val="center"/>
            <w:hideMark/>
          </w:tcPr>
          <w:p w14:paraId="043503FC"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00E6802A"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25CF85C7" w14:textId="77777777" w:rsidR="00F3536C" w:rsidRPr="00A4272B" w:rsidRDefault="00F3536C" w:rsidP="00A41632">
            <w:pPr>
              <w:rPr>
                <w:color w:val="000000"/>
                <w:sz w:val="14"/>
                <w:szCs w:val="14"/>
                <w:lang w:val="en-US"/>
              </w:rPr>
            </w:pPr>
            <w:r w:rsidRPr="00A4272B">
              <w:rPr>
                <w:color w:val="000000"/>
                <w:sz w:val="14"/>
                <w:szCs w:val="14"/>
                <w:lang w:val="en-US"/>
              </w:rPr>
              <w:t>Badajoz</w:t>
            </w:r>
          </w:p>
        </w:tc>
        <w:tc>
          <w:tcPr>
            <w:tcW w:w="998" w:type="dxa"/>
            <w:noWrap/>
            <w:vAlign w:val="center"/>
            <w:hideMark/>
          </w:tcPr>
          <w:p w14:paraId="254BF7D1" w14:textId="77777777" w:rsidR="00F3536C" w:rsidRPr="00A4272B" w:rsidRDefault="00F3536C" w:rsidP="00A41632">
            <w:pPr>
              <w:jc w:val="center"/>
              <w:rPr>
                <w:color w:val="000000"/>
                <w:sz w:val="14"/>
                <w:szCs w:val="14"/>
                <w:lang w:val="en-US"/>
              </w:rPr>
            </w:pPr>
            <w:r w:rsidRPr="00A4272B">
              <w:rPr>
                <w:color w:val="000000"/>
                <w:sz w:val="14"/>
                <w:szCs w:val="14"/>
                <w:lang w:val="en-US"/>
              </w:rPr>
              <w:t>EC07</w:t>
            </w:r>
          </w:p>
        </w:tc>
        <w:tc>
          <w:tcPr>
            <w:tcW w:w="1342" w:type="dxa"/>
            <w:noWrap/>
            <w:vAlign w:val="center"/>
            <w:hideMark/>
          </w:tcPr>
          <w:p w14:paraId="6E6EC7B4"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2AF0447B" w14:textId="77777777" w:rsidR="00F3536C" w:rsidRPr="00A4272B" w:rsidRDefault="00F3536C" w:rsidP="00A41632">
            <w:pPr>
              <w:jc w:val="right"/>
              <w:rPr>
                <w:color w:val="000000"/>
                <w:sz w:val="14"/>
                <w:szCs w:val="14"/>
                <w:lang w:val="en-US"/>
              </w:rPr>
            </w:pPr>
            <w:r w:rsidRPr="00A4272B">
              <w:rPr>
                <w:color w:val="000000"/>
                <w:sz w:val="14"/>
                <w:szCs w:val="14"/>
                <w:lang w:val="en-US"/>
              </w:rPr>
              <w:t>38.883333</w:t>
            </w:r>
          </w:p>
        </w:tc>
        <w:tc>
          <w:tcPr>
            <w:tcW w:w="998" w:type="dxa"/>
            <w:noWrap/>
            <w:vAlign w:val="center"/>
            <w:hideMark/>
          </w:tcPr>
          <w:p w14:paraId="5E7FFD1F" w14:textId="77777777" w:rsidR="00F3536C" w:rsidRPr="00A4272B" w:rsidRDefault="00F3536C" w:rsidP="00A41632">
            <w:pPr>
              <w:jc w:val="right"/>
              <w:rPr>
                <w:color w:val="000000"/>
                <w:sz w:val="14"/>
                <w:szCs w:val="14"/>
                <w:lang w:val="en-US"/>
              </w:rPr>
            </w:pPr>
            <w:r w:rsidRPr="00A4272B">
              <w:rPr>
                <w:color w:val="000000"/>
                <w:sz w:val="14"/>
                <w:szCs w:val="14"/>
                <w:lang w:val="en-US"/>
              </w:rPr>
              <w:t>-7.000000</w:t>
            </w:r>
          </w:p>
        </w:tc>
        <w:tc>
          <w:tcPr>
            <w:tcW w:w="859" w:type="dxa"/>
            <w:tcBorders>
              <w:top w:val="nil"/>
              <w:left w:val="nil"/>
              <w:bottom w:val="nil"/>
              <w:right w:val="single" w:sz="8" w:space="0" w:color="auto"/>
            </w:tcBorders>
            <w:noWrap/>
            <w:vAlign w:val="center"/>
            <w:hideMark/>
          </w:tcPr>
          <w:p w14:paraId="6F1E715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DEE0F3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0CA5BE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E34FCF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1DA861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7564CA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4C7CD5B"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29066C95" w14:textId="77777777" w:rsidTr="00A41632">
        <w:trPr>
          <w:trHeight w:val="276"/>
          <w:jc w:val="center"/>
        </w:trPr>
        <w:tc>
          <w:tcPr>
            <w:tcW w:w="955" w:type="dxa"/>
            <w:tcBorders>
              <w:top w:val="nil"/>
              <w:left w:val="single" w:sz="8" w:space="0" w:color="auto"/>
              <w:bottom w:val="nil"/>
              <w:right w:val="nil"/>
            </w:tcBorders>
            <w:noWrap/>
            <w:vAlign w:val="center"/>
            <w:hideMark/>
          </w:tcPr>
          <w:p w14:paraId="472798F8"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552444EC"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6B7501FA" w14:textId="77777777" w:rsidR="00F3536C" w:rsidRPr="00A4272B" w:rsidRDefault="00F3536C" w:rsidP="00A41632">
            <w:pPr>
              <w:rPr>
                <w:color w:val="000000"/>
                <w:sz w:val="14"/>
                <w:szCs w:val="14"/>
                <w:lang w:val="en-US"/>
              </w:rPr>
            </w:pPr>
            <w:r w:rsidRPr="00A4272B">
              <w:rPr>
                <w:color w:val="000000"/>
                <w:sz w:val="14"/>
                <w:szCs w:val="14"/>
                <w:lang w:val="en-US"/>
              </w:rPr>
              <w:t xml:space="preserve">Barcarrola </w:t>
            </w:r>
          </w:p>
        </w:tc>
        <w:tc>
          <w:tcPr>
            <w:tcW w:w="998" w:type="dxa"/>
            <w:noWrap/>
            <w:vAlign w:val="center"/>
            <w:hideMark/>
          </w:tcPr>
          <w:p w14:paraId="02D9B169" w14:textId="77777777" w:rsidR="00F3536C" w:rsidRPr="00A4272B" w:rsidRDefault="00F3536C" w:rsidP="00A41632">
            <w:pPr>
              <w:jc w:val="center"/>
              <w:rPr>
                <w:color w:val="000000"/>
                <w:sz w:val="14"/>
                <w:szCs w:val="14"/>
                <w:lang w:val="en-US"/>
              </w:rPr>
            </w:pPr>
            <w:r w:rsidRPr="00A4272B">
              <w:rPr>
                <w:color w:val="000000"/>
                <w:sz w:val="14"/>
                <w:szCs w:val="14"/>
                <w:lang w:val="en-US"/>
              </w:rPr>
              <w:t>ES0011R</w:t>
            </w:r>
          </w:p>
        </w:tc>
        <w:tc>
          <w:tcPr>
            <w:tcW w:w="1342" w:type="dxa"/>
            <w:noWrap/>
            <w:vAlign w:val="center"/>
            <w:hideMark/>
          </w:tcPr>
          <w:p w14:paraId="7477B7AC"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2FCE39F9" w14:textId="77777777" w:rsidR="00F3536C" w:rsidRPr="00A4272B" w:rsidRDefault="00F3536C" w:rsidP="00A41632">
            <w:pPr>
              <w:jc w:val="right"/>
              <w:rPr>
                <w:color w:val="000000"/>
                <w:sz w:val="14"/>
                <w:szCs w:val="14"/>
                <w:lang w:val="en-US"/>
              </w:rPr>
            </w:pPr>
            <w:r w:rsidRPr="00A4272B">
              <w:rPr>
                <w:color w:val="000000"/>
                <w:sz w:val="14"/>
                <w:szCs w:val="14"/>
                <w:lang w:val="en-US"/>
              </w:rPr>
              <w:t>38.475833</w:t>
            </w:r>
          </w:p>
        </w:tc>
        <w:tc>
          <w:tcPr>
            <w:tcW w:w="998" w:type="dxa"/>
            <w:noWrap/>
            <w:vAlign w:val="center"/>
            <w:hideMark/>
          </w:tcPr>
          <w:p w14:paraId="1592D303" w14:textId="77777777" w:rsidR="00F3536C" w:rsidRPr="00A4272B" w:rsidRDefault="00F3536C" w:rsidP="00A41632">
            <w:pPr>
              <w:jc w:val="right"/>
              <w:rPr>
                <w:color w:val="000000"/>
                <w:sz w:val="14"/>
                <w:szCs w:val="14"/>
                <w:lang w:val="en-US"/>
              </w:rPr>
            </w:pPr>
            <w:r w:rsidRPr="00A4272B">
              <w:rPr>
                <w:color w:val="000000"/>
                <w:sz w:val="14"/>
                <w:szCs w:val="14"/>
                <w:lang w:val="en-US"/>
              </w:rPr>
              <w:t>-6.922778</w:t>
            </w:r>
          </w:p>
        </w:tc>
        <w:tc>
          <w:tcPr>
            <w:tcW w:w="859" w:type="dxa"/>
            <w:tcBorders>
              <w:top w:val="nil"/>
              <w:left w:val="nil"/>
              <w:bottom w:val="nil"/>
              <w:right w:val="single" w:sz="8" w:space="0" w:color="auto"/>
            </w:tcBorders>
            <w:noWrap/>
            <w:vAlign w:val="center"/>
            <w:hideMark/>
          </w:tcPr>
          <w:p w14:paraId="3CB5CD7E" w14:textId="77777777" w:rsidR="00F3536C" w:rsidRPr="00A4272B" w:rsidRDefault="00F3536C" w:rsidP="00A41632">
            <w:pPr>
              <w:jc w:val="center"/>
              <w:rPr>
                <w:color w:val="000000"/>
                <w:sz w:val="14"/>
                <w:szCs w:val="14"/>
                <w:lang w:val="en-US"/>
              </w:rPr>
            </w:pPr>
            <w:r w:rsidRPr="00A4272B">
              <w:rPr>
                <w:color w:val="000000"/>
                <w:sz w:val="14"/>
                <w:szCs w:val="14"/>
                <w:lang w:val="en-US"/>
              </w:rPr>
              <w:t>393</w:t>
            </w:r>
          </w:p>
        </w:tc>
        <w:tc>
          <w:tcPr>
            <w:tcW w:w="792" w:type="dxa"/>
            <w:noWrap/>
            <w:vAlign w:val="center"/>
            <w:hideMark/>
          </w:tcPr>
          <w:p w14:paraId="2599257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F3F96D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58A373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275A1C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5CC5D3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C209525"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67423935" w14:textId="77777777" w:rsidTr="00A41632">
        <w:trPr>
          <w:trHeight w:val="276"/>
          <w:jc w:val="center"/>
        </w:trPr>
        <w:tc>
          <w:tcPr>
            <w:tcW w:w="955" w:type="dxa"/>
            <w:tcBorders>
              <w:top w:val="nil"/>
              <w:left w:val="single" w:sz="8" w:space="0" w:color="auto"/>
              <w:bottom w:val="nil"/>
              <w:right w:val="nil"/>
            </w:tcBorders>
            <w:noWrap/>
            <w:vAlign w:val="center"/>
            <w:hideMark/>
          </w:tcPr>
          <w:p w14:paraId="7680562F"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347742E9"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5E4EA59B" w14:textId="77777777" w:rsidR="00F3536C" w:rsidRPr="00A4272B" w:rsidRDefault="00F3536C" w:rsidP="00A41632">
            <w:pPr>
              <w:rPr>
                <w:color w:val="000000"/>
                <w:sz w:val="14"/>
                <w:szCs w:val="14"/>
                <w:lang w:val="en-US"/>
              </w:rPr>
            </w:pPr>
            <w:r w:rsidRPr="00A4272B">
              <w:rPr>
                <w:color w:val="000000"/>
                <w:sz w:val="14"/>
                <w:szCs w:val="14"/>
                <w:lang w:val="en-US"/>
              </w:rPr>
              <w:t>Barcelona</w:t>
            </w:r>
          </w:p>
        </w:tc>
        <w:tc>
          <w:tcPr>
            <w:tcW w:w="998" w:type="dxa"/>
            <w:noWrap/>
            <w:vAlign w:val="center"/>
            <w:hideMark/>
          </w:tcPr>
          <w:p w14:paraId="0A3417A9" w14:textId="77777777" w:rsidR="00F3536C" w:rsidRPr="00A4272B" w:rsidRDefault="00F3536C" w:rsidP="00A41632">
            <w:pPr>
              <w:jc w:val="center"/>
              <w:rPr>
                <w:color w:val="000000"/>
                <w:sz w:val="14"/>
                <w:szCs w:val="14"/>
                <w:lang w:val="en-US"/>
              </w:rPr>
            </w:pPr>
            <w:r w:rsidRPr="00A4272B">
              <w:rPr>
                <w:color w:val="000000"/>
                <w:sz w:val="14"/>
                <w:szCs w:val="14"/>
                <w:lang w:val="en-US"/>
              </w:rPr>
              <w:t>U2</w:t>
            </w:r>
          </w:p>
        </w:tc>
        <w:tc>
          <w:tcPr>
            <w:tcW w:w="1342" w:type="dxa"/>
            <w:noWrap/>
            <w:vAlign w:val="center"/>
            <w:hideMark/>
          </w:tcPr>
          <w:p w14:paraId="0B7C5489"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3BC3D0B4" w14:textId="77777777" w:rsidR="00F3536C" w:rsidRPr="00A4272B" w:rsidRDefault="00F3536C" w:rsidP="00A41632">
            <w:pPr>
              <w:jc w:val="right"/>
              <w:rPr>
                <w:color w:val="000000"/>
                <w:sz w:val="14"/>
                <w:szCs w:val="14"/>
                <w:lang w:val="en-US"/>
              </w:rPr>
            </w:pPr>
            <w:r w:rsidRPr="00A4272B">
              <w:rPr>
                <w:color w:val="000000"/>
                <w:sz w:val="14"/>
                <w:szCs w:val="14"/>
                <w:lang w:val="en-US"/>
              </w:rPr>
              <w:t>41.386667</w:t>
            </w:r>
          </w:p>
        </w:tc>
        <w:tc>
          <w:tcPr>
            <w:tcW w:w="998" w:type="dxa"/>
            <w:noWrap/>
            <w:vAlign w:val="center"/>
            <w:hideMark/>
          </w:tcPr>
          <w:p w14:paraId="622A676D" w14:textId="77777777" w:rsidR="00F3536C" w:rsidRPr="00A4272B" w:rsidRDefault="00F3536C" w:rsidP="00A41632">
            <w:pPr>
              <w:jc w:val="right"/>
              <w:rPr>
                <w:color w:val="000000"/>
                <w:sz w:val="14"/>
                <w:szCs w:val="14"/>
                <w:lang w:val="en-US"/>
              </w:rPr>
            </w:pPr>
            <w:r w:rsidRPr="00A4272B">
              <w:rPr>
                <w:color w:val="000000"/>
                <w:sz w:val="14"/>
                <w:szCs w:val="14"/>
                <w:lang w:val="en-US"/>
              </w:rPr>
              <w:t>2.201111</w:t>
            </w:r>
          </w:p>
        </w:tc>
        <w:tc>
          <w:tcPr>
            <w:tcW w:w="859" w:type="dxa"/>
            <w:tcBorders>
              <w:top w:val="nil"/>
              <w:left w:val="nil"/>
              <w:bottom w:val="nil"/>
              <w:right w:val="single" w:sz="8" w:space="0" w:color="auto"/>
            </w:tcBorders>
            <w:noWrap/>
            <w:vAlign w:val="center"/>
            <w:hideMark/>
          </w:tcPr>
          <w:p w14:paraId="0FCE98D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3CB2F1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4D9CF1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2EB2B8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2F1C96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0C7B1A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7F759F0"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5CBD446E" w14:textId="77777777" w:rsidTr="00A41632">
        <w:trPr>
          <w:trHeight w:val="276"/>
          <w:jc w:val="center"/>
        </w:trPr>
        <w:tc>
          <w:tcPr>
            <w:tcW w:w="955" w:type="dxa"/>
            <w:tcBorders>
              <w:top w:val="nil"/>
              <w:left w:val="single" w:sz="8" w:space="0" w:color="auto"/>
              <w:bottom w:val="nil"/>
              <w:right w:val="nil"/>
            </w:tcBorders>
            <w:noWrap/>
            <w:vAlign w:val="center"/>
            <w:hideMark/>
          </w:tcPr>
          <w:p w14:paraId="72998B2E"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077D5741"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6E890FAF" w14:textId="77777777" w:rsidR="00F3536C" w:rsidRPr="00A4272B" w:rsidRDefault="00F3536C" w:rsidP="00A41632">
            <w:pPr>
              <w:rPr>
                <w:color w:val="000000"/>
                <w:sz w:val="14"/>
                <w:szCs w:val="14"/>
                <w:lang w:val="en-US"/>
              </w:rPr>
            </w:pPr>
            <w:r w:rsidRPr="00A4272B">
              <w:rPr>
                <w:color w:val="000000"/>
                <w:sz w:val="14"/>
                <w:szCs w:val="14"/>
                <w:lang w:val="en-US"/>
              </w:rPr>
              <w:t xml:space="preserve">Cabo de Creus </w:t>
            </w:r>
          </w:p>
        </w:tc>
        <w:tc>
          <w:tcPr>
            <w:tcW w:w="998" w:type="dxa"/>
            <w:noWrap/>
            <w:vAlign w:val="center"/>
            <w:hideMark/>
          </w:tcPr>
          <w:p w14:paraId="1B2B99D2" w14:textId="77777777" w:rsidR="00F3536C" w:rsidRPr="00A4272B" w:rsidRDefault="00F3536C" w:rsidP="00A41632">
            <w:pPr>
              <w:jc w:val="center"/>
              <w:rPr>
                <w:color w:val="000000"/>
                <w:sz w:val="14"/>
                <w:szCs w:val="14"/>
                <w:lang w:val="en-US"/>
              </w:rPr>
            </w:pPr>
            <w:r w:rsidRPr="00A4272B">
              <w:rPr>
                <w:color w:val="000000"/>
                <w:sz w:val="14"/>
                <w:szCs w:val="14"/>
                <w:lang w:val="en-US"/>
              </w:rPr>
              <w:t>ES0010R</w:t>
            </w:r>
          </w:p>
        </w:tc>
        <w:tc>
          <w:tcPr>
            <w:tcW w:w="1342" w:type="dxa"/>
            <w:noWrap/>
            <w:vAlign w:val="center"/>
            <w:hideMark/>
          </w:tcPr>
          <w:p w14:paraId="72B8E0D5"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39963986" w14:textId="77777777" w:rsidR="00F3536C" w:rsidRPr="00A4272B" w:rsidRDefault="00F3536C" w:rsidP="00A41632">
            <w:pPr>
              <w:jc w:val="right"/>
              <w:rPr>
                <w:color w:val="000000"/>
                <w:sz w:val="14"/>
                <w:szCs w:val="14"/>
                <w:lang w:val="en-US"/>
              </w:rPr>
            </w:pPr>
            <w:r w:rsidRPr="00A4272B">
              <w:rPr>
                <w:color w:val="000000"/>
                <w:sz w:val="14"/>
                <w:szCs w:val="14"/>
                <w:lang w:val="en-US"/>
              </w:rPr>
              <w:t>42.319444</w:t>
            </w:r>
          </w:p>
        </w:tc>
        <w:tc>
          <w:tcPr>
            <w:tcW w:w="998" w:type="dxa"/>
            <w:noWrap/>
            <w:vAlign w:val="center"/>
            <w:hideMark/>
          </w:tcPr>
          <w:p w14:paraId="5329A41E" w14:textId="77777777" w:rsidR="00F3536C" w:rsidRPr="00A4272B" w:rsidRDefault="00F3536C" w:rsidP="00A41632">
            <w:pPr>
              <w:jc w:val="right"/>
              <w:rPr>
                <w:color w:val="000000"/>
                <w:sz w:val="14"/>
                <w:szCs w:val="14"/>
                <w:lang w:val="en-US"/>
              </w:rPr>
            </w:pPr>
            <w:r w:rsidRPr="00A4272B">
              <w:rPr>
                <w:color w:val="000000"/>
                <w:sz w:val="14"/>
                <w:szCs w:val="14"/>
                <w:lang w:val="en-US"/>
              </w:rPr>
              <w:t>3.316944</w:t>
            </w:r>
          </w:p>
        </w:tc>
        <w:tc>
          <w:tcPr>
            <w:tcW w:w="859" w:type="dxa"/>
            <w:tcBorders>
              <w:top w:val="nil"/>
              <w:left w:val="nil"/>
              <w:bottom w:val="nil"/>
              <w:right w:val="single" w:sz="8" w:space="0" w:color="auto"/>
            </w:tcBorders>
            <w:noWrap/>
            <w:vAlign w:val="center"/>
            <w:hideMark/>
          </w:tcPr>
          <w:p w14:paraId="7F89F5F3" w14:textId="77777777" w:rsidR="00F3536C" w:rsidRPr="00A4272B" w:rsidRDefault="00F3536C" w:rsidP="00A41632">
            <w:pPr>
              <w:jc w:val="center"/>
              <w:rPr>
                <w:color w:val="000000"/>
                <w:sz w:val="14"/>
                <w:szCs w:val="14"/>
                <w:lang w:val="en-US"/>
              </w:rPr>
            </w:pPr>
            <w:r w:rsidRPr="00A4272B">
              <w:rPr>
                <w:color w:val="000000"/>
                <w:sz w:val="14"/>
                <w:szCs w:val="14"/>
                <w:lang w:val="en-US"/>
              </w:rPr>
              <w:t>23</w:t>
            </w:r>
          </w:p>
        </w:tc>
        <w:tc>
          <w:tcPr>
            <w:tcW w:w="792" w:type="dxa"/>
            <w:noWrap/>
            <w:vAlign w:val="center"/>
            <w:hideMark/>
          </w:tcPr>
          <w:p w14:paraId="6AAD706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ABED6E6"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646EC1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9DC844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BCB61A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46EE111"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72A830D1" w14:textId="77777777" w:rsidTr="00A41632">
        <w:trPr>
          <w:trHeight w:val="276"/>
          <w:jc w:val="center"/>
        </w:trPr>
        <w:tc>
          <w:tcPr>
            <w:tcW w:w="955" w:type="dxa"/>
            <w:tcBorders>
              <w:top w:val="nil"/>
              <w:left w:val="single" w:sz="8" w:space="0" w:color="auto"/>
              <w:bottom w:val="nil"/>
              <w:right w:val="nil"/>
            </w:tcBorders>
            <w:noWrap/>
            <w:vAlign w:val="center"/>
            <w:hideMark/>
          </w:tcPr>
          <w:p w14:paraId="63F72885"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1BDA5A20"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22C02F01" w14:textId="77777777" w:rsidR="00F3536C" w:rsidRPr="00A4272B" w:rsidRDefault="00F3536C" w:rsidP="00A41632">
            <w:pPr>
              <w:rPr>
                <w:color w:val="000000"/>
                <w:sz w:val="14"/>
                <w:szCs w:val="14"/>
                <w:lang w:val="en-US"/>
              </w:rPr>
            </w:pPr>
            <w:r w:rsidRPr="00A4272B">
              <w:rPr>
                <w:color w:val="000000"/>
                <w:sz w:val="14"/>
                <w:szCs w:val="14"/>
                <w:lang w:val="en-US"/>
              </w:rPr>
              <w:t xml:space="preserve">Campisabalos </w:t>
            </w:r>
          </w:p>
        </w:tc>
        <w:tc>
          <w:tcPr>
            <w:tcW w:w="998" w:type="dxa"/>
            <w:noWrap/>
            <w:vAlign w:val="center"/>
            <w:hideMark/>
          </w:tcPr>
          <w:p w14:paraId="41D807BD" w14:textId="77777777" w:rsidR="00F3536C" w:rsidRPr="00A4272B" w:rsidRDefault="00F3536C" w:rsidP="00A41632">
            <w:pPr>
              <w:jc w:val="center"/>
              <w:rPr>
                <w:color w:val="000000"/>
                <w:sz w:val="14"/>
                <w:szCs w:val="14"/>
                <w:lang w:val="en-US"/>
              </w:rPr>
            </w:pPr>
            <w:r w:rsidRPr="00A4272B">
              <w:rPr>
                <w:color w:val="000000"/>
                <w:sz w:val="14"/>
                <w:szCs w:val="14"/>
                <w:lang w:val="en-US"/>
              </w:rPr>
              <w:t>ES0009R</w:t>
            </w:r>
          </w:p>
        </w:tc>
        <w:tc>
          <w:tcPr>
            <w:tcW w:w="1342" w:type="dxa"/>
            <w:noWrap/>
            <w:vAlign w:val="center"/>
            <w:hideMark/>
          </w:tcPr>
          <w:p w14:paraId="17ADB75A"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7E5FBB6D" w14:textId="77777777" w:rsidR="00F3536C" w:rsidRPr="00A4272B" w:rsidRDefault="00F3536C" w:rsidP="00A41632">
            <w:pPr>
              <w:jc w:val="right"/>
              <w:rPr>
                <w:color w:val="000000"/>
                <w:sz w:val="14"/>
                <w:szCs w:val="14"/>
                <w:lang w:val="en-US"/>
              </w:rPr>
            </w:pPr>
            <w:r w:rsidRPr="00A4272B">
              <w:rPr>
                <w:color w:val="000000"/>
                <w:sz w:val="14"/>
                <w:szCs w:val="14"/>
                <w:lang w:val="en-US"/>
              </w:rPr>
              <w:t>41.281111</w:t>
            </w:r>
          </w:p>
        </w:tc>
        <w:tc>
          <w:tcPr>
            <w:tcW w:w="998" w:type="dxa"/>
            <w:noWrap/>
            <w:vAlign w:val="center"/>
            <w:hideMark/>
          </w:tcPr>
          <w:p w14:paraId="39A64C98" w14:textId="77777777" w:rsidR="00F3536C" w:rsidRPr="00A4272B" w:rsidRDefault="00F3536C" w:rsidP="00A41632">
            <w:pPr>
              <w:jc w:val="right"/>
              <w:rPr>
                <w:color w:val="000000"/>
                <w:sz w:val="14"/>
                <w:szCs w:val="14"/>
                <w:lang w:val="en-US"/>
              </w:rPr>
            </w:pPr>
            <w:r w:rsidRPr="00A4272B">
              <w:rPr>
                <w:color w:val="000000"/>
                <w:sz w:val="14"/>
                <w:szCs w:val="14"/>
                <w:lang w:val="en-US"/>
              </w:rPr>
              <w:t>-3.142778</w:t>
            </w:r>
          </w:p>
        </w:tc>
        <w:tc>
          <w:tcPr>
            <w:tcW w:w="859" w:type="dxa"/>
            <w:tcBorders>
              <w:top w:val="nil"/>
              <w:left w:val="nil"/>
              <w:bottom w:val="nil"/>
              <w:right w:val="single" w:sz="8" w:space="0" w:color="auto"/>
            </w:tcBorders>
            <w:noWrap/>
            <w:vAlign w:val="center"/>
            <w:hideMark/>
          </w:tcPr>
          <w:p w14:paraId="3BD530C5" w14:textId="77777777" w:rsidR="00F3536C" w:rsidRPr="00A4272B" w:rsidRDefault="00F3536C" w:rsidP="00A41632">
            <w:pPr>
              <w:jc w:val="center"/>
              <w:rPr>
                <w:color w:val="000000"/>
                <w:sz w:val="14"/>
                <w:szCs w:val="14"/>
                <w:lang w:val="en-US"/>
              </w:rPr>
            </w:pPr>
            <w:r w:rsidRPr="00A4272B">
              <w:rPr>
                <w:color w:val="000000"/>
                <w:sz w:val="14"/>
                <w:szCs w:val="14"/>
                <w:lang w:val="en-US"/>
              </w:rPr>
              <w:t>1360</w:t>
            </w:r>
          </w:p>
        </w:tc>
        <w:tc>
          <w:tcPr>
            <w:tcW w:w="792" w:type="dxa"/>
            <w:noWrap/>
            <w:vAlign w:val="center"/>
            <w:hideMark/>
          </w:tcPr>
          <w:p w14:paraId="7CBCCF5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26ABA9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384C3B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755186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694ECF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A54CF7A"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19004F16" w14:textId="77777777" w:rsidTr="00A41632">
        <w:trPr>
          <w:trHeight w:val="276"/>
          <w:jc w:val="center"/>
        </w:trPr>
        <w:tc>
          <w:tcPr>
            <w:tcW w:w="955" w:type="dxa"/>
            <w:tcBorders>
              <w:top w:val="nil"/>
              <w:left w:val="single" w:sz="8" w:space="0" w:color="auto"/>
              <w:bottom w:val="nil"/>
              <w:right w:val="nil"/>
            </w:tcBorders>
            <w:noWrap/>
            <w:vAlign w:val="center"/>
            <w:hideMark/>
          </w:tcPr>
          <w:p w14:paraId="3965B64A"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0E0F122C"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7338DAED" w14:textId="77777777" w:rsidR="00F3536C" w:rsidRPr="00A4272B" w:rsidRDefault="00F3536C" w:rsidP="00A41632">
            <w:pPr>
              <w:rPr>
                <w:color w:val="000000"/>
                <w:sz w:val="14"/>
                <w:szCs w:val="14"/>
                <w:lang w:val="en-US"/>
              </w:rPr>
            </w:pPr>
            <w:r w:rsidRPr="00A4272B">
              <w:rPr>
                <w:color w:val="000000"/>
                <w:sz w:val="14"/>
                <w:szCs w:val="14"/>
                <w:lang w:val="en-US"/>
              </w:rPr>
              <w:t xml:space="preserve">Doñana </w:t>
            </w:r>
          </w:p>
        </w:tc>
        <w:tc>
          <w:tcPr>
            <w:tcW w:w="998" w:type="dxa"/>
            <w:noWrap/>
            <w:vAlign w:val="center"/>
            <w:hideMark/>
          </w:tcPr>
          <w:p w14:paraId="6733B819" w14:textId="77777777" w:rsidR="00F3536C" w:rsidRPr="00A4272B" w:rsidRDefault="00F3536C" w:rsidP="00A41632">
            <w:pPr>
              <w:jc w:val="center"/>
              <w:rPr>
                <w:color w:val="000000"/>
                <w:sz w:val="14"/>
                <w:szCs w:val="14"/>
                <w:lang w:val="en-US"/>
              </w:rPr>
            </w:pPr>
            <w:r w:rsidRPr="00A4272B">
              <w:rPr>
                <w:color w:val="000000"/>
                <w:sz w:val="14"/>
                <w:szCs w:val="14"/>
                <w:lang w:val="en-US"/>
              </w:rPr>
              <w:t>ES0017R</w:t>
            </w:r>
          </w:p>
        </w:tc>
        <w:tc>
          <w:tcPr>
            <w:tcW w:w="1342" w:type="dxa"/>
            <w:noWrap/>
            <w:vAlign w:val="center"/>
            <w:hideMark/>
          </w:tcPr>
          <w:p w14:paraId="462A769E"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66155593" w14:textId="77777777" w:rsidR="00F3536C" w:rsidRPr="00A4272B" w:rsidRDefault="00F3536C" w:rsidP="00A41632">
            <w:pPr>
              <w:jc w:val="right"/>
              <w:rPr>
                <w:color w:val="000000"/>
                <w:sz w:val="14"/>
                <w:szCs w:val="14"/>
                <w:lang w:val="en-US"/>
              </w:rPr>
            </w:pPr>
            <w:r w:rsidRPr="00A4272B">
              <w:rPr>
                <w:color w:val="000000"/>
                <w:sz w:val="14"/>
                <w:szCs w:val="14"/>
                <w:lang w:val="en-US"/>
              </w:rPr>
              <w:t>37.030278</w:t>
            </w:r>
          </w:p>
        </w:tc>
        <w:tc>
          <w:tcPr>
            <w:tcW w:w="998" w:type="dxa"/>
            <w:noWrap/>
            <w:vAlign w:val="center"/>
            <w:hideMark/>
          </w:tcPr>
          <w:p w14:paraId="5B80E1DC" w14:textId="77777777" w:rsidR="00F3536C" w:rsidRPr="00A4272B" w:rsidRDefault="00F3536C" w:rsidP="00A41632">
            <w:pPr>
              <w:jc w:val="right"/>
              <w:rPr>
                <w:color w:val="000000"/>
                <w:sz w:val="14"/>
                <w:szCs w:val="14"/>
                <w:lang w:val="en-US"/>
              </w:rPr>
            </w:pPr>
            <w:r w:rsidRPr="00A4272B">
              <w:rPr>
                <w:color w:val="000000"/>
                <w:sz w:val="14"/>
                <w:szCs w:val="14"/>
                <w:lang w:val="en-US"/>
              </w:rPr>
              <w:t>-6.331667</w:t>
            </w:r>
          </w:p>
        </w:tc>
        <w:tc>
          <w:tcPr>
            <w:tcW w:w="859" w:type="dxa"/>
            <w:tcBorders>
              <w:top w:val="nil"/>
              <w:left w:val="nil"/>
              <w:bottom w:val="nil"/>
              <w:right w:val="single" w:sz="8" w:space="0" w:color="auto"/>
            </w:tcBorders>
            <w:noWrap/>
            <w:vAlign w:val="center"/>
            <w:hideMark/>
          </w:tcPr>
          <w:p w14:paraId="7A659F9E" w14:textId="77777777" w:rsidR="00F3536C" w:rsidRPr="00A4272B" w:rsidRDefault="00F3536C" w:rsidP="00A41632">
            <w:pPr>
              <w:jc w:val="center"/>
              <w:rPr>
                <w:color w:val="000000"/>
                <w:sz w:val="14"/>
                <w:szCs w:val="14"/>
                <w:lang w:val="en-US"/>
              </w:rPr>
            </w:pPr>
            <w:r w:rsidRPr="00A4272B">
              <w:rPr>
                <w:color w:val="000000"/>
                <w:sz w:val="14"/>
                <w:szCs w:val="14"/>
                <w:lang w:val="en-US"/>
              </w:rPr>
              <w:t>5</w:t>
            </w:r>
          </w:p>
        </w:tc>
        <w:tc>
          <w:tcPr>
            <w:tcW w:w="792" w:type="dxa"/>
            <w:noWrap/>
            <w:vAlign w:val="center"/>
            <w:hideMark/>
          </w:tcPr>
          <w:p w14:paraId="27A9636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857AC75"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67FBAE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D3204D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2EF71A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6E92369"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17E962C3" w14:textId="77777777" w:rsidTr="00A41632">
        <w:trPr>
          <w:trHeight w:val="276"/>
          <w:jc w:val="center"/>
        </w:trPr>
        <w:tc>
          <w:tcPr>
            <w:tcW w:w="955" w:type="dxa"/>
            <w:tcBorders>
              <w:top w:val="nil"/>
              <w:left w:val="single" w:sz="8" w:space="0" w:color="auto"/>
              <w:bottom w:val="nil"/>
              <w:right w:val="nil"/>
            </w:tcBorders>
            <w:noWrap/>
            <w:vAlign w:val="center"/>
            <w:hideMark/>
          </w:tcPr>
          <w:p w14:paraId="3BE6AD99"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1B9E9FAD"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2F606233" w14:textId="77777777" w:rsidR="00F3536C" w:rsidRPr="00A4272B" w:rsidRDefault="00F3536C" w:rsidP="00A41632">
            <w:pPr>
              <w:rPr>
                <w:color w:val="000000"/>
                <w:sz w:val="14"/>
                <w:szCs w:val="14"/>
                <w:lang w:val="en-US"/>
              </w:rPr>
            </w:pPr>
            <w:r w:rsidRPr="00A4272B">
              <w:rPr>
                <w:color w:val="000000"/>
                <w:sz w:val="14"/>
                <w:szCs w:val="14"/>
                <w:lang w:val="en-US"/>
              </w:rPr>
              <w:t xml:space="preserve">Els Torms </w:t>
            </w:r>
          </w:p>
        </w:tc>
        <w:tc>
          <w:tcPr>
            <w:tcW w:w="998" w:type="dxa"/>
            <w:noWrap/>
            <w:vAlign w:val="center"/>
            <w:hideMark/>
          </w:tcPr>
          <w:p w14:paraId="1FA41AC4" w14:textId="77777777" w:rsidR="00F3536C" w:rsidRPr="00A4272B" w:rsidRDefault="00F3536C" w:rsidP="00A41632">
            <w:pPr>
              <w:jc w:val="center"/>
              <w:rPr>
                <w:color w:val="000000"/>
                <w:sz w:val="14"/>
                <w:szCs w:val="14"/>
                <w:lang w:val="en-US"/>
              </w:rPr>
            </w:pPr>
            <w:r w:rsidRPr="00A4272B">
              <w:rPr>
                <w:color w:val="000000"/>
                <w:sz w:val="14"/>
                <w:szCs w:val="14"/>
                <w:lang w:val="en-US"/>
              </w:rPr>
              <w:t>ES0014R</w:t>
            </w:r>
          </w:p>
        </w:tc>
        <w:tc>
          <w:tcPr>
            <w:tcW w:w="1342" w:type="dxa"/>
            <w:noWrap/>
            <w:vAlign w:val="center"/>
            <w:hideMark/>
          </w:tcPr>
          <w:p w14:paraId="75A39BAE"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2098512F" w14:textId="77777777" w:rsidR="00F3536C" w:rsidRPr="00A4272B" w:rsidRDefault="00F3536C" w:rsidP="00A41632">
            <w:pPr>
              <w:jc w:val="right"/>
              <w:rPr>
                <w:color w:val="000000"/>
                <w:sz w:val="14"/>
                <w:szCs w:val="14"/>
                <w:lang w:val="en-US"/>
              </w:rPr>
            </w:pPr>
            <w:r w:rsidRPr="00A4272B">
              <w:rPr>
                <w:color w:val="000000"/>
                <w:sz w:val="14"/>
                <w:szCs w:val="14"/>
                <w:lang w:val="en-US"/>
              </w:rPr>
              <w:t>41.400000</w:t>
            </w:r>
          </w:p>
        </w:tc>
        <w:tc>
          <w:tcPr>
            <w:tcW w:w="998" w:type="dxa"/>
            <w:noWrap/>
            <w:vAlign w:val="center"/>
            <w:hideMark/>
          </w:tcPr>
          <w:p w14:paraId="0E6F2C01" w14:textId="77777777" w:rsidR="00F3536C" w:rsidRPr="00A4272B" w:rsidRDefault="00F3536C" w:rsidP="00A41632">
            <w:pPr>
              <w:jc w:val="right"/>
              <w:rPr>
                <w:color w:val="000000"/>
                <w:sz w:val="14"/>
                <w:szCs w:val="14"/>
                <w:lang w:val="en-US"/>
              </w:rPr>
            </w:pPr>
            <w:r w:rsidRPr="00A4272B">
              <w:rPr>
                <w:color w:val="000000"/>
                <w:sz w:val="14"/>
                <w:szCs w:val="14"/>
                <w:lang w:val="en-US"/>
              </w:rPr>
              <w:t>0.716667</w:t>
            </w:r>
          </w:p>
        </w:tc>
        <w:tc>
          <w:tcPr>
            <w:tcW w:w="859" w:type="dxa"/>
            <w:tcBorders>
              <w:top w:val="nil"/>
              <w:left w:val="nil"/>
              <w:bottom w:val="nil"/>
              <w:right w:val="single" w:sz="8" w:space="0" w:color="auto"/>
            </w:tcBorders>
            <w:noWrap/>
            <w:vAlign w:val="center"/>
            <w:hideMark/>
          </w:tcPr>
          <w:p w14:paraId="59F7D11E" w14:textId="77777777" w:rsidR="00F3536C" w:rsidRPr="00A4272B" w:rsidRDefault="00F3536C" w:rsidP="00A41632">
            <w:pPr>
              <w:jc w:val="center"/>
              <w:rPr>
                <w:color w:val="000000"/>
                <w:sz w:val="14"/>
                <w:szCs w:val="14"/>
                <w:lang w:val="en-US"/>
              </w:rPr>
            </w:pPr>
            <w:r w:rsidRPr="00A4272B">
              <w:rPr>
                <w:color w:val="000000"/>
                <w:sz w:val="14"/>
                <w:szCs w:val="14"/>
                <w:lang w:val="en-US"/>
              </w:rPr>
              <w:t>470</w:t>
            </w:r>
          </w:p>
        </w:tc>
        <w:tc>
          <w:tcPr>
            <w:tcW w:w="792" w:type="dxa"/>
            <w:noWrap/>
            <w:vAlign w:val="center"/>
            <w:hideMark/>
          </w:tcPr>
          <w:p w14:paraId="131E52E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D601E93"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B81A40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77E63F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6CE59F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55D5095"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3B58CACC" w14:textId="77777777" w:rsidTr="00A41632">
        <w:trPr>
          <w:trHeight w:val="276"/>
          <w:jc w:val="center"/>
        </w:trPr>
        <w:tc>
          <w:tcPr>
            <w:tcW w:w="955" w:type="dxa"/>
            <w:tcBorders>
              <w:top w:val="nil"/>
              <w:left w:val="single" w:sz="8" w:space="0" w:color="auto"/>
              <w:bottom w:val="nil"/>
              <w:right w:val="nil"/>
            </w:tcBorders>
            <w:noWrap/>
            <w:vAlign w:val="center"/>
            <w:hideMark/>
          </w:tcPr>
          <w:p w14:paraId="6F7E856A"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63D124A6"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6977D8EE" w14:textId="77777777" w:rsidR="00F3536C" w:rsidRPr="00A4272B" w:rsidRDefault="00F3536C" w:rsidP="00A41632">
            <w:pPr>
              <w:rPr>
                <w:color w:val="000000"/>
                <w:sz w:val="14"/>
                <w:szCs w:val="14"/>
                <w:lang w:val="en-US"/>
              </w:rPr>
            </w:pPr>
            <w:r w:rsidRPr="00A4272B">
              <w:rPr>
                <w:color w:val="000000"/>
                <w:sz w:val="14"/>
                <w:szCs w:val="14"/>
                <w:lang w:val="en-US"/>
              </w:rPr>
              <w:t>Huelva</w:t>
            </w:r>
          </w:p>
        </w:tc>
        <w:tc>
          <w:tcPr>
            <w:tcW w:w="998" w:type="dxa"/>
            <w:noWrap/>
            <w:vAlign w:val="center"/>
            <w:hideMark/>
          </w:tcPr>
          <w:p w14:paraId="35CA207E" w14:textId="77777777" w:rsidR="00F3536C" w:rsidRPr="00A4272B" w:rsidRDefault="00F3536C" w:rsidP="00A41632">
            <w:pPr>
              <w:jc w:val="center"/>
              <w:rPr>
                <w:color w:val="000000"/>
                <w:sz w:val="14"/>
                <w:szCs w:val="14"/>
                <w:lang w:val="en-US"/>
              </w:rPr>
            </w:pPr>
            <w:r w:rsidRPr="00A4272B">
              <w:rPr>
                <w:color w:val="000000"/>
                <w:sz w:val="14"/>
                <w:szCs w:val="14"/>
                <w:lang w:val="en-US"/>
              </w:rPr>
              <w:t>U3</w:t>
            </w:r>
          </w:p>
        </w:tc>
        <w:tc>
          <w:tcPr>
            <w:tcW w:w="1342" w:type="dxa"/>
            <w:noWrap/>
            <w:vAlign w:val="center"/>
            <w:hideMark/>
          </w:tcPr>
          <w:p w14:paraId="264D492F"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7DFD4785" w14:textId="77777777" w:rsidR="00F3536C" w:rsidRPr="00A4272B" w:rsidRDefault="00F3536C" w:rsidP="00A41632">
            <w:pPr>
              <w:jc w:val="right"/>
              <w:rPr>
                <w:color w:val="000000"/>
                <w:sz w:val="14"/>
                <w:szCs w:val="14"/>
                <w:lang w:val="en-US"/>
              </w:rPr>
            </w:pPr>
            <w:r w:rsidRPr="00A4272B">
              <w:rPr>
                <w:color w:val="000000"/>
                <w:sz w:val="14"/>
                <w:szCs w:val="14"/>
                <w:lang w:val="en-US"/>
              </w:rPr>
              <w:t>37.250000</w:t>
            </w:r>
          </w:p>
        </w:tc>
        <w:tc>
          <w:tcPr>
            <w:tcW w:w="998" w:type="dxa"/>
            <w:noWrap/>
            <w:vAlign w:val="center"/>
            <w:hideMark/>
          </w:tcPr>
          <w:p w14:paraId="78ADA309" w14:textId="77777777" w:rsidR="00F3536C" w:rsidRPr="00A4272B" w:rsidRDefault="00F3536C" w:rsidP="00A41632">
            <w:pPr>
              <w:jc w:val="right"/>
              <w:rPr>
                <w:color w:val="000000"/>
                <w:sz w:val="14"/>
                <w:szCs w:val="14"/>
                <w:lang w:val="en-US"/>
              </w:rPr>
            </w:pPr>
            <w:r w:rsidRPr="00A4272B">
              <w:rPr>
                <w:color w:val="000000"/>
                <w:sz w:val="14"/>
                <w:szCs w:val="14"/>
                <w:lang w:val="en-US"/>
              </w:rPr>
              <w:t>-6.950000</w:t>
            </w:r>
          </w:p>
        </w:tc>
        <w:tc>
          <w:tcPr>
            <w:tcW w:w="859" w:type="dxa"/>
            <w:tcBorders>
              <w:top w:val="nil"/>
              <w:left w:val="nil"/>
              <w:bottom w:val="nil"/>
              <w:right w:val="single" w:sz="8" w:space="0" w:color="auto"/>
            </w:tcBorders>
            <w:noWrap/>
            <w:vAlign w:val="center"/>
            <w:hideMark/>
          </w:tcPr>
          <w:p w14:paraId="38549BD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0EC300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FFC102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4039EA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9EB20C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C55222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90CCE72"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6DE5D856" w14:textId="77777777" w:rsidTr="00A41632">
        <w:trPr>
          <w:trHeight w:val="276"/>
          <w:jc w:val="center"/>
        </w:trPr>
        <w:tc>
          <w:tcPr>
            <w:tcW w:w="955" w:type="dxa"/>
            <w:tcBorders>
              <w:top w:val="nil"/>
              <w:left w:val="single" w:sz="8" w:space="0" w:color="auto"/>
              <w:bottom w:val="nil"/>
              <w:right w:val="nil"/>
            </w:tcBorders>
            <w:noWrap/>
            <w:vAlign w:val="center"/>
            <w:hideMark/>
          </w:tcPr>
          <w:p w14:paraId="5868D6B7"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490205D1"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6DA60CDF" w14:textId="77777777" w:rsidR="00F3536C" w:rsidRPr="00A4272B" w:rsidRDefault="00F3536C" w:rsidP="00A41632">
            <w:pPr>
              <w:rPr>
                <w:color w:val="000000"/>
                <w:sz w:val="14"/>
                <w:szCs w:val="14"/>
                <w:lang w:val="en-US"/>
              </w:rPr>
            </w:pPr>
            <w:r w:rsidRPr="00A4272B">
              <w:rPr>
                <w:color w:val="000000"/>
                <w:sz w:val="14"/>
                <w:szCs w:val="14"/>
                <w:lang w:val="en-US"/>
              </w:rPr>
              <w:t xml:space="preserve">Izana </w:t>
            </w:r>
          </w:p>
        </w:tc>
        <w:tc>
          <w:tcPr>
            <w:tcW w:w="998" w:type="dxa"/>
            <w:noWrap/>
            <w:vAlign w:val="center"/>
            <w:hideMark/>
          </w:tcPr>
          <w:p w14:paraId="1648C113" w14:textId="77777777" w:rsidR="00F3536C" w:rsidRPr="00A4272B" w:rsidRDefault="00F3536C" w:rsidP="00A41632">
            <w:pPr>
              <w:jc w:val="center"/>
              <w:rPr>
                <w:color w:val="000000"/>
                <w:sz w:val="14"/>
                <w:szCs w:val="14"/>
                <w:lang w:val="en-US"/>
              </w:rPr>
            </w:pPr>
            <w:r w:rsidRPr="00A4272B">
              <w:rPr>
                <w:color w:val="000000"/>
                <w:sz w:val="14"/>
                <w:szCs w:val="14"/>
                <w:lang w:val="en-US"/>
              </w:rPr>
              <w:t>ES0018G</w:t>
            </w:r>
          </w:p>
        </w:tc>
        <w:tc>
          <w:tcPr>
            <w:tcW w:w="1342" w:type="dxa"/>
            <w:noWrap/>
            <w:vAlign w:val="center"/>
            <w:hideMark/>
          </w:tcPr>
          <w:p w14:paraId="0023A556"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728A86E4" w14:textId="77777777" w:rsidR="00F3536C" w:rsidRPr="00A4272B" w:rsidRDefault="00F3536C" w:rsidP="00A41632">
            <w:pPr>
              <w:jc w:val="right"/>
              <w:rPr>
                <w:color w:val="000000"/>
                <w:sz w:val="14"/>
                <w:szCs w:val="14"/>
                <w:lang w:val="en-US"/>
              </w:rPr>
            </w:pPr>
            <w:r w:rsidRPr="00A4272B">
              <w:rPr>
                <w:color w:val="000000"/>
                <w:sz w:val="14"/>
                <w:szCs w:val="14"/>
                <w:lang w:val="en-US"/>
              </w:rPr>
              <w:t>28.308889</w:t>
            </w:r>
          </w:p>
        </w:tc>
        <w:tc>
          <w:tcPr>
            <w:tcW w:w="998" w:type="dxa"/>
            <w:noWrap/>
            <w:vAlign w:val="center"/>
            <w:hideMark/>
          </w:tcPr>
          <w:p w14:paraId="4765D0F1" w14:textId="77777777" w:rsidR="00F3536C" w:rsidRPr="00A4272B" w:rsidRDefault="00F3536C" w:rsidP="00A41632">
            <w:pPr>
              <w:jc w:val="right"/>
              <w:rPr>
                <w:color w:val="000000"/>
                <w:sz w:val="14"/>
                <w:szCs w:val="14"/>
                <w:lang w:val="en-US"/>
              </w:rPr>
            </w:pPr>
            <w:r w:rsidRPr="00A4272B">
              <w:rPr>
                <w:color w:val="000000"/>
                <w:sz w:val="14"/>
                <w:szCs w:val="14"/>
                <w:lang w:val="en-US"/>
              </w:rPr>
              <w:t>-16.499167</w:t>
            </w:r>
          </w:p>
        </w:tc>
        <w:tc>
          <w:tcPr>
            <w:tcW w:w="859" w:type="dxa"/>
            <w:tcBorders>
              <w:top w:val="nil"/>
              <w:left w:val="nil"/>
              <w:bottom w:val="nil"/>
              <w:right w:val="single" w:sz="8" w:space="0" w:color="auto"/>
            </w:tcBorders>
            <w:noWrap/>
            <w:vAlign w:val="center"/>
            <w:hideMark/>
          </w:tcPr>
          <w:p w14:paraId="280D7602" w14:textId="77777777" w:rsidR="00F3536C" w:rsidRPr="00A4272B" w:rsidRDefault="00F3536C" w:rsidP="00A41632">
            <w:pPr>
              <w:jc w:val="center"/>
              <w:rPr>
                <w:color w:val="000000"/>
                <w:sz w:val="14"/>
                <w:szCs w:val="14"/>
                <w:lang w:val="en-US"/>
              </w:rPr>
            </w:pPr>
            <w:r w:rsidRPr="00A4272B">
              <w:rPr>
                <w:color w:val="000000"/>
                <w:sz w:val="14"/>
                <w:szCs w:val="14"/>
                <w:lang w:val="en-US"/>
              </w:rPr>
              <w:t>2373</w:t>
            </w:r>
          </w:p>
        </w:tc>
        <w:tc>
          <w:tcPr>
            <w:tcW w:w="792" w:type="dxa"/>
            <w:noWrap/>
            <w:vAlign w:val="center"/>
            <w:hideMark/>
          </w:tcPr>
          <w:p w14:paraId="2774F70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D34B7C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A7A518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195E5B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E9B1A5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F4F3D0D"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0AF8C304" w14:textId="77777777" w:rsidTr="00A41632">
        <w:trPr>
          <w:trHeight w:val="276"/>
          <w:jc w:val="center"/>
        </w:trPr>
        <w:tc>
          <w:tcPr>
            <w:tcW w:w="955" w:type="dxa"/>
            <w:tcBorders>
              <w:top w:val="nil"/>
              <w:left w:val="single" w:sz="8" w:space="0" w:color="auto"/>
              <w:bottom w:val="nil"/>
              <w:right w:val="nil"/>
            </w:tcBorders>
            <w:noWrap/>
            <w:vAlign w:val="center"/>
            <w:hideMark/>
          </w:tcPr>
          <w:p w14:paraId="25A9596C"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6CD85993"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42F15855" w14:textId="77777777" w:rsidR="00F3536C" w:rsidRPr="00A4272B" w:rsidRDefault="00F3536C" w:rsidP="00A41632">
            <w:pPr>
              <w:rPr>
                <w:color w:val="000000"/>
                <w:sz w:val="14"/>
                <w:szCs w:val="14"/>
                <w:lang w:val="en-US"/>
              </w:rPr>
            </w:pPr>
            <w:r w:rsidRPr="00A4272B">
              <w:rPr>
                <w:color w:val="000000"/>
                <w:sz w:val="14"/>
                <w:szCs w:val="14"/>
                <w:lang w:val="en-US"/>
              </w:rPr>
              <w:t>La Coruña</w:t>
            </w:r>
          </w:p>
        </w:tc>
        <w:tc>
          <w:tcPr>
            <w:tcW w:w="998" w:type="dxa"/>
            <w:noWrap/>
            <w:vAlign w:val="center"/>
            <w:hideMark/>
          </w:tcPr>
          <w:p w14:paraId="3FD69F81" w14:textId="77777777" w:rsidR="00F3536C" w:rsidRPr="00A4272B" w:rsidRDefault="00F3536C" w:rsidP="00A41632">
            <w:pPr>
              <w:jc w:val="center"/>
              <w:rPr>
                <w:color w:val="000000"/>
                <w:sz w:val="14"/>
                <w:szCs w:val="14"/>
                <w:lang w:val="en-US"/>
              </w:rPr>
            </w:pPr>
            <w:r w:rsidRPr="00A4272B">
              <w:rPr>
                <w:color w:val="000000"/>
                <w:sz w:val="14"/>
                <w:szCs w:val="14"/>
                <w:lang w:val="en-US"/>
              </w:rPr>
              <w:t>U4</w:t>
            </w:r>
          </w:p>
        </w:tc>
        <w:tc>
          <w:tcPr>
            <w:tcW w:w="1342" w:type="dxa"/>
            <w:noWrap/>
            <w:vAlign w:val="center"/>
            <w:hideMark/>
          </w:tcPr>
          <w:p w14:paraId="27B1DD8C"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6D8D1AD9" w14:textId="77777777" w:rsidR="00F3536C" w:rsidRPr="00A4272B" w:rsidRDefault="00F3536C" w:rsidP="00A41632">
            <w:pPr>
              <w:jc w:val="right"/>
              <w:rPr>
                <w:color w:val="000000"/>
                <w:sz w:val="14"/>
                <w:szCs w:val="14"/>
                <w:lang w:val="en-US"/>
              </w:rPr>
            </w:pPr>
            <w:r w:rsidRPr="00A4272B">
              <w:rPr>
                <w:color w:val="000000"/>
                <w:sz w:val="14"/>
                <w:szCs w:val="14"/>
                <w:lang w:val="en-US"/>
              </w:rPr>
              <w:t>43.365833</w:t>
            </w:r>
          </w:p>
        </w:tc>
        <w:tc>
          <w:tcPr>
            <w:tcW w:w="998" w:type="dxa"/>
            <w:noWrap/>
            <w:vAlign w:val="center"/>
            <w:hideMark/>
          </w:tcPr>
          <w:p w14:paraId="594BF29D" w14:textId="77777777" w:rsidR="00F3536C" w:rsidRPr="00A4272B" w:rsidRDefault="00F3536C" w:rsidP="00A41632">
            <w:pPr>
              <w:jc w:val="right"/>
              <w:rPr>
                <w:color w:val="000000"/>
                <w:sz w:val="14"/>
                <w:szCs w:val="14"/>
                <w:lang w:val="en-US"/>
              </w:rPr>
            </w:pPr>
            <w:r w:rsidRPr="00A4272B">
              <w:rPr>
                <w:color w:val="000000"/>
                <w:sz w:val="14"/>
                <w:szCs w:val="14"/>
                <w:lang w:val="en-US"/>
              </w:rPr>
              <w:t>-8.421389</w:t>
            </w:r>
          </w:p>
        </w:tc>
        <w:tc>
          <w:tcPr>
            <w:tcW w:w="859" w:type="dxa"/>
            <w:tcBorders>
              <w:top w:val="nil"/>
              <w:left w:val="nil"/>
              <w:bottom w:val="nil"/>
              <w:right w:val="single" w:sz="8" w:space="0" w:color="auto"/>
            </w:tcBorders>
            <w:noWrap/>
            <w:vAlign w:val="center"/>
            <w:hideMark/>
          </w:tcPr>
          <w:p w14:paraId="51A74D9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A57C06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37C9AD0"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E4BF94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3A6D8D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2DA2F0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74A5DAE"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24623BD6" w14:textId="77777777" w:rsidTr="00A41632">
        <w:trPr>
          <w:trHeight w:val="276"/>
          <w:jc w:val="center"/>
        </w:trPr>
        <w:tc>
          <w:tcPr>
            <w:tcW w:w="955" w:type="dxa"/>
            <w:tcBorders>
              <w:top w:val="nil"/>
              <w:left w:val="single" w:sz="8" w:space="0" w:color="auto"/>
              <w:bottom w:val="nil"/>
              <w:right w:val="nil"/>
            </w:tcBorders>
            <w:noWrap/>
            <w:vAlign w:val="center"/>
            <w:hideMark/>
          </w:tcPr>
          <w:p w14:paraId="045E2C06"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2BCBA52B"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3E8C24EF" w14:textId="77777777" w:rsidR="00F3536C" w:rsidRPr="00A4272B" w:rsidRDefault="00F3536C" w:rsidP="00A41632">
            <w:pPr>
              <w:rPr>
                <w:color w:val="000000"/>
                <w:sz w:val="14"/>
                <w:szCs w:val="14"/>
                <w:lang w:val="en-US"/>
              </w:rPr>
            </w:pPr>
            <w:r w:rsidRPr="00A4272B">
              <w:rPr>
                <w:color w:val="000000"/>
                <w:sz w:val="14"/>
                <w:szCs w:val="14"/>
                <w:lang w:val="en-US"/>
              </w:rPr>
              <w:t>Madrid</w:t>
            </w:r>
          </w:p>
        </w:tc>
        <w:tc>
          <w:tcPr>
            <w:tcW w:w="998" w:type="dxa"/>
            <w:noWrap/>
            <w:vAlign w:val="center"/>
            <w:hideMark/>
          </w:tcPr>
          <w:p w14:paraId="2171B526" w14:textId="77777777" w:rsidR="00F3536C" w:rsidRPr="00A4272B" w:rsidRDefault="00F3536C" w:rsidP="00A41632">
            <w:pPr>
              <w:jc w:val="center"/>
              <w:rPr>
                <w:color w:val="000000"/>
                <w:sz w:val="14"/>
                <w:szCs w:val="14"/>
                <w:lang w:val="en-US"/>
              </w:rPr>
            </w:pPr>
            <w:r w:rsidRPr="00A4272B">
              <w:rPr>
                <w:color w:val="000000"/>
                <w:sz w:val="14"/>
                <w:szCs w:val="14"/>
                <w:lang w:val="en-US"/>
              </w:rPr>
              <w:t>EC05</w:t>
            </w:r>
          </w:p>
        </w:tc>
        <w:tc>
          <w:tcPr>
            <w:tcW w:w="1342" w:type="dxa"/>
            <w:noWrap/>
            <w:vAlign w:val="center"/>
            <w:hideMark/>
          </w:tcPr>
          <w:p w14:paraId="223F41DB"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6FCE3A3C" w14:textId="77777777" w:rsidR="00F3536C" w:rsidRPr="00A4272B" w:rsidRDefault="00F3536C" w:rsidP="00A41632">
            <w:pPr>
              <w:jc w:val="right"/>
              <w:rPr>
                <w:color w:val="000000"/>
                <w:sz w:val="14"/>
                <w:szCs w:val="14"/>
                <w:lang w:val="en-US"/>
              </w:rPr>
            </w:pPr>
            <w:r w:rsidRPr="00A4272B">
              <w:rPr>
                <w:color w:val="000000"/>
                <w:sz w:val="14"/>
                <w:szCs w:val="14"/>
                <w:lang w:val="en-US"/>
              </w:rPr>
              <w:t>40.450000</w:t>
            </w:r>
          </w:p>
        </w:tc>
        <w:tc>
          <w:tcPr>
            <w:tcW w:w="998" w:type="dxa"/>
            <w:noWrap/>
            <w:vAlign w:val="center"/>
            <w:hideMark/>
          </w:tcPr>
          <w:p w14:paraId="559CFB2B" w14:textId="77777777" w:rsidR="00F3536C" w:rsidRPr="00A4272B" w:rsidRDefault="00F3536C" w:rsidP="00A41632">
            <w:pPr>
              <w:jc w:val="right"/>
              <w:rPr>
                <w:color w:val="000000"/>
                <w:sz w:val="14"/>
                <w:szCs w:val="14"/>
                <w:lang w:val="en-US"/>
              </w:rPr>
            </w:pPr>
            <w:r w:rsidRPr="00A4272B">
              <w:rPr>
                <w:color w:val="000000"/>
                <w:sz w:val="14"/>
                <w:szCs w:val="14"/>
                <w:lang w:val="en-US"/>
              </w:rPr>
              <w:t>-3.716667</w:t>
            </w:r>
          </w:p>
        </w:tc>
        <w:tc>
          <w:tcPr>
            <w:tcW w:w="859" w:type="dxa"/>
            <w:tcBorders>
              <w:top w:val="nil"/>
              <w:left w:val="nil"/>
              <w:bottom w:val="nil"/>
              <w:right w:val="single" w:sz="8" w:space="0" w:color="auto"/>
            </w:tcBorders>
            <w:noWrap/>
            <w:vAlign w:val="center"/>
            <w:hideMark/>
          </w:tcPr>
          <w:p w14:paraId="025C85B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281FF2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025DD20"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7A0E55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28A6CA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3782CA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455A330"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61C5C427" w14:textId="77777777" w:rsidTr="00A41632">
        <w:trPr>
          <w:trHeight w:val="276"/>
          <w:jc w:val="center"/>
        </w:trPr>
        <w:tc>
          <w:tcPr>
            <w:tcW w:w="955" w:type="dxa"/>
            <w:tcBorders>
              <w:top w:val="nil"/>
              <w:left w:val="single" w:sz="8" w:space="0" w:color="auto"/>
              <w:bottom w:val="nil"/>
              <w:right w:val="nil"/>
            </w:tcBorders>
            <w:noWrap/>
            <w:vAlign w:val="center"/>
            <w:hideMark/>
          </w:tcPr>
          <w:p w14:paraId="679E3A96"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3C3A6F06"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28C20D8D" w14:textId="77777777" w:rsidR="00F3536C" w:rsidRPr="00A4272B" w:rsidRDefault="00F3536C" w:rsidP="00A41632">
            <w:pPr>
              <w:rPr>
                <w:color w:val="000000"/>
                <w:sz w:val="14"/>
                <w:szCs w:val="14"/>
                <w:lang w:val="en-US"/>
              </w:rPr>
            </w:pPr>
            <w:r w:rsidRPr="00A4272B">
              <w:rPr>
                <w:color w:val="000000"/>
                <w:sz w:val="14"/>
                <w:szCs w:val="14"/>
                <w:lang w:val="en-US"/>
              </w:rPr>
              <w:t xml:space="preserve">Mahón </w:t>
            </w:r>
          </w:p>
        </w:tc>
        <w:tc>
          <w:tcPr>
            <w:tcW w:w="998" w:type="dxa"/>
            <w:noWrap/>
            <w:vAlign w:val="center"/>
            <w:hideMark/>
          </w:tcPr>
          <w:p w14:paraId="378EA1EE" w14:textId="77777777" w:rsidR="00F3536C" w:rsidRPr="00A4272B" w:rsidRDefault="00F3536C" w:rsidP="00A41632">
            <w:pPr>
              <w:jc w:val="center"/>
              <w:rPr>
                <w:color w:val="000000"/>
                <w:sz w:val="14"/>
                <w:szCs w:val="14"/>
                <w:lang w:val="en-US"/>
              </w:rPr>
            </w:pPr>
            <w:r w:rsidRPr="00A4272B">
              <w:rPr>
                <w:color w:val="000000"/>
                <w:sz w:val="14"/>
                <w:szCs w:val="14"/>
                <w:lang w:val="en-US"/>
              </w:rPr>
              <w:t>ES0006R</w:t>
            </w:r>
          </w:p>
        </w:tc>
        <w:tc>
          <w:tcPr>
            <w:tcW w:w="1342" w:type="dxa"/>
            <w:noWrap/>
            <w:vAlign w:val="center"/>
            <w:hideMark/>
          </w:tcPr>
          <w:p w14:paraId="75E6FAC7"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392FA3E6" w14:textId="77777777" w:rsidR="00F3536C" w:rsidRPr="00A4272B" w:rsidRDefault="00F3536C" w:rsidP="00A41632">
            <w:pPr>
              <w:jc w:val="right"/>
              <w:rPr>
                <w:color w:val="000000"/>
                <w:sz w:val="14"/>
                <w:szCs w:val="14"/>
                <w:lang w:val="en-US"/>
              </w:rPr>
            </w:pPr>
            <w:r w:rsidRPr="00A4272B">
              <w:rPr>
                <w:color w:val="000000"/>
                <w:sz w:val="14"/>
                <w:szCs w:val="14"/>
                <w:lang w:val="en-US"/>
              </w:rPr>
              <w:t>39.866667</w:t>
            </w:r>
          </w:p>
        </w:tc>
        <w:tc>
          <w:tcPr>
            <w:tcW w:w="998" w:type="dxa"/>
            <w:noWrap/>
            <w:vAlign w:val="center"/>
            <w:hideMark/>
          </w:tcPr>
          <w:p w14:paraId="73AF6EEA" w14:textId="77777777" w:rsidR="00F3536C" w:rsidRPr="00A4272B" w:rsidRDefault="00F3536C" w:rsidP="00A41632">
            <w:pPr>
              <w:jc w:val="right"/>
              <w:rPr>
                <w:color w:val="000000"/>
                <w:sz w:val="14"/>
                <w:szCs w:val="14"/>
                <w:lang w:val="en-US"/>
              </w:rPr>
            </w:pPr>
            <w:r w:rsidRPr="00A4272B">
              <w:rPr>
                <w:color w:val="000000"/>
                <w:sz w:val="14"/>
                <w:szCs w:val="14"/>
                <w:lang w:val="en-US"/>
              </w:rPr>
              <w:t>4.316667</w:t>
            </w:r>
          </w:p>
        </w:tc>
        <w:tc>
          <w:tcPr>
            <w:tcW w:w="859" w:type="dxa"/>
            <w:tcBorders>
              <w:top w:val="nil"/>
              <w:left w:val="nil"/>
              <w:bottom w:val="nil"/>
              <w:right w:val="single" w:sz="8" w:space="0" w:color="auto"/>
            </w:tcBorders>
            <w:noWrap/>
            <w:vAlign w:val="center"/>
            <w:hideMark/>
          </w:tcPr>
          <w:p w14:paraId="2C3F0856" w14:textId="77777777" w:rsidR="00F3536C" w:rsidRPr="00A4272B" w:rsidRDefault="00F3536C" w:rsidP="00A41632">
            <w:pPr>
              <w:jc w:val="center"/>
              <w:rPr>
                <w:color w:val="000000"/>
                <w:sz w:val="14"/>
                <w:szCs w:val="14"/>
                <w:lang w:val="en-US"/>
              </w:rPr>
            </w:pPr>
            <w:r w:rsidRPr="00A4272B">
              <w:rPr>
                <w:color w:val="000000"/>
                <w:sz w:val="14"/>
                <w:szCs w:val="14"/>
                <w:lang w:val="en-US"/>
              </w:rPr>
              <w:t>78</w:t>
            </w:r>
          </w:p>
        </w:tc>
        <w:tc>
          <w:tcPr>
            <w:tcW w:w="792" w:type="dxa"/>
            <w:noWrap/>
            <w:vAlign w:val="center"/>
            <w:hideMark/>
          </w:tcPr>
          <w:p w14:paraId="092F928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114086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892167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7752ABA"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4F4EFE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3A310BC"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25805CD0" w14:textId="77777777" w:rsidTr="00A41632">
        <w:trPr>
          <w:trHeight w:val="276"/>
          <w:jc w:val="center"/>
        </w:trPr>
        <w:tc>
          <w:tcPr>
            <w:tcW w:w="955" w:type="dxa"/>
            <w:tcBorders>
              <w:top w:val="nil"/>
              <w:left w:val="single" w:sz="8" w:space="0" w:color="auto"/>
              <w:bottom w:val="nil"/>
              <w:right w:val="nil"/>
            </w:tcBorders>
            <w:noWrap/>
            <w:vAlign w:val="center"/>
            <w:hideMark/>
          </w:tcPr>
          <w:p w14:paraId="7B02ED6C"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3A5B3F99"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59A391B2" w14:textId="77777777" w:rsidR="00F3536C" w:rsidRPr="00A4272B" w:rsidRDefault="00F3536C" w:rsidP="00A41632">
            <w:pPr>
              <w:rPr>
                <w:color w:val="000000"/>
                <w:sz w:val="14"/>
                <w:szCs w:val="14"/>
                <w:lang w:val="en-US"/>
              </w:rPr>
            </w:pPr>
            <w:r w:rsidRPr="00A4272B">
              <w:rPr>
                <w:color w:val="000000"/>
                <w:sz w:val="14"/>
                <w:szCs w:val="14"/>
                <w:lang w:val="en-US"/>
              </w:rPr>
              <w:t xml:space="preserve">Niembro </w:t>
            </w:r>
          </w:p>
        </w:tc>
        <w:tc>
          <w:tcPr>
            <w:tcW w:w="998" w:type="dxa"/>
            <w:noWrap/>
            <w:vAlign w:val="center"/>
            <w:hideMark/>
          </w:tcPr>
          <w:p w14:paraId="73192D95" w14:textId="77777777" w:rsidR="00F3536C" w:rsidRPr="00A4272B" w:rsidRDefault="00F3536C" w:rsidP="00A41632">
            <w:pPr>
              <w:jc w:val="center"/>
              <w:rPr>
                <w:color w:val="000000"/>
                <w:sz w:val="14"/>
                <w:szCs w:val="14"/>
                <w:lang w:val="en-US"/>
              </w:rPr>
            </w:pPr>
            <w:r w:rsidRPr="00A4272B">
              <w:rPr>
                <w:color w:val="000000"/>
                <w:sz w:val="14"/>
                <w:szCs w:val="14"/>
                <w:lang w:val="en-US"/>
              </w:rPr>
              <w:t>ES0008R</w:t>
            </w:r>
          </w:p>
        </w:tc>
        <w:tc>
          <w:tcPr>
            <w:tcW w:w="1342" w:type="dxa"/>
            <w:noWrap/>
            <w:vAlign w:val="center"/>
            <w:hideMark/>
          </w:tcPr>
          <w:p w14:paraId="27F697C1"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3A288CDF" w14:textId="77777777" w:rsidR="00F3536C" w:rsidRPr="00A4272B" w:rsidRDefault="00F3536C" w:rsidP="00A41632">
            <w:pPr>
              <w:jc w:val="right"/>
              <w:rPr>
                <w:color w:val="000000"/>
                <w:sz w:val="14"/>
                <w:szCs w:val="14"/>
                <w:lang w:val="en-US"/>
              </w:rPr>
            </w:pPr>
            <w:r w:rsidRPr="00A4272B">
              <w:rPr>
                <w:color w:val="000000"/>
                <w:sz w:val="14"/>
                <w:szCs w:val="14"/>
                <w:lang w:val="en-US"/>
              </w:rPr>
              <w:t>43.442222</w:t>
            </w:r>
          </w:p>
        </w:tc>
        <w:tc>
          <w:tcPr>
            <w:tcW w:w="998" w:type="dxa"/>
            <w:noWrap/>
            <w:vAlign w:val="center"/>
            <w:hideMark/>
          </w:tcPr>
          <w:p w14:paraId="40B124F9" w14:textId="77777777" w:rsidR="00F3536C" w:rsidRPr="00A4272B" w:rsidRDefault="00F3536C" w:rsidP="00A41632">
            <w:pPr>
              <w:jc w:val="right"/>
              <w:rPr>
                <w:color w:val="000000"/>
                <w:sz w:val="14"/>
                <w:szCs w:val="14"/>
                <w:lang w:val="en-US"/>
              </w:rPr>
            </w:pPr>
            <w:r w:rsidRPr="00A4272B">
              <w:rPr>
                <w:color w:val="000000"/>
                <w:sz w:val="14"/>
                <w:szCs w:val="14"/>
                <w:lang w:val="en-US"/>
              </w:rPr>
              <w:t>-4.850278</w:t>
            </w:r>
          </w:p>
        </w:tc>
        <w:tc>
          <w:tcPr>
            <w:tcW w:w="859" w:type="dxa"/>
            <w:tcBorders>
              <w:top w:val="nil"/>
              <w:left w:val="nil"/>
              <w:bottom w:val="nil"/>
              <w:right w:val="single" w:sz="8" w:space="0" w:color="auto"/>
            </w:tcBorders>
            <w:noWrap/>
            <w:vAlign w:val="center"/>
            <w:hideMark/>
          </w:tcPr>
          <w:p w14:paraId="66E435C1" w14:textId="77777777" w:rsidR="00F3536C" w:rsidRPr="00A4272B" w:rsidRDefault="00F3536C" w:rsidP="00A41632">
            <w:pPr>
              <w:jc w:val="center"/>
              <w:rPr>
                <w:color w:val="000000"/>
                <w:sz w:val="14"/>
                <w:szCs w:val="14"/>
                <w:lang w:val="en-US"/>
              </w:rPr>
            </w:pPr>
            <w:r w:rsidRPr="00A4272B">
              <w:rPr>
                <w:color w:val="000000"/>
                <w:sz w:val="14"/>
                <w:szCs w:val="14"/>
                <w:lang w:val="en-US"/>
              </w:rPr>
              <w:t>134</w:t>
            </w:r>
          </w:p>
        </w:tc>
        <w:tc>
          <w:tcPr>
            <w:tcW w:w="792" w:type="dxa"/>
            <w:noWrap/>
            <w:vAlign w:val="center"/>
            <w:hideMark/>
          </w:tcPr>
          <w:p w14:paraId="5BEF0A0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C606B0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19F61BF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19BD6D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28D65C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5861FD8"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24C92B38" w14:textId="77777777" w:rsidTr="00A41632">
        <w:trPr>
          <w:trHeight w:val="276"/>
          <w:jc w:val="center"/>
        </w:trPr>
        <w:tc>
          <w:tcPr>
            <w:tcW w:w="955" w:type="dxa"/>
            <w:tcBorders>
              <w:top w:val="nil"/>
              <w:left w:val="single" w:sz="8" w:space="0" w:color="auto"/>
              <w:bottom w:val="nil"/>
              <w:right w:val="nil"/>
            </w:tcBorders>
            <w:noWrap/>
            <w:vAlign w:val="center"/>
            <w:hideMark/>
          </w:tcPr>
          <w:p w14:paraId="48756C02" w14:textId="77777777" w:rsidR="00F3536C" w:rsidRPr="00A4272B" w:rsidRDefault="00F3536C" w:rsidP="00A41632">
            <w:pPr>
              <w:rPr>
                <w:color w:val="000000"/>
                <w:sz w:val="14"/>
                <w:szCs w:val="14"/>
                <w:lang w:val="en-US"/>
              </w:rPr>
            </w:pPr>
            <w:r w:rsidRPr="00A4272B">
              <w:rPr>
                <w:color w:val="000000"/>
                <w:sz w:val="14"/>
                <w:szCs w:val="14"/>
                <w:lang w:val="en-US"/>
              </w:rPr>
              <w:lastRenderedPageBreak/>
              <w:t>Spain</w:t>
            </w:r>
          </w:p>
        </w:tc>
        <w:tc>
          <w:tcPr>
            <w:tcW w:w="1391" w:type="dxa"/>
            <w:noWrap/>
            <w:vAlign w:val="center"/>
            <w:hideMark/>
          </w:tcPr>
          <w:p w14:paraId="5BBD5766"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09CED99F" w14:textId="77777777" w:rsidR="00F3536C" w:rsidRPr="00A4272B" w:rsidRDefault="00F3536C" w:rsidP="00A41632">
            <w:pPr>
              <w:rPr>
                <w:color w:val="000000"/>
                <w:sz w:val="14"/>
                <w:szCs w:val="14"/>
                <w:lang w:val="en-US"/>
              </w:rPr>
            </w:pPr>
            <w:r w:rsidRPr="00A4272B">
              <w:rPr>
                <w:color w:val="000000"/>
                <w:sz w:val="14"/>
                <w:szCs w:val="14"/>
                <w:lang w:val="en-US"/>
              </w:rPr>
              <w:t xml:space="preserve">Noia </w:t>
            </w:r>
          </w:p>
        </w:tc>
        <w:tc>
          <w:tcPr>
            <w:tcW w:w="998" w:type="dxa"/>
            <w:noWrap/>
            <w:vAlign w:val="center"/>
            <w:hideMark/>
          </w:tcPr>
          <w:p w14:paraId="5F7F5C03" w14:textId="77777777" w:rsidR="00F3536C" w:rsidRPr="00A4272B" w:rsidRDefault="00F3536C" w:rsidP="00A41632">
            <w:pPr>
              <w:jc w:val="center"/>
              <w:rPr>
                <w:color w:val="000000"/>
                <w:sz w:val="14"/>
                <w:szCs w:val="14"/>
                <w:lang w:val="en-US"/>
              </w:rPr>
            </w:pPr>
            <w:r w:rsidRPr="00A4272B">
              <w:rPr>
                <w:color w:val="000000"/>
                <w:sz w:val="14"/>
                <w:szCs w:val="14"/>
                <w:lang w:val="en-US"/>
              </w:rPr>
              <w:t>ES0005R</w:t>
            </w:r>
          </w:p>
        </w:tc>
        <w:tc>
          <w:tcPr>
            <w:tcW w:w="1342" w:type="dxa"/>
            <w:noWrap/>
            <w:vAlign w:val="center"/>
            <w:hideMark/>
          </w:tcPr>
          <w:p w14:paraId="33F9C239"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0F9CC41A" w14:textId="77777777" w:rsidR="00F3536C" w:rsidRPr="00A4272B" w:rsidRDefault="00F3536C" w:rsidP="00A41632">
            <w:pPr>
              <w:jc w:val="right"/>
              <w:rPr>
                <w:color w:val="000000"/>
                <w:sz w:val="14"/>
                <w:szCs w:val="14"/>
                <w:lang w:val="en-US"/>
              </w:rPr>
            </w:pPr>
            <w:r w:rsidRPr="00A4272B">
              <w:rPr>
                <w:color w:val="000000"/>
                <w:sz w:val="14"/>
                <w:szCs w:val="14"/>
                <w:lang w:val="en-US"/>
              </w:rPr>
              <w:t>42.728056</w:t>
            </w:r>
          </w:p>
        </w:tc>
        <w:tc>
          <w:tcPr>
            <w:tcW w:w="998" w:type="dxa"/>
            <w:noWrap/>
            <w:vAlign w:val="center"/>
            <w:hideMark/>
          </w:tcPr>
          <w:p w14:paraId="0C1BC030" w14:textId="77777777" w:rsidR="00F3536C" w:rsidRPr="00A4272B" w:rsidRDefault="00F3536C" w:rsidP="00A41632">
            <w:pPr>
              <w:jc w:val="right"/>
              <w:rPr>
                <w:color w:val="000000"/>
                <w:sz w:val="14"/>
                <w:szCs w:val="14"/>
                <w:lang w:val="en-US"/>
              </w:rPr>
            </w:pPr>
            <w:r w:rsidRPr="00A4272B">
              <w:rPr>
                <w:color w:val="000000"/>
                <w:sz w:val="14"/>
                <w:szCs w:val="14"/>
                <w:lang w:val="en-US"/>
              </w:rPr>
              <w:t>-8.923611</w:t>
            </w:r>
          </w:p>
        </w:tc>
        <w:tc>
          <w:tcPr>
            <w:tcW w:w="859" w:type="dxa"/>
            <w:tcBorders>
              <w:top w:val="nil"/>
              <w:left w:val="nil"/>
              <w:bottom w:val="nil"/>
              <w:right w:val="single" w:sz="8" w:space="0" w:color="auto"/>
            </w:tcBorders>
            <w:noWrap/>
            <w:vAlign w:val="center"/>
            <w:hideMark/>
          </w:tcPr>
          <w:p w14:paraId="1FA8A165" w14:textId="77777777" w:rsidR="00F3536C" w:rsidRPr="00A4272B" w:rsidRDefault="00F3536C" w:rsidP="00A41632">
            <w:pPr>
              <w:jc w:val="center"/>
              <w:rPr>
                <w:color w:val="000000"/>
                <w:sz w:val="14"/>
                <w:szCs w:val="14"/>
                <w:lang w:val="en-US"/>
              </w:rPr>
            </w:pPr>
            <w:r w:rsidRPr="00A4272B">
              <w:rPr>
                <w:color w:val="000000"/>
                <w:sz w:val="14"/>
                <w:szCs w:val="14"/>
                <w:lang w:val="en-US"/>
              </w:rPr>
              <w:t>683</w:t>
            </w:r>
          </w:p>
        </w:tc>
        <w:tc>
          <w:tcPr>
            <w:tcW w:w="792" w:type="dxa"/>
            <w:noWrap/>
            <w:vAlign w:val="center"/>
            <w:hideMark/>
          </w:tcPr>
          <w:p w14:paraId="23445CC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0A759B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F2A8AA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E158D6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BDE310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60BFBD6"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746F691E" w14:textId="77777777" w:rsidTr="00A41632">
        <w:trPr>
          <w:trHeight w:val="276"/>
          <w:jc w:val="center"/>
        </w:trPr>
        <w:tc>
          <w:tcPr>
            <w:tcW w:w="955" w:type="dxa"/>
            <w:tcBorders>
              <w:top w:val="nil"/>
              <w:left w:val="single" w:sz="8" w:space="0" w:color="auto"/>
              <w:bottom w:val="nil"/>
              <w:right w:val="nil"/>
            </w:tcBorders>
            <w:noWrap/>
            <w:vAlign w:val="center"/>
            <w:hideMark/>
          </w:tcPr>
          <w:p w14:paraId="548BBB17"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0F954098"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6BDBB586" w14:textId="77777777" w:rsidR="00F3536C" w:rsidRPr="00A4272B" w:rsidRDefault="00F3536C" w:rsidP="00A41632">
            <w:pPr>
              <w:rPr>
                <w:color w:val="000000"/>
                <w:sz w:val="14"/>
                <w:szCs w:val="14"/>
                <w:lang w:val="en-US"/>
              </w:rPr>
            </w:pPr>
            <w:r w:rsidRPr="00A4272B">
              <w:rPr>
                <w:color w:val="000000"/>
                <w:sz w:val="14"/>
                <w:szCs w:val="14"/>
                <w:lang w:val="en-US"/>
              </w:rPr>
              <w:t xml:space="preserve">O Saviñao </w:t>
            </w:r>
          </w:p>
        </w:tc>
        <w:tc>
          <w:tcPr>
            <w:tcW w:w="998" w:type="dxa"/>
            <w:noWrap/>
            <w:vAlign w:val="center"/>
            <w:hideMark/>
          </w:tcPr>
          <w:p w14:paraId="66CFB942" w14:textId="77777777" w:rsidR="00F3536C" w:rsidRPr="00A4272B" w:rsidRDefault="00F3536C" w:rsidP="00A41632">
            <w:pPr>
              <w:jc w:val="center"/>
              <w:rPr>
                <w:color w:val="000000"/>
                <w:sz w:val="14"/>
                <w:szCs w:val="14"/>
                <w:lang w:val="en-US"/>
              </w:rPr>
            </w:pPr>
            <w:r w:rsidRPr="00A4272B">
              <w:rPr>
                <w:color w:val="000000"/>
                <w:sz w:val="14"/>
                <w:szCs w:val="14"/>
                <w:lang w:val="en-US"/>
              </w:rPr>
              <w:t>ES0016R</w:t>
            </w:r>
          </w:p>
        </w:tc>
        <w:tc>
          <w:tcPr>
            <w:tcW w:w="1342" w:type="dxa"/>
            <w:noWrap/>
            <w:vAlign w:val="center"/>
            <w:hideMark/>
          </w:tcPr>
          <w:p w14:paraId="4A030240"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707A32F4" w14:textId="77777777" w:rsidR="00F3536C" w:rsidRPr="00A4272B" w:rsidRDefault="00F3536C" w:rsidP="00A41632">
            <w:pPr>
              <w:jc w:val="right"/>
              <w:rPr>
                <w:color w:val="000000"/>
                <w:sz w:val="14"/>
                <w:szCs w:val="14"/>
                <w:lang w:val="en-US"/>
              </w:rPr>
            </w:pPr>
            <w:r w:rsidRPr="00A4272B">
              <w:rPr>
                <w:color w:val="000000"/>
                <w:sz w:val="14"/>
                <w:szCs w:val="14"/>
                <w:lang w:val="en-US"/>
              </w:rPr>
              <w:t>43.231111</w:t>
            </w:r>
          </w:p>
        </w:tc>
        <w:tc>
          <w:tcPr>
            <w:tcW w:w="998" w:type="dxa"/>
            <w:noWrap/>
            <w:vAlign w:val="center"/>
            <w:hideMark/>
          </w:tcPr>
          <w:p w14:paraId="1B01B573" w14:textId="77777777" w:rsidR="00F3536C" w:rsidRPr="00A4272B" w:rsidRDefault="00F3536C" w:rsidP="00A41632">
            <w:pPr>
              <w:jc w:val="right"/>
              <w:rPr>
                <w:color w:val="000000"/>
                <w:sz w:val="14"/>
                <w:szCs w:val="14"/>
                <w:lang w:val="en-US"/>
              </w:rPr>
            </w:pPr>
            <w:r w:rsidRPr="00A4272B">
              <w:rPr>
                <w:color w:val="000000"/>
                <w:sz w:val="14"/>
                <w:szCs w:val="14"/>
                <w:lang w:val="en-US"/>
              </w:rPr>
              <w:t>-7.699722</w:t>
            </w:r>
          </w:p>
        </w:tc>
        <w:tc>
          <w:tcPr>
            <w:tcW w:w="859" w:type="dxa"/>
            <w:tcBorders>
              <w:top w:val="nil"/>
              <w:left w:val="nil"/>
              <w:bottom w:val="nil"/>
              <w:right w:val="single" w:sz="8" w:space="0" w:color="auto"/>
            </w:tcBorders>
            <w:noWrap/>
            <w:vAlign w:val="center"/>
            <w:hideMark/>
          </w:tcPr>
          <w:p w14:paraId="2B9ACB87" w14:textId="77777777" w:rsidR="00F3536C" w:rsidRPr="00A4272B" w:rsidRDefault="00F3536C" w:rsidP="00A41632">
            <w:pPr>
              <w:jc w:val="center"/>
              <w:rPr>
                <w:color w:val="000000"/>
                <w:sz w:val="14"/>
                <w:szCs w:val="14"/>
                <w:lang w:val="en-US"/>
              </w:rPr>
            </w:pPr>
            <w:r w:rsidRPr="00A4272B">
              <w:rPr>
                <w:color w:val="000000"/>
                <w:sz w:val="14"/>
                <w:szCs w:val="14"/>
                <w:lang w:val="en-US"/>
              </w:rPr>
              <w:t>506</w:t>
            </w:r>
          </w:p>
        </w:tc>
        <w:tc>
          <w:tcPr>
            <w:tcW w:w="792" w:type="dxa"/>
            <w:noWrap/>
            <w:vAlign w:val="center"/>
            <w:hideMark/>
          </w:tcPr>
          <w:p w14:paraId="6C7ED03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8067D1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BFA7EC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3DD74F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1DC690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FB59704"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00C0A1B7" w14:textId="77777777" w:rsidTr="00A41632">
        <w:trPr>
          <w:trHeight w:val="276"/>
          <w:jc w:val="center"/>
        </w:trPr>
        <w:tc>
          <w:tcPr>
            <w:tcW w:w="955" w:type="dxa"/>
            <w:tcBorders>
              <w:top w:val="nil"/>
              <w:left w:val="single" w:sz="8" w:space="0" w:color="auto"/>
              <w:bottom w:val="nil"/>
              <w:right w:val="nil"/>
            </w:tcBorders>
            <w:noWrap/>
            <w:vAlign w:val="center"/>
            <w:hideMark/>
          </w:tcPr>
          <w:p w14:paraId="71208D9F"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08E5F1FE"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78816008" w14:textId="77777777" w:rsidR="00F3536C" w:rsidRPr="00A4272B" w:rsidRDefault="00F3536C" w:rsidP="00A41632">
            <w:pPr>
              <w:rPr>
                <w:color w:val="000000"/>
                <w:sz w:val="14"/>
                <w:szCs w:val="14"/>
                <w:lang w:val="en-US"/>
              </w:rPr>
            </w:pPr>
            <w:r w:rsidRPr="00A4272B">
              <w:rPr>
                <w:color w:val="000000"/>
                <w:sz w:val="14"/>
                <w:szCs w:val="14"/>
                <w:lang w:val="en-US"/>
              </w:rPr>
              <w:t xml:space="preserve">Penausende </w:t>
            </w:r>
          </w:p>
        </w:tc>
        <w:tc>
          <w:tcPr>
            <w:tcW w:w="998" w:type="dxa"/>
            <w:noWrap/>
            <w:vAlign w:val="center"/>
            <w:hideMark/>
          </w:tcPr>
          <w:p w14:paraId="164E0D0B" w14:textId="77777777" w:rsidR="00F3536C" w:rsidRPr="00A4272B" w:rsidRDefault="00F3536C" w:rsidP="00A41632">
            <w:pPr>
              <w:jc w:val="center"/>
              <w:rPr>
                <w:color w:val="000000"/>
                <w:sz w:val="14"/>
                <w:szCs w:val="14"/>
                <w:lang w:val="en-US"/>
              </w:rPr>
            </w:pPr>
            <w:r w:rsidRPr="00A4272B">
              <w:rPr>
                <w:color w:val="000000"/>
                <w:sz w:val="14"/>
                <w:szCs w:val="14"/>
                <w:lang w:val="en-US"/>
              </w:rPr>
              <w:t>ES0013R</w:t>
            </w:r>
          </w:p>
        </w:tc>
        <w:tc>
          <w:tcPr>
            <w:tcW w:w="1342" w:type="dxa"/>
            <w:noWrap/>
            <w:vAlign w:val="center"/>
            <w:hideMark/>
          </w:tcPr>
          <w:p w14:paraId="4B571578"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66DF7874" w14:textId="77777777" w:rsidR="00F3536C" w:rsidRPr="00A4272B" w:rsidRDefault="00F3536C" w:rsidP="00A41632">
            <w:pPr>
              <w:jc w:val="right"/>
              <w:rPr>
                <w:color w:val="000000"/>
                <w:sz w:val="14"/>
                <w:szCs w:val="14"/>
                <w:lang w:val="en-US"/>
              </w:rPr>
            </w:pPr>
            <w:r w:rsidRPr="00A4272B">
              <w:rPr>
                <w:color w:val="000000"/>
                <w:sz w:val="14"/>
                <w:szCs w:val="14"/>
                <w:lang w:val="en-US"/>
              </w:rPr>
              <w:t>41.283333</w:t>
            </w:r>
          </w:p>
        </w:tc>
        <w:tc>
          <w:tcPr>
            <w:tcW w:w="998" w:type="dxa"/>
            <w:noWrap/>
            <w:vAlign w:val="center"/>
            <w:hideMark/>
          </w:tcPr>
          <w:p w14:paraId="261CEE82" w14:textId="77777777" w:rsidR="00F3536C" w:rsidRPr="00A4272B" w:rsidRDefault="00F3536C" w:rsidP="00A41632">
            <w:pPr>
              <w:jc w:val="right"/>
              <w:rPr>
                <w:color w:val="000000"/>
                <w:sz w:val="14"/>
                <w:szCs w:val="14"/>
                <w:lang w:val="en-US"/>
              </w:rPr>
            </w:pPr>
            <w:r w:rsidRPr="00A4272B">
              <w:rPr>
                <w:color w:val="000000"/>
                <w:sz w:val="14"/>
                <w:szCs w:val="14"/>
                <w:lang w:val="en-US"/>
              </w:rPr>
              <w:t>-5.866667</w:t>
            </w:r>
          </w:p>
        </w:tc>
        <w:tc>
          <w:tcPr>
            <w:tcW w:w="859" w:type="dxa"/>
            <w:tcBorders>
              <w:top w:val="nil"/>
              <w:left w:val="nil"/>
              <w:bottom w:val="nil"/>
              <w:right w:val="single" w:sz="8" w:space="0" w:color="auto"/>
            </w:tcBorders>
            <w:noWrap/>
            <w:vAlign w:val="center"/>
            <w:hideMark/>
          </w:tcPr>
          <w:p w14:paraId="3EF6A813" w14:textId="77777777" w:rsidR="00F3536C" w:rsidRPr="00A4272B" w:rsidRDefault="00F3536C" w:rsidP="00A41632">
            <w:pPr>
              <w:jc w:val="center"/>
              <w:rPr>
                <w:color w:val="000000"/>
                <w:sz w:val="14"/>
                <w:szCs w:val="14"/>
                <w:lang w:val="en-US"/>
              </w:rPr>
            </w:pPr>
            <w:r w:rsidRPr="00A4272B">
              <w:rPr>
                <w:color w:val="000000"/>
                <w:sz w:val="14"/>
                <w:szCs w:val="14"/>
                <w:lang w:val="en-US"/>
              </w:rPr>
              <w:t>985</w:t>
            </w:r>
          </w:p>
        </w:tc>
        <w:tc>
          <w:tcPr>
            <w:tcW w:w="792" w:type="dxa"/>
            <w:noWrap/>
            <w:vAlign w:val="center"/>
            <w:hideMark/>
          </w:tcPr>
          <w:p w14:paraId="179AB93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5C15F4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6712C3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EBB0D4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8F8627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BE524C6"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1E31FA4F" w14:textId="77777777" w:rsidTr="00A41632">
        <w:trPr>
          <w:trHeight w:val="276"/>
          <w:jc w:val="center"/>
        </w:trPr>
        <w:tc>
          <w:tcPr>
            <w:tcW w:w="955" w:type="dxa"/>
            <w:tcBorders>
              <w:top w:val="nil"/>
              <w:left w:val="single" w:sz="8" w:space="0" w:color="auto"/>
              <w:bottom w:val="nil"/>
              <w:right w:val="nil"/>
            </w:tcBorders>
            <w:noWrap/>
            <w:vAlign w:val="center"/>
            <w:hideMark/>
          </w:tcPr>
          <w:p w14:paraId="79089E87"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5AB691F6"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290A658F" w14:textId="77777777" w:rsidR="00F3536C" w:rsidRPr="00A4272B" w:rsidRDefault="00F3536C" w:rsidP="00A41632">
            <w:pPr>
              <w:rPr>
                <w:color w:val="000000"/>
                <w:sz w:val="14"/>
                <w:szCs w:val="14"/>
                <w:lang w:val="en-US"/>
              </w:rPr>
            </w:pPr>
            <w:r w:rsidRPr="00A4272B">
              <w:rPr>
                <w:color w:val="000000"/>
                <w:sz w:val="14"/>
                <w:szCs w:val="14"/>
                <w:lang w:val="en-US"/>
              </w:rPr>
              <w:t>S.C. Tenerife</w:t>
            </w:r>
          </w:p>
        </w:tc>
        <w:tc>
          <w:tcPr>
            <w:tcW w:w="998" w:type="dxa"/>
            <w:noWrap/>
            <w:vAlign w:val="center"/>
            <w:hideMark/>
          </w:tcPr>
          <w:p w14:paraId="0EE6D49A" w14:textId="77777777" w:rsidR="00F3536C" w:rsidRPr="00A4272B" w:rsidRDefault="00F3536C" w:rsidP="00A41632">
            <w:pPr>
              <w:jc w:val="center"/>
              <w:rPr>
                <w:color w:val="000000"/>
                <w:sz w:val="14"/>
                <w:szCs w:val="14"/>
                <w:lang w:val="en-US"/>
              </w:rPr>
            </w:pPr>
            <w:r w:rsidRPr="00A4272B">
              <w:rPr>
                <w:color w:val="000000"/>
                <w:sz w:val="14"/>
                <w:szCs w:val="14"/>
                <w:lang w:val="en-US"/>
              </w:rPr>
              <w:t>U5</w:t>
            </w:r>
          </w:p>
        </w:tc>
        <w:tc>
          <w:tcPr>
            <w:tcW w:w="1342" w:type="dxa"/>
            <w:noWrap/>
            <w:vAlign w:val="center"/>
            <w:hideMark/>
          </w:tcPr>
          <w:p w14:paraId="4876CD85"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10B73C4A" w14:textId="77777777" w:rsidR="00F3536C" w:rsidRPr="00A4272B" w:rsidRDefault="00F3536C" w:rsidP="00A41632">
            <w:pPr>
              <w:jc w:val="right"/>
              <w:rPr>
                <w:color w:val="000000"/>
                <w:sz w:val="14"/>
                <w:szCs w:val="14"/>
                <w:lang w:val="en-US"/>
              </w:rPr>
            </w:pPr>
            <w:r w:rsidRPr="00A4272B">
              <w:rPr>
                <w:color w:val="000000"/>
                <w:sz w:val="14"/>
                <w:szCs w:val="14"/>
                <w:lang w:val="en-US"/>
              </w:rPr>
              <w:t>28.472528</w:t>
            </w:r>
          </w:p>
        </w:tc>
        <w:tc>
          <w:tcPr>
            <w:tcW w:w="998" w:type="dxa"/>
            <w:noWrap/>
            <w:vAlign w:val="center"/>
            <w:hideMark/>
          </w:tcPr>
          <w:p w14:paraId="6090959C" w14:textId="77777777" w:rsidR="00F3536C" w:rsidRPr="00A4272B" w:rsidRDefault="00F3536C" w:rsidP="00A41632">
            <w:pPr>
              <w:jc w:val="right"/>
              <w:rPr>
                <w:color w:val="000000"/>
                <w:sz w:val="14"/>
                <w:szCs w:val="14"/>
                <w:lang w:val="en-US"/>
              </w:rPr>
            </w:pPr>
            <w:r w:rsidRPr="00A4272B">
              <w:rPr>
                <w:color w:val="000000"/>
                <w:sz w:val="14"/>
                <w:szCs w:val="14"/>
                <w:lang w:val="en-US"/>
              </w:rPr>
              <w:t>-16.247222</w:t>
            </w:r>
          </w:p>
        </w:tc>
        <w:tc>
          <w:tcPr>
            <w:tcW w:w="859" w:type="dxa"/>
            <w:tcBorders>
              <w:top w:val="nil"/>
              <w:left w:val="nil"/>
              <w:bottom w:val="nil"/>
              <w:right w:val="single" w:sz="8" w:space="0" w:color="auto"/>
            </w:tcBorders>
            <w:noWrap/>
            <w:vAlign w:val="center"/>
            <w:hideMark/>
          </w:tcPr>
          <w:p w14:paraId="25C85A6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240643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B50E95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A15AA1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C2C1B1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318F5B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F9625B8"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301B0105" w14:textId="77777777" w:rsidTr="00A41632">
        <w:trPr>
          <w:trHeight w:val="276"/>
          <w:jc w:val="center"/>
        </w:trPr>
        <w:tc>
          <w:tcPr>
            <w:tcW w:w="955" w:type="dxa"/>
            <w:tcBorders>
              <w:top w:val="nil"/>
              <w:left w:val="single" w:sz="8" w:space="0" w:color="auto"/>
              <w:bottom w:val="nil"/>
              <w:right w:val="nil"/>
            </w:tcBorders>
            <w:noWrap/>
            <w:vAlign w:val="center"/>
            <w:hideMark/>
          </w:tcPr>
          <w:p w14:paraId="7E5C62D7"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3948D083"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3973F58D" w14:textId="77777777" w:rsidR="00F3536C" w:rsidRPr="00A4272B" w:rsidRDefault="00F3536C" w:rsidP="00A41632">
            <w:pPr>
              <w:rPr>
                <w:color w:val="000000"/>
                <w:sz w:val="14"/>
                <w:szCs w:val="14"/>
                <w:lang w:val="en-US"/>
              </w:rPr>
            </w:pPr>
            <w:r w:rsidRPr="00A4272B">
              <w:rPr>
                <w:color w:val="000000"/>
                <w:sz w:val="14"/>
                <w:szCs w:val="14"/>
                <w:lang w:val="en-US"/>
              </w:rPr>
              <w:t xml:space="preserve">San Pablo de los Montes </w:t>
            </w:r>
          </w:p>
        </w:tc>
        <w:tc>
          <w:tcPr>
            <w:tcW w:w="998" w:type="dxa"/>
            <w:noWrap/>
            <w:vAlign w:val="center"/>
            <w:hideMark/>
          </w:tcPr>
          <w:p w14:paraId="309FF266" w14:textId="77777777" w:rsidR="00F3536C" w:rsidRPr="00A4272B" w:rsidRDefault="00F3536C" w:rsidP="00A41632">
            <w:pPr>
              <w:jc w:val="center"/>
              <w:rPr>
                <w:color w:val="000000"/>
                <w:sz w:val="14"/>
                <w:szCs w:val="14"/>
                <w:lang w:val="en-US"/>
              </w:rPr>
            </w:pPr>
            <w:r w:rsidRPr="00A4272B">
              <w:rPr>
                <w:color w:val="000000"/>
                <w:sz w:val="14"/>
                <w:szCs w:val="14"/>
                <w:lang w:val="en-US"/>
              </w:rPr>
              <w:t>ES0001R</w:t>
            </w:r>
          </w:p>
        </w:tc>
        <w:tc>
          <w:tcPr>
            <w:tcW w:w="1342" w:type="dxa"/>
            <w:noWrap/>
            <w:vAlign w:val="center"/>
            <w:hideMark/>
          </w:tcPr>
          <w:p w14:paraId="0322F42C"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6EFDE98A" w14:textId="77777777" w:rsidR="00F3536C" w:rsidRPr="00A4272B" w:rsidRDefault="00F3536C" w:rsidP="00A41632">
            <w:pPr>
              <w:jc w:val="right"/>
              <w:rPr>
                <w:color w:val="000000"/>
                <w:sz w:val="14"/>
                <w:szCs w:val="14"/>
                <w:lang w:val="en-US"/>
              </w:rPr>
            </w:pPr>
            <w:r w:rsidRPr="00A4272B">
              <w:rPr>
                <w:color w:val="000000"/>
                <w:sz w:val="14"/>
                <w:szCs w:val="14"/>
                <w:lang w:val="en-US"/>
              </w:rPr>
              <w:t>39.547778</w:t>
            </w:r>
          </w:p>
        </w:tc>
        <w:tc>
          <w:tcPr>
            <w:tcW w:w="998" w:type="dxa"/>
            <w:noWrap/>
            <w:vAlign w:val="center"/>
            <w:hideMark/>
          </w:tcPr>
          <w:p w14:paraId="1DF53DC3" w14:textId="77777777" w:rsidR="00F3536C" w:rsidRPr="00A4272B" w:rsidRDefault="00F3536C" w:rsidP="00A41632">
            <w:pPr>
              <w:jc w:val="right"/>
              <w:rPr>
                <w:color w:val="000000"/>
                <w:sz w:val="14"/>
                <w:szCs w:val="14"/>
                <w:lang w:val="en-US"/>
              </w:rPr>
            </w:pPr>
            <w:r w:rsidRPr="00A4272B">
              <w:rPr>
                <w:color w:val="000000"/>
                <w:sz w:val="14"/>
                <w:szCs w:val="14"/>
                <w:lang w:val="en-US"/>
              </w:rPr>
              <w:t>-4.348611</w:t>
            </w:r>
          </w:p>
        </w:tc>
        <w:tc>
          <w:tcPr>
            <w:tcW w:w="859" w:type="dxa"/>
            <w:tcBorders>
              <w:top w:val="nil"/>
              <w:left w:val="nil"/>
              <w:bottom w:val="nil"/>
              <w:right w:val="single" w:sz="8" w:space="0" w:color="auto"/>
            </w:tcBorders>
            <w:noWrap/>
            <w:vAlign w:val="center"/>
            <w:hideMark/>
          </w:tcPr>
          <w:p w14:paraId="644F1829" w14:textId="77777777" w:rsidR="00F3536C" w:rsidRPr="00A4272B" w:rsidRDefault="00F3536C" w:rsidP="00A41632">
            <w:pPr>
              <w:jc w:val="center"/>
              <w:rPr>
                <w:color w:val="000000"/>
                <w:sz w:val="14"/>
                <w:szCs w:val="14"/>
                <w:lang w:val="en-US"/>
              </w:rPr>
            </w:pPr>
            <w:r w:rsidRPr="00A4272B">
              <w:rPr>
                <w:color w:val="000000"/>
                <w:sz w:val="14"/>
                <w:szCs w:val="14"/>
                <w:lang w:val="en-US"/>
              </w:rPr>
              <w:t>917</w:t>
            </w:r>
          </w:p>
        </w:tc>
        <w:tc>
          <w:tcPr>
            <w:tcW w:w="792" w:type="dxa"/>
            <w:noWrap/>
            <w:vAlign w:val="center"/>
            <w:hideMark/>
          </w:tcPr>
          <w:p w14:paraId="495ED12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58BCE5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F76D5E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CF844D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B761B8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1D0A52E6"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0CCEE10E" w14:textId="77777777" w:rsidTr="00A41632">
        <w:trPr>
          <w:trHeight w:val="276"/>
          <w:jc w:val="center"/>
        </w:trPr>
        <w:tc>
          <w:tcPr>
            <w:tcW w:w="955" w:type="dxa"/>
            <w:tcBorders>
              <w:top w:val="nil"/>
              <w:left w:val="single" w:sz="8" w:space="0" w:color="auto"/>
              <w:bottom w:val="nil"/>
              <w:right w:val="nil"/>
            </w:tcBorders>
            <w:noWrap/>
            <w:vAlign w:val="center"/>
            <w:hideMark/>
          </w:tcPr>
          <w:p w14:paraId="1702F0E4"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66E006A9"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3B6C6533" w14:textId="77777777" w:rsidR="00F3536C" w:rsidRPr="00A4272B" w:rsidRDefault="00F3536C" w:rsidP="00A41632">
            <w:pPr>
              <w:rPr>
                <w:color w:val="000000"/>
                <w:sz w:val="14"/>
                <w:szCs w:val="14"/>
                <w:lang w:val="en-US"/>
              </w:rPr>
            </w:pPr>
            <w:r w:rsidRPr="00A4272B">
              <w:rPr>
                <w:color w:val="000000"/>
                <w:sz w:val="14"/>
                <w:szCs w:val="14"/>
                <w:lang w:val="en-US"/>
              </w:rPr>
              <w:t>Valladolid</w:t>
            </w:r>
          </w:p>
        </w:tc>
        <w:tc>
          <w:tcPr>
            <w:tcW w:w="998" w:type="dxa"/>
            <w:noWrap/>
            <w:vAlign w:val="center"/>
            <w:hideMark/>
          </w:tcPr>
          <w:p w14:paraId="48732D45" w14:textId="77777777" w:rsidR="00F3536C" w:rsidRPr="00A4272B" w:rsidRDefault="00F3536C" w:rsidP="00A41632">
            <w:pPr>
              <w:jc w:val="center"/>
              <w:rPr>
                <w:color w:val="000000"/>
                <w:sz w:val="14"/>
                <w:szCs w:val="14"/>
                <w:lang w:val="en-US"/>
              </w:rPr>
            </w:pPr>
            <w:r w:rsidRPr="00A4272B">
              <w:rPr>
                <w:color w:val="000000"/>
                <w:sz w:val="14"/>
                <w:szCs w:val="14"/>
                <w:lang w:val="en-US"/>
              </w:rPr>
              <w:t>EC06</w:t>
            </w:r>
          </w:p>
        </w:tc>
        <w:tc>
          <w:tcPr>
            <w:tcW w:w="1342" w:type="dxa"/>
            <w:noWrap/>
            <w:vAlign w:val="center"/>
            <w:hideMark/>
          </w:tcPr>
          <w:p w14:paraId="059C7E72"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5FAB8EBD" w14:textId="77777777" w:rsidR="00F3536C" w:rsidRPr="00A4272B" w:rsidRDefault="00F3536C" w:rsidP="00A41632">
            <w:pPr>
              <w:jc w:val="right"/>
              <w:rPr>
                <w:color w:val="000000"/>
                <w:sz w:val="14"/>
                <w:szCs w:val="14"/>
                <w:lang w:val="en-US"/>
              </w:rPr>
            </w:pPr>
            <w:r w:rsidRPr="00A4272B">
              <w:rPr>
                <w:color w:val="000000"/>
                <w:sz w:val="14"/>
                <w:szCs w:val="14"/>
                <w:lang w:val="en-US"/>
              </w:rPr>
              <w:t>41.633333</w:t>
            </w:r>
          </w:p>
        </w:tc>
        <w:tc>
          <w:tcPr>
            <w:tcW w:w="998" w:type="dxa"/>
            <w:noWrap/>
            <w:vAlign w:val="center"/>
            <w:hideMark/>
          </w:tcPr>
          <w:p w14:paraId="538FD2C2" w14:textId="77777777" w:rsidR="00F3536C" w:rsidRPr="00A4272B" w:rsidRDefault="00F3536C" w:rsidP="00A41632">
            <w:pPr>
              <w:jc w:val="right"/>
              <w:rPr>
                <w:color w:val="000000"/>
                <w:sz w:val="14"/>
                <w:szCs w:val="14"/>
                <w:lang w:val="en-US"/>
              </w:rPr>
            </w:pPr>
            <w:r w:rsidRPr="00A4272B">
              <w:rPr>
                <w:color w:val="000000"/>
                <w:sz w:val="14"/>
                <w:szCs w:val="14"/>
                <w:lang w:val="en-US"/>
              </w:rPr>
              <w:t>-4.750000</w:t>
            </w:r>
          </w:p>
        </w:tc>
        <w:tc>
          <w:tcPr>
            <w:tcW w:w="859" w:type="dxa"/>
            <w:tcBorders>
              <w:top w:val="nil"/>
              <w:left w:val="nil"/>
              <w:bottom w:val="nil"/>
              <w:right w:val="single" w:sz="8" w:space="0" w:color="auto"/>
            </w:tcBorders>
            <w:noWrap/>
            <w:vAlign w:val="center"/>
            <w:hideMark/>
          </w:tcPr>
          <w:p w14:paraId="4F953E1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B7C85A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320041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E4A284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DF7BC3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3FBE84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20A3637"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35CAD747" w14:textId="77777777" w:rsidTr="00A41632">
        <w:trPr>
          <w:trHeight w:val="276"/>
          <w:jc w:val="center"/>
        </w:trPr>
        <w:tc>
          <w:tcPr>
            <w:tcW w:w="955" w:type="dxa"/>
            <w:tcBorders>
              <w:top w:val="nil"/>
              <w:left w:val="single" w:sz="8" w:space="0" w:color="auto"/>
              <w:bottom w:val="nil"/>
              <w:right w:val="nil"/>
            </w:tcBorders>
            <w:noWrap/>
            <w:vAlign w:val="center"/>
            <w:hideMark/>
          </w:tcPr>
          <w:p w14:paraId="779CA056"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noWrap/>
            <w:vAlign w:val="center"/>
            <w:hideMark/>
          </w:tcPr>
          <w:p w14:paraId="4EC003AB"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noWrap/>
            <w:vAlign w:val="center"/>
            <w:hideMark/>
          </w:tcPr>
          <w:p w14:paraId="37599DD9" w14:textId="77777777" w:rsidR="00F3536C" w:rsidRPr="00A4272B" w:rsidRDefault="00F3536C" w:rsidP="00A41632">
            <w:pPr>
              <w:rPr>
                <w:color w:val="000000"/>
                <w:sz w:val="14"/>
                <w:szCs w:val="14"/>
                <w:lang w:val="en-US"/>
              </w:rPr>
            </w:pPr>
            <w:r w:rsidRPr="00A4272B">
              <w:rPr>
                <w:color w:val="000000"/>
                <w:sz w:val="14"/>
                <w:szCs w:val="14"/>
                <w:lang w:val="en-US"/>
              </w:rPr>
              <w:t xml:space="preserve">Víznar </w:t>
            </w:r>
          </w:p>
        </w:tc>
        <w:tc>
          <w:tcPr>
            <w:tcW w:w="998" w:type="dxa"/>
            <w:noWrap/>
            <w:vAlign w:val="center"/>
            <w:hideMark/>
          </w:tcPr>
          <w:p w14:paraId="040968CD" w14:textId="77777777" w:rsidR="00F3536C" w:rsidRPr="00A4272B" w:rsidRDefault="00F3536C" w:rsidP="00A41632">
            <w:pPr>
              <w:jc w:val="center"/>
              <w:rPr>
                <w:color w:val="000000"/>
                <w:sz w:val="14"/>
                <w:szCs w:val="14"/>
                <w:lang w:val="en-US"/>
              </w:rPr>
            </w:pPr>
            <w:r w:rsidRPr="00A4272B">
              <w:rPr>
                <w:color w:val="000000"/>
                <w:sz w:val="14"/>
                <w:szCs w:val="14"/>
                <w:lang w:val="en-US"/>
              </w:rPr>
              <w:t>ES0007R</w:t>
            </w:r>
          </w:p>
        </w:tc>
        <w:tc>
          <w:tcPr>
            <w:tcW w:w="1342" w:type="dxa"/>
            <w:noWrap/>
            <w:vAlign w:val="center"/>
            <w:hideMark/>
          </w:tcPr>
          <w:p w14:paraId="78062137"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1E352348" w14:textId="77777777" w:rsidR="00F3536C" w:rsidRPr="00A4272B" w:rsidRDefault="00F3536C" w:rsidP="00A41632">
            <w:pPr>
              <w:jc w:val="right"/>
              <w:rPr>
                <w:color w:val="000000"/>
                <w:sz w:val="14"/>
                <w:szCs w:val="14"/>
                <w:lang w:val="en-US"/>
              </w:rPr>
            </w:pPr>
            <w:r w:rsidRPr="00A4272B">
              <w:rPr>
                <w:color w:val="000000"/>
                <w:sz w:val="14"/>
                <w:szCs w:val="14"/>
                <w:lang w:val="en-US"/>
              </w:rPr>
              <w:t>37.233333</w:t>
            </w:r>
          </w:p>
        </w:tc>
        <w:tc>
          <w:tcPr>
            <w:tcW w:w="998" w:type="dxa"/>
            <w:noWrap/>
            <w:vAlign w:val="center"/>
            <w:hideMark/>
          </w:tcPr>
          <w:p w14:paraId="779754FF" w14:textId="77777777" w:rsidR="00F3536C" w:rsidRPr="00A4272B" w:rsidRDefault="00F3536C" w:rsidP="00A41632">
            <w:pPr>
              <w:jc w:val="right"/>
              <w:rPr>
                <w:color w:val="000000"/>
                <w:sz w:val="14"/>
                <w:szCs w:val="14"/>
                <w:lang w:val="en-US"/>
              </w:rPr>
            </w:pPr>
            <w:r w:rsidRPr="00A4272B">
              <w:rPr>
                <w:color w:val="000000"/>
                <w:sz w:val="14"/>
                <w:szCs w:val="14"/>
                <w:lang w:val="en-US"/>
              </w:rPr>
              <w:t>-3.533333</w:t>
            </w:r>
          </w:p>
        </w:tc>
        <w:tc>
          <w:tcPr>
            <w:tcW w:w="859" w:type="dxa"/>
            <w:tcBorders>
              <w:top w:val="nil"/>
              <w:left w:val="nil"/>
              <w:bottom w:val="nil"/>
              <w:right w:val="single" w:sz="8" w:space="0" w:color="auto"/>
            </w:tcBorders>
            <w:noWrap/>
            <w:vAlign w:val="center"/>
            <w:hideMark/>
          </w:tcPr>
          <w:p w14:paraId="03A4C4A9" w14:textId="77777777" w:rsidR="00F3536C" w:rsidRPr="00A4272B" w:rsidRDefault="00F3536C" w:rsidP="00A41632">
            <w:pPr>
              <w:jc w:val="center"/>
              <w:rPr>
                <w:color w:val="000000"/>
                <w:sz w:val="14"/>
                <w:szCs w:val="14"/>
                <w:lang w:val="en-US"/>
              </w:rPr>
            </w:pPr>
            <w:r w:rsidRPr="00A4272B">
              <w:rPr>
                <w:color w:val="000000"/>
                <w:sz w:val="14"/>
                <w:szCs w:val="14"/>
                <w:lang w:val="en-US"/>
              </w:rPr>
              <w:t>1265</w:t>
            </w:r>
          </w:p>
        </w:tc>
        <w:tc>
          <w:tcPr>
            <w:tcW w:w="792" w:type="dxa"/>
            <w:noWrap/>
            <w:vAlign w:val="center"/>
            <w:hideMark/>
          </w:tcPr>
          <w:p w14:paraId="63192AF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792EA1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A2BB82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A442EF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4CABD8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0D5D14A"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4A486749"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41B19F00"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1391" w:type="dxa"/>
            <w:tcBorders>
              <w:top w:val="nil"/>
              <w:left w:val="nil"/>
              <w:bottom w:val="single" w:sz="4" w:space="0" w:color="auto"/>
              <w:right w:val="nil"/>
            </w:tcBorders>
            <w:noWrap/>
            <w:vAlign w:val="center"/>
            <w:hideMark/>
          </w:tcPr>
          <w:p w14:paraId="562DA588" w14:textId="77777777" w:rsidR="00F3536C" w:rsidRPr="00A4272B" w:rsidRDefault="00F3536C" w:rsidP="00A41632">
            <w:pPr>
              <w:rPr>
                <w:color w:val="000000"/>
                <w:sz w:val="14"/>
                <w:szCs w:val="14"/>
                <w:lang w:val="en-US"/>
              </w:rPr>
            </w:pPr>
            <w:r w:rsidRPr="00A4272B">
              <w:rPr>
                <w:color w:val="000000"/>
                <w:sz w:val="14"/>
                <w:szCs w:val="14"/>
                <w:lang w:val="en-US"/>
              </w:rPr>
              <w:t>Spain</w:t>
            </w:r>
          </w:p>
        </w:tc>
        <w:tc>
          <w:tcPr>
            <w:tcW w:w="2504" w:type="dxa"/>
            <w:tcBorders>
              <w:top w:val="nil"/>
              <w:left w:val="nil"/>
              <w:bottom w:val="single" w:sz="4" w:space="0" w:color="auto"/>
              <w:right w:val="nil"/>
            </w:tcBorders>
            <w:noWrap/>
            <w:vAlign w:val="center"/>
            <w:hideMark/>
          </w:tcPr>
          <w:p w14:paraId="303426C7" w14:textId="77777777" w:rsidR="00F3536C" w:rsidRPr="00A4272B" w:rsidRDefault="00F3536C" w:rsidP="00A41632">
            <w:pPr>
              <w:rPr>
                <w:color w:val="000000"/>
                <w:sz w:val="14"/>
                <w:szCs w:val="14"/>
                <w:lang w:val="en-US"/>
              </w:rPr>
            </w:pPr>
            <w:r w:rsidRPr="00A4272B">
              <w:rPr>
                <w:color w:val="000000"/>
                <w:sz w:val="14"/>
                <w:szCs w:val="14"/>
                <w:lang w:val="en-US"/>
              </w:rPr>
              <w:t xml:space="preserve">Zarra </w:t>
            </w:r>
          </w:p>
        </w:tc>
        <w:tc>
          <w:tcPr>
            <w:tcW w:w="998" w:type="dxa"/>
            <w:tcBorders>
              <w:top w:val="nil"/>
              <w:left w:val="nil"/>
              <w:bottom w:val="single" w:sz="4" w:space="0" w:color="auto"/>
              <w:right w:val="nil"/>
            </w:tcBorders>
            <w:noWrap/>
            <w:vAlign w:val="center"/>
            <w:hideMark/>
          </w:tcPr>
          <w:p w14:paraId="5BC067FF" w14:textId="77777777" w:rsidR="00F3536C" w:rsidRPr="00A4272B" w:rsidRDefault="00F3536C" w:rsidP="00A41632">
            <w:pPr>
              <w:jc w:val="center"/>
              <w:rPr>
                <w:color w:val="000000"/>
                <w:sz w:val="14"/>
                <w:szCs w:val="14"/>
                <w:lang w:val="en-US"/>
              </w:rPr>
            </w:pPr>
            <w:r w:rsidRPr="00A4272B">
              <w:rPr>
                <w:color w:val="000000"/>
                <w:sz w:val="14"/>
                <w:szCs w:val="14"/>
                <w:lang w:val="en-US"/>
              </w:rPr>
              <w:t>ES0012R</w:t>
            </w:r>
          </w:p>
        </w:tc>
        <w:tc>
          <w:tcPr>
            <w:tcW w:w="1342" w:type="dxa"/>
            <w:tcBorders>
              <w:top w:val="nil"/>
              <w:left w:val="nil"/>
              <w:bottom w:val="single" w:sz="4" w:space="0" w:color="auto"/>
              <w:right w:val="nil"/>
            </w:tcBorders>
            <w:noWrap/>
            <w:vAlign w:val="center"/>
            <w:hideMark/>
          </w:tcPr>
          <w:p w14:paraId="7F629B51"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tcBorders>
              <w:top w:val="nil"/>
              <w:left w:val="nil"/>
              <w:bottom w:val="single" w:sz="4" w:space="0" w:color="auto"/>
              <w:right w:val="nil"/>
            </w:tcBorders>
            <w:noWrap/>
            <w:vAlign w:val="center"/>
            <w:hideMark/>
          </w:tcPr>
          <w:p w14:paraId="04ED7208" w14:textId="77777777" w:rsidR="00F3536C" w:rsidRPr="00A4272B" w:rsidRDefault="00F3536C" w:rsidP="00A41632">
            <w:pPr>
              <w:jc w:val="right"/>
              <w:rPr>
                <w:color w:val="000000"/>
                <w:sz w:val="14"/>
                <w:szCs w:val="14"/>
                <w:lang w:val="en-US"/>
              </w:rPr>
            </w:pPr>
            <w:r w:rsidRPr="00A4272B">
              <w:rPr>
                <w:color w:val="000000"/>
                <w:sz w:val="14"/>
                <w:szCs w:val="14"/>
                <w:lang w:val="en-US"/>
              </w:rPr>
              <w:t>39.086111</w:t>
            </w:r>
          </w:p>
        </w:tc>
        <w:tc>
          <w:tcPr>
            <w:tcW w:w="998" w:type="dxa"/>
            <w:tcBorders>
              <w:top w:val="nil"/>
              <w:left w:val="nil"/>
              <w:bottom w:val="single" w:sz="4" w:space="0" w:color="auto"/>
              <w:right w:val="nil"/>
            </w:tcBorders>
            <w:noWrap/>
            <w:vAlign w:val="center"/>
            <w:hideMark/>
          </w:tcPr>
          <w:p w14:paraId="243C5D46" w14:textId="77777777" w:rsidR="00F3536C" w:rsidRPr="00A4272B" w:rsidRDefault="00F3536C" w:rsidP="00A41632">
            <w:pPr>
              <w:jc w:val="right"/>
              <w:rPr>
                <w:color w:val="000000"/>
                <w:sz w:val="14"/>
                <w:szCs w:val="14"/>
                <w:lang w:val="en-US"/>
              </w:rPr>
            </w:pPr>
            <w:r w:rsidRPr="00A4272B">
              <w:rPr>
                <w:color w:val="000000"/>
                <w:sz w:val="14"/>
                <w:szCs w:val="14"/>
                <w:lang w:val="en-US"/>
              </w:rPr>
              <w:t>-1.101944</w:t>
            </w:r>
          </w:p>
        </w:tc>
        <w:tc>
          <w:tcPr>
            <w:tcW w:w="859" w:type="dxa"/>
            <w:tcBorders>
              <w:top w:val="nil"/>
              <w:left w:val="nil"/>
              <w:bottom w:val="single" w:sz="4" w:space="0" w:color="auto"/>
              <w:right w:val="single" w:sz="8" w:space="0" w:color="auto"/>
            </w:tcBorders>
            <w:noWrap/>
            <w:vAlign w:val="center"/>
            <w:hideMark/>
          </w:tcPr>
          <w:p w14:paraId="3AD2FB08" w14:textId="77777777" w:rsidR="00F3536C" w:rsidRPr="00A4272B" w:rsidRDefault="00F3536C" w:rsidP="00A41632">
            <w:pPr>
              <w:jc w:val="center"/>
              <w:rPr>
                <w:color w:val="000000"/>
                <w:sz w:val="14"/>
                <w:szCs w:val="14"/>
                <w:lang w:val="en-US"/>
              </w:rPr>
            </w:pPr>
            <w:r w:rsidRPr="00A4272B">
              <w:rPr>
                <w:color w:val="000000"/>
                <w:sz w:val="14"/>
                <w:szCs w:val="14"/>
                <w:lang w:val="en-US"/>
              </w:rPr>
              <w:t>885</w:t>
            </w:r>
          </w:p>
        </w:tc>
        <w:tc>
          <w:tcPr>
            <w:tcW w:w="792" w:type="dxa"/>
            <w:tcBorders>
              <w:top w:val="nil"/>
              <w:left w:val="nil"/>
              <w:bottom w:val="single" w:sz="4" w:space="0" w:color="auto"/>
              <w:right w:val="nil"/>
            </w:tcBorders>
            <w:noWrap/>
            <w:vAlign w:val="center"/>
            <w:hideMark/>
          </w:tcPr>
          <w:p w14:paraId="4AF5290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nil"/>
              <w:left w:val="nil"/>
              <w:bottom w:val="single" w:sz="4" w:space="0" w:color="auto"/>
              <w:right w:val="nil"/>
            </w:tcBorders>
            <w:noWrap/>
            <w:vAlign w:val="center"/>
            <w:hideMark/>
          </w:tcPr>
          <w:p w14:paraId="3A33406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nil"/>
              <w:left w:val="nil"/>
              <w:bottom w:val="single" w:sz="4" w:space="0" w:color="auto"/>
              <w:right w:val="nil"/>
            </w:tcBorders>
            <w:noWrap/>
            <w:vAlign w:val="center"/>
            <w:hideMark/>
          </w:tcPr>
          <w:p w14:paraId="5B3A102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nil"/>
              <w:left w:val="nil"/>
              <w:bottom w:val="single" w:sz="4" w:space="0" w:color="auto"/>
              <w:right w:val="nil"/>
            </w:tcBorders>
            <w:noWrap/>
            <w:vAlign w:val="center"/>
            <w:hideMark/>
          </w:tcPr>
          <w:p w14:paraId="5D8B4BA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nil"/>
              <w:left w:val="nil"/>
              <w:bottom w:val="single" w:sz="4" w:space="0" w:color="auto"/>
              <w:right w:val="nil"/>
            </w:tcBorders>
            <w:noWrap/>
            <w:vAlign w:val="center"/>
            <w:hideMark/>
          </w:tcPr>
          <w:p w14:paraId="43E19C6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41393238"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1BAE5724" w14:textId="77777777" w:rsidTr="00F006B1">
        <w:trPr>
          <w:trHeight w:val="276"/>
          <w:jc w:val="center"/>
        </w:trPr>
        <w:tc>
          <w:tcPr>
            <w:tcW w:w="955" w:type="dxa"/>
            <w:tcBorders>
              <w:top w:val="single" w:sz="4" w:space="0" w:color="auto"/>
              <w:left w:val="single" w:sz="8" w:space="0" w:color="auto"/>
              <w:bottom w:val="single" w:sz="4" w:space="0" w:color="auto"/>
              <w:right w:val="nil"/>
            </w:tcBorders>
            <w:noWrap/>
            <w:vAlign w:val="center"/>
            <w:hideMark/>
          </w:tcPr>
          <w:p w14:paraId="56AF264C" w14:textId="77777777" w:rsidR="00F3536C" w:rsidRPr="00A4272B" w:rsidRDefault="00F3536C" w:rsidP="00A41632">
            <w:pPr>
              <w:rPr>
                <w:color w:val="000000"/>
                <w:sz w:val="14"/>
                <w:szCs w:val="14"/>
                <w:lang w:val="en-US"/>
              </w:rPr>
            </w:pPr>
            <w:r w:rsidRPr="00A4272B">
              <w:rPr>
                <w:color w:val="000000"/>
                <w:sz w:val="14"/>
                <w:szCs w:val="14"/>
                <w:lang w:val="en-US"/>
              </w:rPr>
              <w:t>TOMPS</w:t>
            </w:r>
          </w:p>
        </w:tc>
        <w:tc>
          <w:tcPr>
            <w:tcW w:w="1391" w:type="dxa"/>
            <w:tcBorders>
              <w:top w:val="single" w:sz="4" w:space="0" w:color="auto"/>
              <w:left w:val="nil"/>
              <w:bottom w:val="single" w:sz="4" w:space="0" w:color="auto"/>
              <w:right w:val="nil"/>
            </w:tcBorders>
            <w:noWrap/>
            <w:vAlign w:val="center"/>
            <w:hideMark/>
          </w:tcPr>
          <w:p w14:paraId="185D1617" w14:textId="77777777" w:rsidR="00F3536C" w:rsidRPr="00A4272B" w:rsidRDefault="00F3536C" w:rsidP="00A41632">
            <w:pPr>
              <w:rPr>
                <w:color w:val="000000"/>
                <w:sz w:val="14"/>
                <w:szCs w:val="14"/>
                <w:lang w:val="en-US"/>
              </w:rPr>
            </w:pPr>
            <w:r w:rsidRPr="00A4272B">
              <w:rPr>
                <w:color w:val="000000"/>
                <w:sz w:val="14"/>
                <w:szCs w:val="14"/>
                <w:lang w:val="en-US"/>
              </w:rPr>
              <w:t>United Kingdom</w:t>
            </w:r>
          </w:p>
        </w:tc>
        <w:tc>
          <w:tcPr>
            <w:tcW w:w="2504" w:type="dxa"/>
            <w:tcBorders>
              <w:top w:val="single" w:sz="4" w:space="0" w:color="auto"/>
              <w:left w:val="nil"/>
              <w:bottom w:val="single" w:sz="4" w:space="0" w:color="auto"/>
              <w:right w:val="nil"/>
            </w:tcBorders>
            <w:noWrap/>
            <w:vAlign w:val="center"/>
            <w:hideMark/>
          </w:tcPr>
          <w:p w14:paraId="46253A16" w14:textId="77777777" w:rsidR="00F3536C" w:rsidRPr="00A4272B" w:rsidRDefault="00F3536C" w:rsidP="00A41632">
            <w:pPr>
              <w:rPr>
                <w:color w:val="000000"/>
                <w:sz w:val="14"/>
                <w:szCs w:val="14"/>
                <w:lang w:val="en-US"/>
              </w:rPr>
            </w:pPr>
            <w:r w:rsidRPr="00A4272B">
              <w:rPr>
                <w:color w:val="000000"/>
                <w:sz w:val="14"/>
                <w:szCs w:val="14"/>
                <w:lang w:val="en-US"/>
              </w:rPr>
              <w:t>Auchencorth Moss</w:t>
            </w:r>
          </w:p>
        </w:tc>
        <w:tc>
          <w:tcPr>
            <w:tcW w:w="998" w:type="dxa"/>
            <w:tcBorders>
              <w:top w:val="single" w:sz="4" w:space="0" w:color="auto"/>
              <w:left w:val="nil"/>
              <w:bottom w:val="single" w:sz="4" w:space="0" w:color="auto"/>
              <w:right w:val="nil"/>
            </w:tcBorders>
            <w:noWrap/>
            <w:vAlign w:val="center"/>
            <w:hideMark/>
          </w:tcPr>
          <w:p w14:paraId="1D322DA5" w14:textId="77777777" w:rsidR="00F3536C" w:rsidRPr="00A4272B" w:rsidRDefault="00F3536C" w:rsidP="00A41632">
            <w:pPr>
              <w:jc w:val="center"/>
              <w:rPr>
                <w:color w:val="000000"/>
                <w:sz w:val="14"/>
                <w:szCs w:val="14"/>
                <w:lang w:val="en-US"/>
              </w:rPr>
            </w:pPr>
            <w:r w:rsidRPr="00A4272B">
              <w:rPr>
                <w:color w:val="000000"/>
                <w:sz w:val="14"/>
                <w:szCs w:val="14"/>
                <w:lang w:val="en-US"/>
              </w:rPr>
              <w:t>AC</w:t>
            </w:r>
          </w:p>
        </w:tc>
        <w:tc>
          <w:tcPr>
            <w:tcW w:w="1342" w:type="dxa"/>
            <w:tcBorders>
              <w:top w:val="single" w:sz="4" w:space="0" w:color="auto"/>
              <w:left w:val="nil"/>
              <w:bottom w:val="single" w:sz="4" w:space="0" w:color="auto"/>
              <w:right w:val="nil"/>
            </w:tcBorders>
            <w:noWrap/>
            <w:vAlign w:val="center"/>
            <w:hideMark/>
          </w:tcPr>
          <w:p w14:paraId="290DC9A4"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top w:val="single" w:sz="4" w:space="0" w:color="auto"/>
              <w:left w:val="nil"/>
              <w:bottom w:val="single" w:sz="4" w:space="0" w:color="auto"/>
              <w:right w:val="nil"/>
            </w:tcBorders>
            <w:noWrap/>
            <w:vAlign w:val="center"/>
            <w:hideMark/>
          </w:tcPr>
          <w:p w14:paraId="10FD62FC" w14:textId="77777777" w:rsidR="00F3536C" w:rsidRPr="00A4272B" w:rsidRDefault="00F3536C" w:rsidP="00A41632">
            <w:pPr>
              <w:jc w:val="right"/>
              <w:rPr>
                <w:color w:val="000000"/>
                <w:sz w:val="14"/>
                <w:szCs w:val="14"/>
                <w:lang w:val="en-US"/>
              </w:rPr>
            </w:pPr>
            <w:r w:rsidRPr="00A4272B">
              <w:rPr>
                <w:color w:val="000000"/>
                <w:sz w:val="14"/>
                <w:szCs w:val="14"/>
                <w:lang w:val="en-US"/>
              </w:rPr>
              <w:t>55.793330</w:t>
            </w:r>
          </w:p>
        </w:tc>
        <w:tc>
          <w:tcPr>
            <w:tcW w:w="998" w:type="dxa"/>
            <w:tcBorders>
              <w:top w:val="single" w:sz="4" w:space="0" w:color="auto"/>
              <w:left w:val="nil"/>
              <w:bottom w:val="single" w:sz="4" w:space="0" w:color="auto"/>
              <w:right w:val="nil"/>
            </w:tcBorders>
            <w:noWrap/>
            <w:vAlign w:val="center"/>
            <w:hideMark/>
          </w:tcPr>
          <w:p w14:paraId="63CB1F2F" w14:textId="77777777" w:rsidR="00F3536C" w:rsidRPr="00A4272B" w:rsidRDefault="00F3536C" w:rsidP="00A41632">
            <w:pPr>
              <w:jc w:val="right"/>
              <w:rPr>
                <w:color w:val="000000"/>
                <w:sz w:val="14"/>
                <w:szCs w:val="14"/>
                <w:lang w:val="en-US"/>
              </w:rPr>
            </w:pPr>
            <w:r w:rsidRPr="00A4272B">
              <w:rPr>
                <w:color w:val="000000"/>
                <w:sz w:val="14"/>
                <w:szCs w:val="14"/>
                <w:lang w:val="en-US"/>
              </w:rPr>
              <w:t>-3.244722</w:t>
            </w:r>
          </w:p>
        </w:tc>
        <w:tc>
          <w:tcPr>
            <w:tcW w:w="859" w:type="dxa"/>
            <w:tcBorders>
              <w:top w:val="single" w:sz="4" w:space="0" w:color="auto"/>
              <w:left w:val="nil"/>
              <w:bottom w:val="single" w:sz="4" w:space="0" w:color="auto"/>
              <w:right w:val="single" w:sz="8" w:space="0" w:color="auto"/>
            </w:tcBorders>
            <w:noWrap/>
            <w:vAlign w:val="center"/>
            <w:hideMark/>
          </w:tcPr>
          <w:p w14:paraId="02782C6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left w:val="nil"/>
              <w:bottom w:val="single" w:sz="4" w:space="0" w:color="auto"/>
              <w:right w:val="nil"/>
            </w:tcBorders>
            <w:noWrap/>
            <w:vAlign w:val="center"/>
            <w:hideMark/>
          </w:tcPr>
          <w:p w14:paraId="574C85EB"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single" w:sz="4" w:space="0" w:color="auto"/>
              <w:left w:val="nil"/>
              <w:bottom w:val="single" w:sz="4" w:space="0" w:color="auto"/>
              <w:right w:val="nil"/>
            </w:tcBorders>
            <w:noWrap/>
            <w:vAlign w:val="center"/>
            <w:hideMark/>
          </w:tcPr>
          <w:p w14:paraId="2DBA770B"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left w:val="nil"/>
              <w:bottom w:val="single" w:sz="4" w:space="0" w:color="auto"/>
              <w:right w:val="nil"/>
            </w:tcBorders>
            <w:noWrap/>
            <w:vAlign w:val="center"/>
            <w:hideMark/>
          </w:tcPr>
          <w:p w14:paraId="6575B656" w14:textId="77777777" w:rsidR="00F3536C" w:rsidRPr="00A4272B" w:rsidRDefault="00F3536C" w:rsidP="00A41632">
            <w:pPr>
              <w:jc w:val="center"/>
              <w:rPr>
                <w:color w:val="000000"/>
                <w:sz w:val="14"/>
                <w:szCs w:val="14"/>
                <w:lang w:val="en-US"/>
              </w:rPr>
            </w:pPr>
            <w:r w:rsidRPr="00A4272B">
              <w:rPr>
                <w:color w:val="000000"/>
                <w:sz w:val="14"/>
                <w:szCs w:val="14"/>
                <w:lang w:val="en-US"/>
              </w:rPr>
              <w:t>~50 m³/d</w:t>
            </w:r>
          </w:p>
        </w:tc>
        <w:tc>
          <w:tcPr>
            <w:tcW w:w="831" w:type="dxa"/>
            <w:tcBorders>
              <w:top w:val="single" w:sz="4" w:space="0" w:color="auto"/>
              <w:left w:val="nil"/>
              <w:bottom w:val="single" w:sz="4" w:space="0" w:color="auto"/>
              <w:right w:val="nil"/>
            </w:tcBorders>
            <w:noWrap/>
            <w:vAlign w:val="center"/>
            <w:hideMark/>
          </w:tcPr>
          <w:p w14:paraId="6FE0FD2C"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924" w:type="dxa"/>
            <w:tcBorders>
              <w:top w:val="single" w:sz="4" w:space="0" w:color="auto"/>
              <w:left w:val="nil"/>
              <w:bottom w:val="single" w:sz="4" w:space="0" w:color="auto"/>
              <w:right w:val="nil"/>
            </w:tcBorders>
            <w:noWrap/>
            <w:vAlign w:val="center"/>
            <w:hideMark/>
          </w:tcPr>
          <w:p w14:paraId="255D6B76"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612" w:type="dxa"/>
            <w:tcBorders>
              <w:top w:val="single" w:sz="4" w:space="0" w:color="auto"/>
              <w:left w:val="nil"/>
              <w:bottom w:val="single" w:sz="4" w:space="0" w:color="auto"/>
              <w:right w:val="single" w:sz="8" w:space="0" w:color="auto"/>
            </w:tcBorders>
            <w:noWrap/>
            <w:vAlign w:val="center"/>
            <w:hideMark/>
          </w:tcPr>
          <w:p w14:paraId="0BF045B1"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385AD23C"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0A51D0A1" w14:textId="77777777" w:rsidR="00F3536C" w:rsidRPr="00A4272B" w:rsidRDefault="00F3536C" w:rsidP="00A41632">
            <w:pPr>
              <w:rPr>
                <w:color w:val="000000"/>
                <w:sz w:val="14"/>
                <w:szCs w:val="14"/>
                <w:lang w:val="en-US"/>
              </w:rPr>
            </w:pPr>
            <w:r w:rsidRPr="00A4272B">
              <w:rPr>
                <w:color w:val="000000"/>
                <w:sz w:val="14"/>
                <w:szCs w:val="14"/>
                <w:lang w:val="en-US"/>
              </w:rPr>
              <w:t>TOMPS</w:t>
            </w:r>
          </w:p>
        </w:tc>
        <w:tc>
          <w:tcPr>
            <w:tcW w:w="1391" w:type="dxa"/>
            <w:tcBorders>
              <w:top w:val="single" w:sz="4" w:space="0" w:color="auto"/>
            </w:tcBorders>
            <w:noWrap/>
            <w:vAlign w:val="center"/>
            <w:hideMark/>
          </w:tcPr>
          <w:p w14:paraId="7FBD6E13" w14:textId="77777777" w:rsidR="00F3536C" w:rsidRPr="00A4272B" w:rsidRDefault="00F3536C" w:rsidP="00A41632">
            <w:pPr>
              <w:rPr>
                <w:color w:val="000000"/>
                <w:sz w:val="14"/>
                <w:szCs w:val="14"/>
                <w:lang w:val="en-US"/>
              </w:rPr>
            </w:pPr>
            <w:r w:rsidRPr="00A4272B">
              <w:rPr>
                <w:color w:val="000000"/>
                <w:sz w:val="14"/>
                <w:szCs w:val="14"/>
                <w:lang w:val="en-US"/>
              </w:rPr>
              <w:t>United Kingdom</w:t>
            </w:r>
          </w:p>
        </w:tc>
        <w:tc>
          <w:tcPr>
            <w:tcW w:w="2504" w:type="dxa"/>
            <w:tcBorders>
              <w:top w:val="single" w:sz="4" w:space="0" w:color="auto"/>
            </w:tcBorders>
            <w:noWrap/>
            <w:vAlign w:val="center"/>
            <w:hideMark/>
          </w:tcPr>
          <w:p w14:paraId="2134DAF2" w14:textId="77777777" w:rsidR="00F3536C" w:rsidRPr="00A4272B" w:rsidRDefault="00F3536C" w:rsidP="00A41632">
            <w:pPr>
              <w:rPr>
                <w:color w:val="000000"/>
                <w:sz w:val="14"/>
                <w:szCs w:val="14"/>
                <w:lang w:val="en-US"/>
              </w:rPr>
            </w:pPr>
            <w:r w:rsidRPr="00A4272B">
              <w:rPr>
                <w:color w:val="000000"/>
                <w:sz w:val="14"/>
                <w:szCs w:val="14"/>
                <w:lang w:val="en-US"/>
              </w:rPr>
              <w:t>Hazelrigg</w:t>
            </w:r>
          </w:p>
        </w:tc>
        <w:tc>
          <w:tcPr>
            <w:tcW w:w="998" w:type="dxa"/>
            <w:tcBorders>
              <w:top w:val="single" w:sz="4" w:space="0" w:color="auto"/>
            </w:tcBorders>
            <w:noWrap/>
            <w:vAlign w:val="center"/>
            <w:hideMark/>
          </w:tcPr>
          <w:p w14:paraId="03C03C20" w14:textId="77777777" w:rsidR="00F3536C" w:rsidRPr="00A4272B" w:rsidRDefault="00F3536C" w:rsidP="00A41632">
            <w:pPr>
              <w:jc w:val="center"/>
              <w:rPr>
                <w:color w:val="000000"/>
                <w:sz w:val="14"/>
                <w:szCs w:val="14"/>
                <w:lang w:val="en-US"/>
              </w:rPr>
            </w:pPr>
            <w:r w:rsidRPr="00A4272B">
              <w:rPr>
                <w:color w:val="000000"/>
                <w:sz w:val="14"/>
                <w:szCs w:val="14"/>
                <w:lang w:val="en-US"/>
              </w:rPr>
              <w:t>HR</w:t>
            </w:r>
          </w:p>
        </w:tc>
        <w:tc>
          <w:tcPr>
            <w:tcW w:w="1342" w:type="dxa"/>
            <w:tcBorders>
              <w:top w:val="single" w:sz="4" w:space="0" w:color="auto"/>
            </w:tcBorders>
            <w:noWrap/>
            <w:vAlign w:val="center"/>
            <w:hideMark/>
          </w:tcPr>
          <w:p w14:paraId="00CF52AC"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top w:val="single" w:sz="4" w:space="0" w:color="auto"/>
            </w:tcBorders>
            <w:noWrap/>
            <w:vAlign w:val="center"/>
            <w:hideMark/>
          </w:tcPr>
          <w:p w14:paraId="2CA3490F" w14:textId="77777777" w:rsidR="00F3536C" w:rsidRPr="00A4272B" w:rsidRDefault="00F3536C" w:rsidP="00A41632">
            <w:pPr>
              <w:jc w:val="right"/>
              <w:rPr>
                <w:color w:val="000000"/>
                <w:sz w:val="14"/>
                <w:szCs w:val="14"/>
                <w:lang w:val="en-US"/>
              </w:rPr>
            </w:pPr>
            <w:r w:rsidRPr="00A4272B">
              <w:rPr>
                <w:color w:val="000000"/>
                <w:sz w:val="14"/>
                <w:szCs w:val="14"/>
                <w:lang w:val="en-US"/>
              </w:rPr>
              <w:t>54.013610</w:t>
            </w:r>
          </w:p>
        </w:tc>
        <w:tc>
          <w:tcPr>
            <w:tcW w:w="998" w:type="dxa"/>
            <w:tcBorders>
              <w:top w:val="single" w:sz="4" w:space="0" w:color="auto"/>
            </w:tcBorders>
            <w:noWrap/>
            <w:vAlign w:val="center"/>
            <w:hideMark/>
          </w:tcPr>
          <w:p w14:paraId="0F367D40" w14:textId="77777777" w:rsidR="00F3536C" w:rsidRPr="00A4272B" w:rsidRDefault="00F3536C" w:rsidP="00A41632">
            <w:pPr>
              <w:jc w:val="right"/>
              <w:rPr>
                <w:color w:val="000000"/>
                <w:sz w:val="14"/>
                <w:szCs w:val="14"/>
                <w:lang w:val="en-US"/>
              </w:rPr>
            </w:pPr>
            <w:r w:rsidRPr="00A4272B">
              <w:rPr>
                <w:color w:val="000000"/>
                <w:sz w:val="14"/>
                <w:szCs w:val="14"/>
                <w:lang w:val="en-US"/>
              </w:rPr>
              <w:t>-2.773617</w:t>
            </w:r>
          </w:p>
        </w:tc>
        <w:tc>
          <w:tcPr>
            <w:tcW w:w="859" w:type="dxa"/>
            <w:tcBorders>
              <w:top w:val="single" w:sz="4" w:space="0" w:color="auto"/>
              <w:left w:val="nil"/>
              <w:bottom w:val="nil"/>
              <w:right w:val="single" w:sz="8" w:space="0" w:color="auto"/>
            </w:tcBorders>
            <w:noWrap/>
            <w:vAlign w:val="center"/>
            <w:hideMark/>
          </w:tcPr>
          <w:p w14:paraId="386FB31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tcBorders>
            <w:noWrap/>
            <w:vAlign w:val="center"/>
            <w:hideMark/>
          </w:tcPr>
          <w:p w14:paraId="30364958"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tcBorders>
              <w:top w:val="single" w:sz="4" w:space="0" w:color="auto"/>
            </w:tcBorders>
            <w:noWrap/>
            <w:vAlign w:val="center"/>
            <w:hideMark/>
          </w:tcPr>
          <w:p w14:paraId="2DA877C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single" w:sz="4" w:space="0" w:color="auto"/>
            </w:tcBorders>
            <w:noWrap/>
            <w:vAlign w:val="center"/>
            <w:hideMark/>
          </w:tcPr>
          <w:p w14:paraId="3308F493" w14:textId="77777777" w:rsidR="00F3536C" w:rsidRPr="00A4272B" w:rsidRDefault="00F3536C" w:rsidP="00A41632">
            <w:pPr>
              <w:jc w:val="center"/>
              <w:rPr>
                <w:color w:val="000000"/>
                <w:sz w:val="14"/>
                <w:szCs w:val="14"/>
                <w:lang w:val="en-US"/>
              </w:rPr>
            </w:pPr>
            <w:r w:rsidRPr="00A4272B">
              <w:rPr>
                <w:color w:val="000000"/>
                <w:sz w:val="14"/>
                <w:szCs w:val="14"/>
                <w:lang w:val="en-US"/>
              </w:rPr>
              <w:t>~50 m³/d</w:t>
            </w:r>
          </w:p>
        </w:tc>
        <w:tc>
          <w:tcPr>
            <w:tcW w:w="831" w:type="dxa"/>
            <w:tcBorders>
              <w:top w:val="single" w:sz="4" w:space="0" w:color="auto"/>
            </w:tcBorders>
            <w:noWrap/>
            <w:vAlign w:val="center"/>
            <w:hideMark/>
          </w:tcPr>
          <w:p w14:paraId="799B83F7"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924" w:type="dxa"/>
            <w:tcBorders>
              <w:top w:val="single" w:sz="4" w:space="0" w:color="auto"/>
            </w:tcBorders>
            <w:noWrap/>
            <w:vAlign w:val="center"/>
            <w:hideMark/>
          </w:tcPr>
          <w:p w14:paraId="5E228F64"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612" w:type="dxa"/>
            <w:tcBorders>
              <w:top w:val="single" w:sz="4" w:space="0" w:color="auto"/>
              <w:left w:val="nil"/>
              <w:bottom w:val="nil"/>
              <w:right w:val="single" w:sz="8" w:space="0" w:color="auto"/>
            </w:tcBorders>
            <w:noWrap/>
            <w:vAlign w:val="center"/>
            <w:hideMark/>
          </w:tcPr>
          <w:p w14:paraId="6EE3E87C"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7BE434E7" w14:textId="77777777" w:rsidTr="00A41632">
        <w:trPr>
          <w:trHeight w:val="276"/>
          <w:jc w:val="center"/>
        </w:trPr>
        <w:tc>
          <w:tcPr>
            <w:tcW w:w="955" w:type="dxa"/>
            <w:tcBorders>
              <w:top w:val="nil"/>
              <w:left w:val="single" w:sz="8" w:space="0" w:color="auto"/>
              <w:bottom w:val="nil"/>
              <w:right w:val="nil"/>
            </w:tcBorders>
            <w:noWrap/>
            <w:vAlign w:val="center"/>
            <w:hideMark/>
          </w:tcPr>
          <w:p w14:paraId="0F4024F0" w14:textId="77777777" w:rsidR="00F3536C" w:rsidRPr="00A4272B" w:rsidRDefault="00F3536C" w:rsidP="00A41632">
            <w:pPr>
              <w:rPr>
                <w:color w:val="000000"/>
                <w:sz w:val="14"/>
                <w:szCs w:val="14"/>
                <w:lang w:val="en-US"/>
              </w:rPr>
            </w:pPr>
            <w:r w:rsidRPr="00A4272B">
              <w:rPr>
                <w:color w:val="000000"/>
                <w:sz w:val="14"/>
                <w:szCs w:val="14"/>
                <w:lang w:val="en-US"/>
              </w:rPr>
              <w:t>TOMPS</w:t>
            </w:r>
          </w:p>
        </w:tc>
        <w:tc>
          <w:tcPr>
            <w:tcW w:w="1391" w:type="dxa"/>
            <w:noWrap/>
            <w:vAlign w:val="center"/>
            <w:hideMark/>
          </w:tcPr>
          <w:p w14:paraId="2AD5B633" w14:textId="77777777" w:rsidR="00F3536C" w:rsidRPr="00A4272B" w:rsidRDefault="00F3536C" w:rsidP="00A41632">
            <w:pPr>
              <w:rPr>
                <w:color w:val="000000"/>
                <w:sz w:val="14"/>
                <w:szCs w:val="14"/>
                <w:lang w:val="en-US"/>
              </w:rPr>
            </w:pPr>
            <w:r w:rsidRPr="00A4272B">
              <w:rPr>
                <w:color w:val="000000"/>
                <w:sz w:val="14"/>
                <w:szCs w:val="14"/>
                <w:lang w:val="en-US"/>
              </w:rPr>
              <w:t>United Kingdom</w:t>
            </w:r>
          </w:p>
        </w:tc>
        <w:tc>
          <w:tcPr>
            <w:tcW w:w="2504" w:type="dxa"/>
            <w:noWrap/>
            <w:vAlign w:val="center"/>
            <w:hideMark/>
          </w:tcPr>
          <w:p w14:paraId="63BB800B" w14:textId="77777777" w:rsidR="00F3536C" w:rsidRPr="00A4272B" w:rsidRDefault="00F3536C" w:rsidP="00A41632">
            <w:pPr>
              <w:rPr>
                <w:color w:val="000000"/>
                <w:sz w:val="14"/>
                <w:szCs w:val="14"/>
                <w:lang w:val="en-US"/>
              </w:rPr>
            </w:pPr>
            <w:r w:rsidRPr="00A4272B">
              <w:rPr>
                <w:color w:val="000000"/>
                <w:sz w:val="14"/>
                <w:szCs w:val="14"/>
                <w:lang w:val="en-US"/>
              </w:rPr>
              <w:t>High Muffles</w:t>
            </w:r>
          </w:p>
        </w:tc>
        <w:tc>
          <w:tcPr>
            <w:tcW w:w="998" w:type="dxa"/>
            <w:noWrap/>
            <w:vAlign w:val="center"/>
            <w:hideMark/>
          </w:tcPr>
          <w:p w14:paraId="2B2C04B5" w14:textId="77777777" w:rsidR="00F3536C" w:rsidRPr="00A4272B" w:rsidRDefault="00F3536C" w:rsidP="00A41632">
            <w:pPr>
              <w:jc w:val="center"/>
              <w:rPr>
                <w:color w:val="000000"/>
                <w:sz w:val="14"/>
                <w:szCs w:val="14"/>
                <w:lang w:val="en-US"/>
              </w:rPr>
            </w:pPr>
            <w:r w:rsidRPr="00A4272B">
              <w:rPr>
                <w:color w:val="000000"/>
                <w:sz w:val="14"/>
                <w:szCs w:val="14"/>
                <w:lang w:val="en-US"/>
              </w:rPr>
              <w:t>HM</w:t>
            </w:r>
          </w:p>
        </w:tc>
        <w:tc>
          <w:tcPr>
            <w:tcW w:w="1342" w:type="dxa"/>
            <w:noWrap/>
            <w:vAlign w:val="center"/>
            <w:hideMark/>
          </w:tcPr>
          <w:p w14:paraId="52BD5E02"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45CC4CCA" w14:textId="77777777" w:rsidR="00F3536C" w:rsidRPr="00A4272B" w:rsidRDefault="00F3536C" w:rsidP="00A41632">
            <w:pPr>
              <w:jc w:val="right"/>
              <w:rPr>
                <w:color w:val="000000"/>
                <w:sz w:val="14"/>
                <w:szCs w:val="14"/>
                <w:lang w:val="en-US"/>
              </w:rPr>
            </w:pPr>
            <w:r w:rsidRPr="00A4272B">
              <w:rPr>
                <w:color w:val="000000"/>
                <w:sz w:val="14"/>
                <w:szCs w:val="14"/>
                <w:lang w:val="en-US"/>
              </w:rPr>
              <w:t>54.334940</w:t>
            </w:r>
          </w:p>
        </w:tc>
        <w:tc>
          <w:tcPr>
            <w:tcW w:w="998" w:type="dxa"/>
            <w:noWrap/>
            <w:vAlign w:val="center"/>
            <w:hideMark/>
          </w:tcPr>
          <w:p w14:paraId="49AAC7F6" w14:textId="77777777" w:rsidR="00F3536C" w:rsidRPr="00A4272B" w:rsidRDefault="00F3536C" w:rsidP="00A41632">
            <w:pPr>
              <w:jc w:val="right"/>
              <w:rPr>
                <w:color w:val="000000"/>
                <w:sz w:val="14"/>
                <w:szCs w:val="14"/>
                <w:lang w:val="en-US"/>
              </w:rPr>
            </w:pPr>
            <w:r w:rsidRPr="00A4272B">
              <w:rPr>
                <w:color w:val="000000"/>
                <w:sz w:val="14"/>
                <w:szCs w:val="14"/>
                <w:lang w:val="en-US"/>
              </w:rPr>
              <w:t>-0.808550</w:t>
            </w:r>
          </w:p>
        </w:tc>
        <w:tc>
          <w:tcPr>
            <w:tcW w:w="859" w:type="dxa"/>
            <w:tcBorders>
              <w:top w:val="nil"/>
              <w:left w:val="nil"/>
              <w:bottom w:val="nil"/>
              <w:right w:val="single" w:sz="8" w:space="0" w:color="auto"/>
            </w:tcBorders>
            <w:noWrap/>
            <w:vAlign w:val="center"/>
            <w:hideMark/>
          </w:tcPr>
          <w:p w14:paraId="37C5F56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063F30A"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556FAE2F"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87A1BF7" w14:textId="77777777" w:rsidR="00F3536C" w:rsidRPr="00A4272B" w:rsidRDefault="00F3536C" w:rsidP="00A41632">
            <w:pPr>
              <w:jc w:val="center"/>
              <w:rPr>
                <w:color w:val="000000"/>
                <w:sz w:val="14"/>
                <w:szCs w:val="14"/>
                <w:lang w:val="en-US"/>
              </w:rPr>
            </w:pPr>
            <w:r w:rsidRPr="00A4272B">
              <w:rPr>
                <w:color w:val="000000"/>
                <w:sz w:val="14"/>
                <w:szCs w:val="14"/>
                <w:lang w:val="en-US"/>
              </w:rPr>
              <w:t>~50 m³/d</w:t>
            </w:r>
          </w:p>
        </w:tc>
        <w:tc>
          <w:tcPr>
            <w:tcW w:w="831" w:type="dxa"/>
            <w:noWrap/>
            <w:vAlign w:val="center"/>
            <w:hideMark/>
          </w:tcPr>
          <w:p w14:paraId="3F8F92DF"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924" w:type="dxa"/>
            <w:noWrap/>
            <w:vAlign w:val="center"/>
            <w:hideMark/>
          </w:tcPr>
          <w:p w14:paraId="02023B13"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612" w:type="dxa"/>
            <w:tcBorders>
              <w:top w:val="nil"/>
              <w:left w:val="nil"/>
              <w:bottom w:val="nil"/>
              <w:right w:val="single" w:sz="8" w:space="0" w:color="auto"/>
            </w:tcBorders>
            <w:noWrap/>
            <w:vAlign w:val="center"/>
            <w:hideMark/>
          </w:tcPr>
          <w:p w14:paraId="2AA0F503"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0ABEF99B" w14:textId="77777777" w:rsidTr="00A41632">
        <w:trPr>
          <w:trHeight w:val="276"/>
          <w:jc w:val="center"/>
        </w:trPr>
        <w:tc>
          <w:tcPr>
            <w:tcW w:w="955" w:type="dxa"/>
            <w:tcBorders>
              <w:top w:val="nil"/>
              <w:left w:val="single" w:sz="8" w:space="0" w:color="auto"/>
              <w:bottom w:val="nil"/>
              <w:right w:val="nil"/>
            </w:tcBorders>
            <w:noWrap/>
            <w:vAlign w:val="center"/>
            <w:hideMark/>
          </w:tcPr>
          <w:p w14:paraId="7CCE7754" w14:textId="77777777" w:rsidR="00F3536C" w:rsidRPr="00A4272B" w:rsidRDefault="00F3536C" w:rsidP="00A41632">
            <w:pPr>
              <w:rPr>
                <w:color w:val="000000"/>
                <w:sz w:val="14"/>
                <w:szCs w:val="14"/>
                <w:lang w:val="en-US"/>
              </w:rPr>
            </w:pPr>
            <w:r w:rsidRPr="00A4272B">
              <w:rPr>
                <w:color w:val="000000"/>
                <w:sz w:val="14"/>
                <w:szCs w:val="14"/>
                <w:lang w:val="en-US"/>
              </w:rPr>
              <w:t>TOMPS</w:t>
            </w:r>
          </w:p>
        </w:tc>
        <w:tc>
          <w:tcPr>
            <w:tcW w:w="1391" w:type="dxa"/>
            <w:noWrap/>
            <w:vAlign w:val="center"/>
            <w:hideMark/>
          </w:tcPr>
          <w:p w14:paraId="17C4C3A2" w14:textId="77777777" w:rsidR="00F3536C" w:rsidRPr="00A4272B" w:rsidRDefault="00F3536C" w:rsidP="00A41632">
            <w:pPr>
              <w:rPr>
                <w:color w:val="000000"/>
                <w:sz w:val="14"/>
                <w:szCs w:val="14"/>
                <w:lang w:val="en-US"/>
              </w:rPr>
            </w:pPr>
            <w:r w:rsidRPr="00A4272B">
              <w:rPr>
                <w:color w:val="000000"/>
                <w:sz w:val="14"/>
                <w:szCs w:val="14"/>
                <w:lang w:val="en-US"/>
              </w:rPr>
              <w:t>United Kingdom</w:t>
            </w:r>
          </w:p>
        </w:tc>
        <w:tc>
          <w:tcPr>
            <w:tcW w:w="2504" w:type="dxa"/>
            <w:noWrap/>
            <w:vAlign w:val="center"/>
            <w:hideMark/>
          </w:tcPr>
          <w:p w14:paraId="7291E9E7" w14:textId="77777777" w:rsidR="00F3536C" w:rsidRPr="00A4272B" w:rsidRDefault="00F3536C" w:rsidP="00A41632">
            <w:pPr>
              <w:rPr>
                <w:color w:val="000000"/>
                <w:sz w:val="14"/>
                <w:szCs w:val="14"/>
                <w:lang w:val="en-US"/>
              </w:rPr>
            </w:pPr>
            <w:r w:rsidRPr="00A4272B">
              <w:rPr>
                <w:color w:val="000000"/>
                <w:sz w:val="14"/>
                <w:szCs w:val="14"/>
                <w:lang w:val="en-US"/>
              </w:rPr>
              <w:t>London</w:t>
            </w:r>
          </w:p>
        </w:tc>
        <w:tc>
          <w:tcPr>
            <w:tcW w:w="998" w:type="dxa"/>
            <w:noWrap/>
            <w:vAlign w:val="center"/>
            <w:hideMark/>
          </w:tcPr>
          <w:p w14:paraId="62C72AC4" w14:textId="77777777" w:rsidR="00F3536C" w:rsidRPr="00A4272B" w:rsidRDefault="00F3536C" w:rsidP="00A41632">
            <w:pPr>
              <w:jc w:val="center"/>
              <w:rPr>
                <w:color w:val="000000"/>
                <w:sz w:val="14"/>
                <w:szCs w:val="14"/>
                <w:lang w:val="en-US"/>
              </w:rPr>
            </w:pPr>
            <w:r w:rsidRPr="00A4272B">
              <w:rPr>
                <w:color w:val="000000"/>
                <w:sz w:val="14"/>
                <w:szCs w:val="14"/>
                <w:lang w:val="en-US"/>
              </w:rPr>
              <w:t>LON</w:t>
            </w:r>
          </w:p>
        </w:tc>
        <w:tc>
          <w:tcPr>
            <w:tcW w:w="1342" w:type="dxa"/>
            <w:noWrap/>
            <w:vAlign w:val="center"/>
            <w:hideMark/>
          </w:tcPr>
          <w:p w14:paraId="0DC0981E"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3098747E" w14:textId="77777777" w:rsidR="00F3536C" w:rsidRPr="00A4272B" w:rsidRDefault="00F3536C" w:rsidP="00A41632">
            <w:pPr>
              <w:jc w:val="right"/>
              <w:rPr>
                <w:color w:val="000000"/>
                <w:sz w:val="14"/>
                <w:szCs w:val="14"/>
                <w:lang w:val="en-US"/>
              </w:rPr>
            </w:pPr>
            <w:r w:rsidRPr="00A4272B">
              <w:rPr>
                <w:color w:val="000000"/>
                <w:sz w:val="14"/>
                <w:szCs w:val="14"/>
                <w:lang w:val="en-US"/>
              </w:rPr>
              <w:t>51.495530</w:t>
            </w:r>
          </w:p>
        </w:tc>
        <w:tc>
          <w:tcPr>
            <w:tcW w:w="998" w:type="dxa"/>
            <w:noWrap/>
            <w:vAlign w:val="center"/>
            <w:hideMark/>
          </w:tcPr>
          <w:p w14:paraId="63B9C516" w14:textId="77777777" w:rsidR="00F3536C" w:rsidRPr="00A4272B" w:rsidRDefault="00F3536C" w:rsidP="00A41632">
            <w:pPr>
              <w:jc w:val="right"/>
              <w:rPr>
                <w:color w:val="000000"/>
                <w:sz w:val="14"/>
                <w:szCs w:val="14"/>
                <w:lang w:val="en-US"/>
              </w:rPr>
            </w:pPr>
            <w:r w:rsidRPr="00A4272B">
              <w:rPr>
                <w:color w:val="000000"/>
                <w:sz w:val="14"/>
                <w:szCs w:val="14"/>
                <w:lang w:val="en-US"/>
              </w:rPr>
              <w:t>-0.126414</w:t>
            </w:r>
          </w:p>
        </w:tc>
        <w:tc>
          <w:tcPr>
            <w:tcW w:w="859" w:type="dxa"/>
            <w:tcBorders>
              <w:top w:val="nil"/>
              <w:left w:val="nil"/>
              <w:bottom w:val="nil"/>
              <w:right w:val="single" w:sz="8" w:space="0" w:color="auto"/>
            </w:tcBorders>
            <w:noWrap/>
            <w:vAlign w:val="center"/>
            <w:hideMark/>
          </w:tcPr>
          <w:p w14:paraId="68CAC97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6A09AD9"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1A6159E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3C23840" w14:textId="77777777" w:rsidR="00F3536C" w:rsidRPr="00A4272B" w:rsidRDefault="00F3536C" w:rsidP="00A41632">
            <w:pPr>
              <w:jc w:val="center"/>
              <w:rPr>
                <w:color w:val="000000"/>
                <w:sz w:val="14"/>
                <w:szCs w:val="14"/>
                <w:lang w:val="en-US"/>
              </w:rPr>
            </w:pPr>
            <w:r w:rsidRPr="00A4272B">
              <w:rPr>
                <w:color w:val="000000"/>
                <w:sz w:val="14"/>
                <w:szCs w:val="14"/>
                <w:lang w:val="en-US"/>
              </w:rPr>
              <w:t>~50 m³/d</w:t>
            </w:r>
          </w:p>
        </w:tc>
        <w:tc>
          <w:tcPr>
            <w:tcW w:w="831" w:type="dxa"/>
            <w:noWrap/>
            <w:vAlign w:val="center"/>
            <w:hideMark/>
          </w:tcPr>
          <w:p w14:paraId="6CF4C078"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924" w:type="dxa"/>
            <w:noWrap/>
            <w:vAlign w:val="center"/>
            <w:hideMark/>
          </w:tcPr>
          <w:p w14:paraId="0488B7E7"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612" w:type="dxa"/>
            <w:tcBorders>
              <w:top w:val="nil"/>
              <w:left w:val="nil"/>
              <w:bottom w:val="nil"/>
              <w:right w:val="single" w:sz="8" w:space="0" w:color="auto"/>
            </w:tcBorders>
            <w:noWrap/>
            <w:vAlign w:val="center"/>
            <w:hideMark/>
          </w:tcPr>
          <w:p w14:paraId="0C03D996"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7B1DF2A9" w14:textId="77777777" w:rsidTr="00A41632">
        <w:trPr>
          <w:trHeight w:val="276"/>
          <w:jc w:val="center"/>
        </w:trPr>
        <w:tc>
          <w:tcPr>
            <w:tcW w:w="955" w:type="dxa"/>
            <w:tcBorders>
              <w:top w:val="nil"/>
              <w:left w:val="single" w:sz="8" w:space="0" w:color="auto"/>
              <w:bottom w:val="nil"/>
              <w:right w:val="nil"/>
            </w:tcBorders>
            <w:noWrap/>
            <w:vAlign w:val="center"/>
            <w:hideMark/>
          </w:tcPr>
          <w:p w14:paraId="5B7A65EE" w14:textId="77777777" w:rsidR="00F3536C" w:rsidRPr="00A4272B" w:rsidRDefault="00F3536C" w:rsidP="00A41632">
            <w:pPr>
              <w:rPr>
                <w:color w:val="000000"/>
                <w:sz w:val="14"/>
                <w:szCs w:val="14"/>
                <w:lang w:val="en-US"/>
              </w:rPr>
            </w:pPr>
            <w:r w:rsidRPr="00A4272B">
              <w:rPr>
                <w:color w:val="000000"/>
                <w:sz w:val="14"/>
                <w:szCs w:val="14"/>
                <w:lang w:val="en-US"/>
              </w:rPr>
              <w:t>TOMPS</w:t>
            </w:r>
          </w:p>
        </w:tc>
        <w:tc>
          <w:tcPr>
            <w:tcW w:w="1391" w:type="dxa"/>
            <w:noWrap/>
            <w:vAlign w:val="center"/>
            <w:hideMark/>
          </w:tcPr>
          <w:p w14:paraId="01A54544" w14:textId="77777777" w:rsidR="00F3536C" w:rsidRPr="00A4272B" w:rsidRDefault="00F3536C" w:rsidP="00A41632">
            <w:pPr>
              <w:rPr>
                <w:color w:val="000000"/>
                <w:sz w:val="14"/>
                <w:szCs w:val="14"/>
                <w:lang w:val="en-US"/>
              </w:rPr>
            </w:pPr>
            <w:r w:rsidRPr="00A4272B">
              <w:rPr>
                <w:color w:val="000000"/>
                <w:sz w:val="14"/>
                <w:szCs w:val="14"/>
                <w:lang w:val="en-US"/>
              </w:rPr>
              <w:t>United Kingdom</w:t>
            </w:r>
          </w:p>
        </w:tc>
        <w:tc>
          <w:tcPr>
            <w:tcW w:w="2504" w:type="dxa"/>
            <w:noWrap/>
            <w:vAlign w:val="center"/>
            <w:hideMark/>
          </w:tcPr>
          <w:p w14:paraId="3C5EE119" w14:textId="77777777" w:rsidR="00F3536C" w:rsidRPr="00A4272B" w:rsidRDefault="00F3536C" w:rsidP="00A41632">
            <w:pPr>
              <w:rPr>
                <w:color w:val="000000"/>
                <w:sz w:val="14"/>
                <w:szCs w:val="14"/>
                <w:lang w:val="en-US"/>
              </w:rPr>
            </w:pPr>
            <w:r w:rsidRPr="00A4272B">
              <w:rPr>
                <w:color w:val="000000"/>
                <w:sz w:val="14"/>
                <w:szCs w:val="14"/>
                <w:lang w:val="en-US"/>
              </w:rPr>
              <w:t>Manchester</w:t>
            </w:r>
          </w:p>
        </w:tc>
        <w:tc>
          <w:tcPr>
            <w:tcW w:w="998" w:type="dxa"/>
            <w:noWrap/>
            <w:vAlign w:val="center"/>
            <w:hideMark/>
          </w:tcPr>
          <w:p w14:paraId="1EEE5A0C" w14:textId="77777777" w:rsidR="00F3536C" w:rsidRPr="00A4272B" w:rsidRDefault="00F3536C" w:rsidP="00A41632">
            <w:pPr>
              <w:jc w:val="center"/>
              <w:rPr>
                <w:color w:val="000000"/>
                <w:sz w:val="14"/>
                <w:szCs w:val="14"/>
                <w:lang w:val="en-US"/>
              </w:rPr>
            </w:pPr>
            <w:r w:rsidRPr="00A4272B">
              <w:rPr>
                <w:color w:val="000000"/>
                <w:sz w:val="14"/>
                <w:szCs w:val="14"/>
                <w:lang w:val="en-US"/>
              </w:rPr>
              <w:t>MAN</w:t>
            </w:r>
          </w:p>
        </w:tc>
        <w:tc>
          <w:tcPr>
            <w:tcW w:w="1342" w:type="dxa"/>
            <w:noWrap/>
            <w:vAlign w:val="center"/>
            <w:hideMark/>
          </w:tcPr>
          <w:p w14:paraId="390134C2"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7E51CB5E" w14:textId="77777777" w:rsidR="00F3536C" w:rsidRPr="00A4272B" w:rsidRDefault="00F3536C" w:rsidP="00A41632">
            <w:pPr>
              <w:jc w:val="right"/>
              <w:rPr>
                <w:color w:val="000000"/>
                <w:sz w:val="14"/>
                <w:szCs w:val="14"/>
                <w:lang w:val="en-US"/>
              </w:rPr>
            </w:pPr>
            <w:r w:rsidRPr="00A4272B">
              <w:rPr>
                <w:color w:val="000000"/>
                <w:sz w:val="14"/>
                <w:szCs w:val="14"/>
                <w:lang w:val="en-US"/>
              </w:rPr>
              <w:t>53.480800</w:t>
            </w:r>
          </w:p>
        </w:tc>
        <w:tc>
          <w:tcPr>
            <w:tcW w:w="998" w:type="dxa"/>
            <w:noWrap/>
            <w:vAlign w:val="center"/>
            <w:hideMark/>
          </w:tcPr>
          <w:p w14:paraId="22F3CDA3" w14:textId="77777777" w:rsidR="00F3536C" w:rsidRPr="00A4272B" w:rsidRDefault="00F3536C" w:rsidP="00A41632">
            <w:pPr>
              <w:jc w:val="right"/>
              <w:rPr>
                <w:color w:val="000000"/>
                <w:sz w:val="14"/>
                <w:szCs w:val="14"/>
                <w:lang w:val="en-US"/>
              </w:rPr>
            </w:pPr>
            <w:r w:rsidRPr="00A4272B">
              <w:rPr>
                <w:color w:val="000000"/>
                <w:sz w:val="14"/>
                <w:szCs w:val="14"/>
                <w:lang w:val="en-US"/>
              </w:rPr>
              <w:t>-2.251980</w:t>
            </w:r>
          </w:p>
        </w:tc>
        <w:tc>
          <w:tcPr>
            <w:tcW w:w="859" w:type="dxa"/>
            <w:tcBorders>
              <w:top w:val="nil"/>
              <w:left w:val="nil"/>
              <w:bottom w:val="nil"/>
              <w:right w:val="single" w:sz="8" w:space="0" w:color="auto"/>
            </w:tcBorders>
            <w:noWrap/>
            <w:vAlign w:val="center"/>
            <w:hideMark/>
          </w:tcPr>
          <w:p w14:paraId="7E249CA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D9BE7CC"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411871A0"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1CBCBE8" w14:textId="77777777" w:rsidR="00F3536C" w:rsidRPr="00A4272B" w:rsidRDefault="00F3536C" w:rsidP="00A41632">
            <w:pPr>
              <w:jc w:val="center"/>
              <w:rPr>
                <w:color w:val="000000"/>
                <w:sz w:val="14"/>
                <w:szCs w:val="14"/>
                <w:lang w:val="en-US"/>
              </w:rPr>
            </w:pPr>
            <w:r w:rsidRPr="00A4272B">
              <w:rPr>
                <w:color w:val="000000"/>
                <w:sz w:val="14"/>
                <w:szCs w:val="14"/>
                <w:lang w:val="en-US"/>
              </w:rPr>
              <w:t>~50 m³/d</w:t>
            </w:r>
          </w:p>
        </w:tc>
        <w:tc>
          <w:tcPr>
            <w:tcW w:w="831" w:type="dxa"/>
            <w:noWrap/>
            <w:vAlign w:val="center"/>
            <w:hideMark/>
          </w:tcPr>
          <w:p w14:paraId="625A79BE"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924" w:type="dxa"/>
            <w:noWrap/>
            <w:vAlign w:val="center"/>
            <w:hideMark/>
          </w:tcPr>
          <w:p w14:paraId="43FD4E88"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612" w:type="dxa"/>
            <w:tcBorders>
              <w:top w:val="nil"/>
              <w:left w:val="nil"/>
              <w:bottom w:val="nil"/>
              <w:right w:val="single" w:sz="8" w:space="0" w:color="auto"/>
            </w:tcBorders>
            <w:noWrap/>
            <w:vAlign w:val="center"/>
            <w:hideMark/>
          </w:tcPr>
          <w:p w14:paraId="67BA8F72"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0BF3D3D1" w14:textId="77777777" w:rsidTr="00A41632">
        <w:trPr>
          <w:trHeight w:val="276"/>
          <w:jc w:val="center"/>
        </w:trPr>
        <w:tc>
          <w:tcPr>
            <w:tcW w:w="955" w:type="dxa"/>
            <w:tcBorders>
              <w:top w:val="nil"/>
              <w:left w:val="single" w:sz="8" w:space="0" w:color="auto"/>
              <w:bottom w:val="nil"/>
              <w:right w:val="nil"/>
            </w:tcBorders>
            <w:noWrap/>
            <w:vAlign w:val="center"/>
            <w:hideMark/>
          </w:tcPr>
          <w:p w14:paraId="46F32CF6" w14:textId="77777777" w:rsidR="00F3536C" w:rsidRPr="00A4272B" w:rsidRDefault="00F3536C" w:rsidP="00A41632">
            <w:pPr>
              <w:rPr>
                <w:color w:val="000000"/>
                <w:sz w:val="14"/>
                <w:szCs w:val="14"/>
                <w:lang w:val="en-US"/>
              </w:rPr>
            </w:pPr>
            <w:r w:rsidRPr="00A4272B">
              <w:rPr>
                <w:color w:val="000000"/>
                <w:sz w:val="14"/>
                <w:szCs w:val="14"/>
                <w:lang w:val="en-US"/>
              </w:rPr>
              <w:t>TOMPS</w:t>
            </w:r>
          </w:p>
        </w:tc>
        <w:tc>
          <w:tcPr>
            <w:tcW w:w="1391" w:type="dxa"/>
            <w:noWrap/>
            <w:vAlign w:val="center"/>
            <w:hideMark/>
          </w:tcPr>
          <w:p w14:paraId="7A10C509" w14:textId="77777777" w:rsidR="00F3536C" w:rsidRPr="00A4272B" w:rsidRDefault="00F3536C" w:rsidP="00A41632">
            <w:pPr>
              <w:rPr>
                <w:color w:val="000000"/>
                <w:sz w:val="14"/>
                <w:szCs w:val="14"/>
                <w:lang w:val="en-US"/>
              </w:rPr>
            </w:pPr>
            <w:r w:rsidRPr="00A4272B">
              <w:rPr>
                <w:color w:val="000000"/>
                <w:sz w:val="14"/>
                <w:szCs w:val="14"/>
                <w:lang w:val="en-US"/>
              </w:rPr>
              <w:t>United Kingdom</w:t>
            </w:r>
          </w:p>
        </w:tc>
        <w:tc>
          <w:tcPr>
            <w:tcW w:w="2504" w:type="dxa"/>
            <w:noWrap/>
            <w:vAlign w:val="center"/>
            <w:hideMark/>
          </w:tcPr>
          <w:p w14:paraId="7063EB25" w14:textId="77777777" w:rsidR="00F3536C" w:rsidRPr="00A4272B" w:rsidRDefault="00F3536C" w:rsidP="00A41632">
            <w:pPr>
              <w:rPr>
                <w:color w:val="000000"/>
                <w:sz w:val="14"/>
                <w:szCs w:val="14"/>
                <w:lang w:val="en-US"/>
              </w:rPr>
            </w:pPr>
            <w:r w:rsidRPr="00A4272B">
              <w:rPr>
                <w:color w:val="000000"/>
                <w:sz w:val="14"/>
                <w:szCs w:val="14"/>
                <w:lang w:val="en-US"/>
              </w:rPr>
              <w:t>Weybourne</w:t>
            </w:r>
          </w:p>
        </w:tc>
        <w:tc>
          <w:tcPr>
            <w:tcW w:w="998" w:type="dxa"/>
            <w:noWrap/>
            <w:vAlign w:val="center"/>
            <w:hideMark/>
          </w:tcPr>
          <w:p w14:paraId="4440D477" w14:textId="77777777" w:rsidR="00F3536C" w:rsidRPr="00A4272B" w:rsidRDefault="00F3536C" w:rsidP="00A41632">
            <w:pPr>
              <w:jc w:val="center"/>
              <w:rPr>
                <w:color w:val="000000"/>
                <w:sz w:val="14"/>
                <w:szCs w:val="14"/>
                <w:lang w:val="en-US"/>
              </w:rPr>
            </w:pPr>
            <w:r w:rsidRPr="00A4272B">
              <w:rPr>
                <w:color w:val="000000"/>
                <w:sz w:val="14"/>
                <w:szCs w:val="14"/>
                <w:lang w:val="en-US"/>
              </w:rPr>
              <w:t>WE</w:t>
            </w:r>
          </w:p>
        </w:tc>
        <w:tc>
          <w:tcPr>
            <w:tcW w:w="1342" w:type="dxa"/>
            <w:noWrap/>
            <w:vAlign w:val="center"/>
            <w:hideMark/>
          </w:tcPr>
          <w:p w14:paraId="0623B3F9"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22BC09A9" w14:textId="77777777" w:rsidR="00F3536C" w:rsidRPr="00A4272B" w:rsidRDefault="00F3536C" w:rsidP="00A41632">
            <w:pPr>
              <w:jc w:val="right"/>
              <w:rPr>
                <w:color w:val="000000"/>
                <w:sz w:val="14"/>
                <w:szCs w:val="14"/>
                <w:lang w:val="en-US"/>
              </w:rPr>
            </w:pPr>
            <w:r w:rsidRPr="00A4272B">
              <w:rPr>
                <w:color w:val="000000"/>
                <w:sz w:val="14"/>
                <w:szCs w:val="14"/>
                <w:lang w:val="en-US"/>
              </w:rPr>
              <w:t>52.950490</w:t>
            </w:r>
          </w:p>
        </w:tc>
        <w:tc>
          <w:tcPr>
            <w:tcW w:w="998" w:type="dxa"/>
            <w:noWrap/>
            <w:vAlign w:val="center"/>
            <w:hideMark/>
          </w:tcPr>
          <w:p w14:paraId="22CB66B2" w14:textId="77777777" w:rsidR="00F3536C" w:rsidRPr="00A4272B" w:rsidRDefault="00F3536C" w:rsidP="00A41632">
            <w:pPr>
              <w:jc w:val="right"/>
              <w:rPr>
                <w:color w:val="000000"/>
                <w:sz w:val="14"/>
                <w:szCs w:val="14"/>
                <w:lang w:val="en-US"/>
              </w:rPr>
            </w:pPr>
            <w:r w:rsidRPr="00A4272B">
              <w:rPr>
                <w:color w:val="000000"/>
                <w:sz w:val="14"/>
                <w:szCs w:val="14"/>
                <w:lang w:val="en-US"/>
              </w:rPr>
              <w:t>1.122017</w:t>
            </w:r>
          </w:p>
        </w:tc>
        <w:tc>
          <w:tcPr>
            <w:tcW w:w="859" w:type="dxa"/>
            <w:tcBorders>
              <w:top w:val="nil"/>
              <w:left w:val="nil"/>
              <w:bottom w:val="nil"/>
              <w:right w:val="single" w:sz="8" w:space="0" w:color="auto"/>
            </w:tcBorders>
            <w:noWrap/>
            <w:vAlign w:val="center"/>
            <w:hideMark/>
          </w:tcPr>
          <w:p w14:paraId="702F8D6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B4FD6D2" w14:textId="77777777" w:rsidR="00F3536C" w:rsidRPr="00A4272B" w:rsidRDefault="00F3536C" w:rsidP="00A41632">
            <w:pPr>
              <w:jc w:val="center"/>
              <w:rPr>
                <w:color w:val="000000"/>
                <w:sz w:val="14"/>
                <w:szCs w:val="14"/>
                <w:lang w:val="en-US"/>
              </w:rPr>
            </w:pPr>
            <w:r w:rsidRPr="00A4272B">
              <w:rPr>
                <w:color w:val="000000"/>
                <w:sz w:val="14"/>
                <w:szCs w:val="14"/>
                <w:lang w:val="en-US"/>
              </w:rPr>
              <w:t>Active</w:t>
            </w:r>
          </w:p>
        </w:tc>
        <w:tc>
          <w:tcPr>
            <w:tcW w:w="590" w:type="dxa"/>
            <w:noWrap/>
            <w:vAlign w:val="center"/>
            <w:hideMark/>
          </w:tcPr>
          <w:p w14:paraId="70F1179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C2406CD" w14:textId="77777777" w:rsidR="00F3536C" w:rsidRPr="00A4272B" w:rsidRDefault="00F3536C" w:rsidP="00A41632">
            <w:pPr>
              <w:jc w:val="center"/>
              <w:rPr>
                <w:color w:val="000000"/>
                <w:sz w:val="14"/>
                <w:szCs w:val="14"/>
                <w:lang w:val="en-US"/>
              </w:rPr>
            </w:pPr>
            <w:r w:rsidRPr="00A4272B">
              <w:rPr>
                <w:color w:val="000000"/>
                <w:sz w:val="14"/>
                <w:szCs w:val="14"/>
                <w:lang w:val="en-US"/>
              </w:rPr>
              <w:t>~50 m³/d</w:t>
            </w:r>
          </w:p>
        </w:tc>
        <w:tc>
          <w:tcPr>
            <w:tcW w:w="831" w:type="dxa"/>
            <w:noWrap/>
            <w:vAlign w:val="center"/>
            <w:hideMark/>
          </w:tcPr>
          <w:p w14:paraId="3D25D0CC"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924" w:type="dxa"/>
            <w:noWrap/>
            <w:vAlign w:val="center"/>
            <w:hideMark/>
          </w:tcPr>
          <w:p w14:paraId="6EC7F25B" w14:textId="77777777" w:rsidR="00F3536C" w:rsidRPr="00A4272B" w:rsidRDefault="00F3536C" w:rsidP="00A41632">
            <w:pPr>
              <w:jc w:val="center"/>
              <w:rPr>
                <w:color w:val="000000"/>
                <w:sz w:val="14"/>
                <w:szCs w:val="14"/>
                <w:lang w:val="en-US"/>
              </w:rPr>
            </w:pPr>
            <w:r w:rsidRPr="00A4272B">
              <w:rPr>
                <w:color w:val="000000"/>
                <w:sz w:val="14"/>
                <w:szCs w:val="14"/>
                <w:lang w:val="en-US"/>
              </w:rPr>
              <w:t>2 weeks</w:t>
            </w:r>
          </w:p>
        </w:tc>
        <w:tc>
          <w:tcPr>
            <w:tcW w:w="612" w:type="dxa"/>
            <w:tcBorders>
              <w:top w:val="nil"/>
              <w:left w:val="nil"/>
              <w:bottom w:val="nil"/>
              <w:right w:val="single" w:sz="8" w:space="0" w:color="auto"/>
            </w:tcBorders>
            <w:noWrap/>
            <w:vAlign w:val="center"/>
            <w:hideMark/>
          </w:tcPr>
          <w:p w14:paraId="07A97B82" w14:textId="77777777" w:rsidR="00F3536C" w:rsidRPr="00A4272B" w:rsidRDefault="00F3536C" w:rsidP="00A41632">
            <w:pPr>
              <w:jc w:val="center"/>
              <w:rPr>
                <w:sz w:val="14"/>
                <w:szCs w:val="14"/>
                <w:lang w:val="en-US"/>
              </w:rPr>
            </w:pPr>
            <w:r w:rsidRPr="00A4272B">
              <w:rPr>
                <w:sz w:val="14"/>
                <w:szCs w:val="14"/>
                <w:lang w:val="en-US"/>
              </w:rPr>
              <w:t>2009</w:t>
            </w:r>
          </w:p>
        </w:tc>
      </w:tr>
      <w:tr w:rsidR="00F3536C" w:rsidRPr="00A4272B" w14:paraId="53F8E9A2" w14:textId="77777777" w:rsidTr="00A41632">
        <w:trPr>
          <w:trHeight w:val="288"/>
          <w:jc w:val="center"/>
        </w:trPr>
        <w:tc>
          <w:tcPr>
            <w:tcW w:w="14633" w:type="dxa"/>
            <w:gridSpan w:val="14"/>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2411A523" w14:textId="77777777" w:rsidR="00F3536C" w:rsidRPr="00A4272B" w:rsidRDefault="00F3536C" w:rsidP="00A41632">
            <w:pPr>
              <w:rPr>
                <w:b/>
                <w:bCs/>
                <w:sz w:val="14"/>
                <w:szCs w:val="14"/>
                <w:lang w:val="en-US"/>
              </w:rPr>
            </w:pPr>
            <w:r w:rsidRPr="00A4272B">
              <w:rPr>
                <w:b/>
                <w:bCs/>
                <w:sz w:val="14"/>
                <w:szCs w:val="14"/>
                <w:lang w:val="en-US"/>
              </w:rPr>
              <w:t>LATIN AMERICA &amp; CARIBBEAN</w:t>
            </w:r>
          </w:p>
        </w:tc>
      </w:tr>
      <w:tr w:rsidR="00F3536C" w:rsidRPr="00A4272B" w14:paraId="20D13679" w14:textId="77777777" w:rsidTr="00A41632">
        <w:trPr>
          <w:trHeight w:val="276"/>
          <w:jc w:val="center"/>
        </w:trPr>
        <w:tc>
          <w:tcPr>
            <w:tcW w:w="955" w:type="dxa"/>
            <w:tcBorders>
              <w:top w:val="nil"/>
              <w:left w:val="single" w:sz="8" w:space="0" w:color="auto"/>
              <w:bottom w:val="nil"/>
              <w:right w:val="nil"/>
            </w:tcBorders>
            <w:noWrap/>
            <w:vAlign w:val="center"/>
            <w:hideMark/>
          </w:tcPr>
          <w:p w14:paraId="0F27D55B"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630ADF3"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148DE500" w14:textId="77777777" w:rsidR="00F3536C" w:rsidRPr="00A4272B" w:rsidRDefault="00F3536C" w:rsidP="00A41632">
            <w:pPr>
              <w:rPr>
                <w:color w:val="000000"/>
                <w:sz w:val="14"/>
                <w:szCs w:val="14"/>
                <w:lang w:val="en-US"/>
              </w:rPr>
            </w:pPr>
            <w:r w:rsidRPr="00A4272B">
              <w:rPr>
                <w:color w:val="000000"/>
                <w:sz w:val="14"/>
                <w:szCs w:val="14"/>
                <w:lang w:val="en-US"/>
              </w:rPr>
              <w:t>Mendoza Province</w:t>
            </w:r>
          </w:p>
        </w:tc>
        <w:tc>
          <w:tcPr>
            <w:tcW w:w="998" w:type="dxa"/>
            <w:noWrap/>
            <w:vAlign w:val="center"/>
            <w:hideMark/>
          </w:tcPr>
          <w:p w14:paraId="2296DA70" w14:textId="77777777" w:rsidR="00F3536C" w:rsidRPr="00A4272B" w:rsidRDefault="00F3536C" w:rsidP="00A41632">
            <w:pPr>
              <w:jc w:val="center"/>
              <w:rPr>
                <w:color w:val="000000"/>
                <w:sz w:val="14"/>
                <w:szCs w:val="14"/>
                <w:lang w:val="en-US"/>
              </w:rPr>
            </w:pPr>
            <w:r w:rsidRPr="00A4272B">
              <w:rPr>
                <w:color w:val="000000"/>
                <w:sz w:val="14"/>
                <w:szCs w:val="14"/>
                <w:lang w:val="en-US"/>
              </w:rPr>
              <w:t>GR21</w:t>
            </w:r>
          </w:p>
        </w:tc>
        <w:tc>
          <w:tcPr>
            <w:tcW w:w="1342" w:type="dxa"/>
            <w:noWrap/>
            <w:vAlign w:val="center"/>
            <w:hideMark/>
          </w:tcPr>
          <w:p w14:paraId="1046BF53"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05269551" w14:textId="77777777" w:rsidR="00F3536C" w:rsidRPr="00A4272B" w:rsidRDefault="00F3536C" w:rsidP="00A41632">
            <w:pPr>
              <w:jc w:val="right"/>
              <w:rPr>
                <w:color w:val="000000"/>
                <w:sz w:val="14"/>
                <w:szCs w:val="14"/>
                <w:lang w:val="en-US"/>
              </w:rPr>
            </w:pPr>
            <w:r w:rsidRPr="00A4272B">
              <w:rPr>
                <w:color w:val="000000"/>
                <w:sz w:val="14"/>
                <w:szCs w:val="14"/>
                <w:lang w:val="en-US"/>
              </w:rPr>
              <w:t>-32.709223</w:t>
            </w:r>
          </w:p>
        </w:tc>
        <w:tc>
          <w:tcPr>
            <w:tcW w:w="998" w:type="dxa"/>
            <w:noWrap/>
            <w:vAlign w:val="center"/>
            <w:hideMark/>
          </w:tcPr>
          <w:p w14:paraId="343B06D0" w14:textId="77777777" w:rsidR="00F3536C" w:rsidRPr="00A4272B" w:rsidRDefault="00F3536C" w:rsidP="00A41632">
            <w:pPr>
              <w:jc w:val="right"/>
              <w:rPr>
                <w:color w:val="000000"/>
                <w:sz w:val="14"/>
                <w:szCs w:val="14"/>
                <w:lang w:val="en-US"/>
              </w:rPr>
            </w:pPr>
            <w:r w:rsidRPr="00A4272B">
              <w:rPr>
                <w:color w:val="000000"/>
                <w:sz w:val="14"/>
                <w:szCs w:val="14"/>
                <w:lang w:val="en-US"/>
              </w:rPr>
              <w:t>-68.400447</w:t>
            </w:r>
          </w:p>
        </w:tc>
        <w:tc>
          <w:tcPr>
            <w:tcW w:w="859" w:type="dxa"/>
            <w:tcBorders>
              <w:top w:val="nil"/>
              <w:left w:val="nil"/>
              <w:bottom w:val="nil"/>
              <w:right w:val="single" w:sz="8" w:space="0" w:color="auto"/>
            </w:tcBorders>
            <w:noWrap/>
            <w:vAlign w:val="center"/>
            <w:hideMark/>
          </w:tcPr>
          <w:p w14:paraId="578130DA" w14:textId="77777777" w:rsidR="00F3536C" w:rsidRPr="00A4272B" w:rsidRDefault="00F3536C" w:rsidP="00A41632">
            <w:pPr>
              <w:jc w:val="center"/>
              <w:rPr>
                <w:color w:val="000000"/>
                <w:sz w:val="14"/>
                <w:szCs w:val="14"/>
                <w:lang w:val="en-US"/>
              </w:rPr>
            </w:pPr>
            <w:r w:rsidRPr="00A4272B">
              <w:rPr>
                <w:color w:val="000000"/>
                <w:sz w:val="14"/>
                <w:szCs w:val="14"/>
                <w:lang w:val="en-US"/>
              </w:rPr>
              <w:t>596</w:t>
            </w:r>
          </w:p>
        </w:tc>
        <w:tc>
          <w:tcPr>
            <w:tcW w:w="792" w:type="dxa"/>
            <w:noWrap/>
            <w:vAlign w:val="center"/>
            <w:hideMark/>
          </w:tcPr>
          <w:p w14:paraId="123C0C7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4B7E377"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D9E0DB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3811C3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B254C8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0F6380E"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0A0BF702" w14:textId="77777777" w:rsidTr="00A41632">
        <w:trPr>
          <w:trHeight w:val="276"/>
          <w:jc w:val="center"/>
        </w:trPr>
        <w:tc>
          <w:tcPr>
            <w:tcW w:w="955" w:type="dxa"/>
            <w:tcBorders>
              <w:top w:val="nil"/>
              <w:left w:val="single" w:sz="8" w:space="0" w:color="auto"/>
              <w:bottom w:val="nil"/>
              <w:right w:val="nil"/>
            </w:tcBorders>
            <w:noWrap/>
            <w:vAlign w:val="center"/>
            <w:hideMark/>
          </w:tcPr>
          <w:p w14:paraId="15237B14"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D356DCF"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55C252DF" w14:textId="77777777" w:rsidR="00F3536C" w:rsidRPr="00A4272B" w:rsidRDefault="00F3536C" w:rsidP="00A41632">
            <w:pPr>
              <w:rPr>
                <w:color w:val="000000"/>
                <w:sz w:val="14"/>
                <w:szCs w:val="14"/>
                <w:lang w:val="en-US"/>
              </w:rPr>
            </w:pPr>
            <w:r w:rsidRPr="00A4272B">
              <w:rPr>
                <w:color w:val="000000"/>
                <w:sz w:val="14"/>
                <w:szCs w:val="14"/>
                <w:lang w:val="en-US"/>
              </w:rPr>
              <w:t>Pierre Auger Observatory</w:t>
            </w:r>
          </w:p>
        </w:tc>
        <w:tc>
          <w:tcPr>
            <w:tcW w:w="998" w:type="dxa"/>
            <w:noWrap/>
            <w:vAlign w:val="center"/>
            <w:hideMark/>
          </w:tcPr>
          <w:p w14:paraId="1AF22974" w14:textId="77777777" w:rsidR="00F3536C" w:rsidRPr="00A4272B" w:rsidRDefault="00F3536C" w:rsidP="00A41632">
            <w:pPr>
              <w:jc w:val="center"/>
              <w:rPr>
                <w:color w:val="000000"/>
                <w:sz w:val="14"/>
                <w:szCs w:val="14"/>
                <w:lang w:val="en-US"/>
              </w:rPr>
            </w:pPr>
            <w:r w:rsidRPr="00A4272B">
              <w:rPr>
                <w:color w:val="000000"/>
                <w:sz w:val="14"/>
                <w:szCs w:val="14"/>
                <w:lang w:val="en-US"/>
              </w:rPr>
              <w:t>GR20</w:t>
            </w:r>
          </w:p>
        </w:tc>
        <w:tc>
          <w:tcPr>
            <w:tcW w:w="1342" w:type="dxa"/>
            <w:noWrap/>
            <w:vAlign w:val="center"/>
            <w:hideMark/>
          </w:tcPr>
          <w:p w14:paraId="572D04F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523FF38" w14:textId="77777777" w:rsidR="00F3536C" w:rsidRPr="00A4272B" w:rsidRDefault="00F3536C" w:rsidP="00A41632">
            <w:pPr>
              <w:jc w:val="right"/>
              <w:rPr>
                <w:color w:val="000000"/>
                <w:sz w:val="14"/>
                <w:szCs w:val="14"/>
                <w:lang w:val="en-US"/>
              </w:rPr>
            </w:pPr>
            <w:r w:rsidRPr="00A4272B">
              <w:rPr>
                <w:color w:val="000000"/>
                <w:sz w:val="14"/>
                <w:szCs w:val="14"/>
                <w:lang w:val="en-US"/>
              </w:rPr>
              <w:t>-35.113727</w:t>
            </w:r>
          </w:p>
        </w:tc>
        <w:tc>
          <w:tcPr>
            <w:tcW w:w="998" w:type="dxa"/>
            <w:noWrap/>
            <w:vAlign w:val="center"/>
            <w:hideMark/>
          </w:tcPr>
          <w:p w14:paraId="01030DD8" w14:textId="77777777" w:rsidR="00F3536C" w:rsidRPr="00A4272B" w:rsidRDefault="00F3536C" w:rsidP="00A41632">
            <w:pPr>
              <w:jc w:val="right"/>
              <w:rPr>
                <w:color w:val="000000"/>
                <w:sz w:val="14"/>
                <w:szCs w:val="14"/>
                <w:lang w:val="en-US"/>
              </w:rPr>
            </w:pPr>
            <w:r w:rsidRPr="00A4272B">
              <w:rPr>
                <w:color w:val="000000"/>
                <w:sz w:val="14"/>
                <w:szCs w:val="14"/>
                <w:lang w:val="en-US"/>
              </w:rPr>
              <w:t>-65.599903</w:t>
            </w:r>
          </w:p>
        </w:tc>
        <w:tc>
          <w:tcPr>
            <w:tcW w:w="859" w:type="dxa"/>
            <w:tcBorders>
              <w:top w:val="nil"/>
              <w:left w:val="nil"/>
              <w:bottom w:val="nil"/>
              <w:right w:val="single" w:sz="8" w:space="0" w:color="auto"/>
            </w:tcBorders>
            <w:noWrap/>
            <w:vAlign w:val="center"/>
            <w:hideMark/>
          </w:tcPr>
          <w:p w14:paraId="6D36CCBE" w14:textId="77777777" w:rsidR="00F3536C" w:rsidRPr="00A4272B" w:rsidRDefault="00F3536C" w:rsidP="00A41632">
            <w:pPr>
              <w:jc w:val="center"/>
              <w:rPr>
                <w:color w:val="000000"/>
                <w:sz w:val="14"/>
                <w:szCs w:val="14"/>
                <w:lang w:val="en-US"/>
              </w:rPr>
            </w:pPr>
            <w:r w:rsidRPr="00A4272B">
              <w:rPr>
                <w:color w:val="000000"/>
                <w:sz w:val="14"/>
                <w:szCs w:val="14"/>
                <w:lang w:val="en-US"/>
              </w:rPr>
              <w:t>329</w:t>
            </w:r>
          </w:p>
        </w:tc>
        <w:tc>
          <w:tcPr>
            <w:tcW w:w="792" w:type="dxa"/>
            <w:noWrap/>
            <w:vAlign w:val="center"/>
            <w:hideMark/>
          </w:tcPr>
          <w:p w14:paraId="6A59747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4D687C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524734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267404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E1A140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97F0C6A"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24685100" w14:textId="77777777" w:rsidTr="00A41632">
        <w:trPr>
          <w:trHeight w:val="276"/>
          <w:jc w:val="center"/>
        </w:trPr>
        <w:tc>
          <w:tcPr>
            <w:tcW w:w="955" w:type="dxa"/>
            <w:tcBorders>
              <w:top w:val="nil"/>
              <w:left w:val="single" w:sz="8" w:space="0" w:color="auto"/>
              <w:bottom w:val="nil"/>
              <w:right w:val="nil"/>
            </w:tcBorders>
            <w:noWrap/>
            <w:vAlign w:val="center"/>
            <w:hideMark/>
          </w:tcPr>
          <w:p w14:paraId="080FB98F"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5E4E4E68"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7D22D31B" w14:textId="77777777" w:rsidR="00F3536C" w:rsidRPr="00A4272B" w:rsidRDefault="00F3536C" w:rsidP="00A41632">
            <w:pPr>
              <w:rPr>
                <w:color w:val="000000"/>
                <w:sz w:val="14"/>
                <w:szCs w:val="14"/>
                <w:lang w:val="en-US"/>
              </w:rPr>
            </w:pPr>
            <w:r w:rsidRPr="00A4272B">
              <w:rPr>
                <w:color w:val="000000"/>
                <w:sz w:val="14"/>
                <w:szCs w:val="14"/>
                <w:lang w:val="en-US"/>
              </w:rPr>
              <w:t>Rio Gallegos</w:t>
            </w:r>
          </w:p>
        </w:tc>
        <w:tc>
          <w:tcPr>
            <w:tcW w:w="998" w:type="dxa"/>
            <w:noWrap/>
            <w:vAlign w:val="center"/>
            <w:hideMark/>
          </w:tcPr>
          <w:p w14:paraId="3C099F28" w14:textId="77777777" w:rsidR="00F3536C" w:rsidRPr="00A4272B" w:rsidRDefault="00F3536C" w:rsidP="00A41632">
            <w:pPr>
              <w:jc w:val="center"/>
              <w:rPr>
                <w:color w:val="000000"/>
                <w:sz w:val="14"/>
                <w:szCs w:val="14"/>
                <w:lang w:val="en-US"/>
              </w:rPr>
            </w:pPr>
            <w:r w:rsidRPr="00A4272B">
              <w:rPr>
                <w:color w:val="000000"/>
                <w:sz w:val="14"/>
                <w:szCs w:val="14"/>
                <w:lang w:val="en-US"/>
              </w:rPr>
              <w:t>GR27</w:t>
            </w:r>
          </w:p>
        </w:tc>
        <w:tc>
          <w:tcPr>
            <w:tcW w:w="1342" w:type="dxa"/>
            <w:noWrap/>
            <w:vAlign w:val="center"/>
            <w:hideMark/>
          </w:tcPr>
          <w:p w14:paraId="582B8E2F"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19FA73F3" w14:textId="77777777" w:rsidR="00F3536C" w:rsidRPr="00A4272B" w:rsidRDefault="00F3536C" w:rsidP="00A41632">
            <w:pPr>
              <w:jc w:val="right"/>
              <w:rPr>
                <w:color w:val="000000"/>
                <w:sz w:val="14"/>
                <w:szCs w:val="14"/>
                <w:lang w:val="en-US"/>
              </w:rPr>
            </w:pPr>
            <w:r w:rsidRPr="00A4272B">
              <w:rPr>
                <w:color w:val="000000"/>
                <w:sz w:val="14"/>
                <w:szCs w:val="14"/>
                <w:lang w:val="en-US"/>
              </w:rPr>
              <w:t>-51.647310</w:t>
            </w:r>
          </w:p>
        </w:tc>
        <w:tc>
          <w:tcPr>
            <w:tcW w:w="998" w:type="dxa"/>
            <w:noWrap/>
            <w:vAlign w:val="center"/>
            <w:hideMark/>
          </w:tcPr>
          <w:p w14:paraId="383EE0B5" w14:textId="77777777" w:rsidR="00F3536C" w:rsidRPr="00A4272B" w:rsidRDefault="00F3536C" w:rsidP="00A41632">
            <w:pPr>
              <w:jc w:val="right"/>
              <w:rPr>
                <w:color w:val="000000"/>
                <w:sz w:val="14"/>
                <w:szCs w:val="14"/>
                <w:lang w:val="en-US"/>
              </w:rPr>
            </w:pPr>
            <w:r w:rsidRPr="00A4272B">
              <w:rPr>
                <w:color w:val="000000"/>
                <w:sz w:val="14"/>
                <w:szCs w:val="14"/>
                <w:lang w:val="en-US"/>
              </w:rPr>
              <w:t>-69.207310</w:t>
            </w:r>
          </w:p>
        </w:tc>
        <w:tc>
          <w:tcPr>
            <w:tcW w:w="859" w:type="dxa"/>
            <w:tcBorders>
              <w:top w:val="nil"/>
              <w:left w:val="nil"/>
              <w:bottom w:val="nil"/>
              <w:right w:val="single" w:sz="8" w:space="0" w:color="auto"/>
            </w:tcBorders>
            <w:noWrap/>
            <w:vAlign w:val="center"/>
            <w:hideMark/>
          </w:tcPr>
          <w:p w14:paraId="5F3F58C4" w14:textId="77777777" w:rsidR="00F3536C" w:rsidRPr="00A4272B" w:rsidRDefault="00F3536C" w:rsidP="00A41632">
            <w:pPr>
              <w:jc w:val="center"/>
              <w:rPr>
                <w:color w:val="000000"/>
                <w:sz w:val="14"/>
                <w:szCs w:val="14"/>
                <w:lang w:val="en-US"/>
              </w:rPr>
            </w:pPr>
            <w:r w:rsidRPr="00A4272B">
              <w:rPr>
                <w:color w:val="000000"/>
                <w:sz w:val="14"/>
                <w:szCs w:val="14"/>
                <w:lang w:val="en-US"/>
              </w:rPr>
              <w:t>18</w:t>
            </w:r>
          </w:p>
        </w:tc>
        <w:tc>
          <w:tcPr>
            <w:tcW w:w="792" w:type="dxa"/>
            <w:noWrap/>
            <w:vAlign w:val="center"/>
            <w:hideMark/>
          </w:tcPr>
          <w:p w14:paraId="1C3D4F5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718906B"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469495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62F5AC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1BB869F"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2287048" w14:textId="77777777" w:rsidR="00F3536C" w:rsidRPr="00A4272B" w:rsidRDefault="00F3536C" w:rsidP="00A41632">
            <w:pPr>
              <w:jc w:val="center"/>
              <w:rPr>
                <w:sz w:val="14"/>
                <w:szCs w:val="14"/>
                <w:lang w:val="en-US"/>
              </w:rPr>
            </w:pPr>
            <w:r w:rsidRPr="00A4272B">
              <w:rPr>
                <w:sz w:val="14"/>
                <w:szCs w:val="14"/>
                <w:lang w:val="en-US"/>
              </w:rPr>
              <w:t>2012</w:t>
            </w:r>
          </w:p>
        </w:tc>
      </w:tr>
      <w:tr w:rsidR="00F3536C" w:rsidRPr="00A4272B" w14:paraId="655C0FC7" w14:textId="77777777" w:rsidTr="00A41632">
        <w:trPr>
          <w:trHeight w:val="276"/>
          <w:jc w:val="center"/>
        </w:trPr>
        <w:tc>
          <w:tcPr>
            <w:tcW w:w="955" w:type="dxa"/>
            <w:tcBorders>
              <w:top w:val="nil"/>
              <w:left w:val="single" w:sz="8" w:space="0" w:color="auto"/>
              <w:bottom w:val="nil"/>
              <w:right w:val="nil"/>
            </w:tcBorders>
            <w:noWrap/>
            <w:vAlign w:val="center"/>
            <w:hideMark/>
          </w:tcPr>
          <w:p w14:paraId="50F8347B"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5D023776"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39168F78" w14:textId="77777777" w:rsidR="00F3536C" w:rsidRPr="00A4272B" w:rsidRDefault="00F3536C" w:rsidP="00A41632">
            <w:pPr>
              <w:rPr>
                <w:color w:val="000000"/>
                <w:sz w:val="14"/>
                <w:szCs w:val="14"/>
                <w:lang w:val="en-US"/>
              </w:rPr>
            </w:pPr>
            <w:r w:rsidRPr="00A4272B">
              <w:rPr>
                <w:color w:val="000000"/>
                <w:sz w:val="14"/>
                <w:szCs w:val="14"/>
                <w:lang w:val="en-US"/>
              </w:rPr>
              <w:t>Salta</w:t>
            </w:r>
          </w:p>
        </w:tc>
        <w:tc>
          <w:tcPr>
            <w:tcW w:w="998" w:type="dxa"/>
            <w:noWrap/>
            <w:vAlign w:val="center"/>
            <w:hideMark/>
          </w:tcPr>
          <w:p w14:paraId="318AD41F" w14:textId="77777777" w:rsidR="00F3536C" w:rsidRPr="00A4272B" w:rsidRDefault="00F3536C" w:rsidP="00A41632">
            <w:pPr>
              <w:jc w:val="center"/>
              <w:rPr>
                <w:color w:val="000000"/>
                <w:sz w:val="14"/>
                <w:szCs w:val="14"/>
                <w:lang w:val="en-US"/>
              </w:rPr>
            </w:pPr>
            <w:r w:rsidRPr="00A4272B">
              <w:rPr>
                <w:color w:val="000000"/>
                <w:sz w:val="14"/>
                <w:szCs w:val="14"/>
                <w:lang w:val="en-US"/>
              </w:rPr>
              <w:t>GR26</w:t>
            </w:r>
          </w:p>
        </w:tc>
        <w:tc>
          <w:tcPr>
            <w:tcW w:w="1342" w:type="dxa"/>
            <w:noWrap/>
            <w:vAlign w:val="center"/>
            <w:hideMark/>
          </w:tcPr>
          <w:p w14:paraId="35F887D2"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1A7F65F9" w14:textId="77777777" w:rsidR="00F3536C" w:rsidRPr="00A4272B" w:rsidRDefault="00F3536C" w:rsidP="00A41632">
            <w:pPr>
              <w:jc w:val="right"/>
              <w:rPr>
                <w:color w:val="000000"/>
                <w:sz w:val="14"/>
                <w:szCs w:val="14"/>
                <w:lang w:val="en-US"/>
              </w:rPr>
            </w:pPr>
            <w:r w:rsidRPr="00A4272B">
              <w:rPr>
                <w:color w:val="000000"/>
                <w:sz w:val="14"/>
                <w:szCs w:val="14"/>
                <w:lang w:val="en-US"/>
              </w:rPr>
              <w:t>-25.085132</w:t>
            </w:r>
          </w:p>
        </w:tc>
        <w:tc>
          <w:tcPr>
            <w:tcW w:w="998" w:type="dxa"/>
            <w:noWrap/>
            <w:vAlign w:val="center"/>
            <w:hideMark/>
          </w:tcPr>
          <w:p w14:paraId="2477BD67" w14:textId="77777777" w:rsidR="00F3536C" w:rsidRPr="00A4272B" w:rsidRDefault="00F3536C" w:rsidP="00A41632">
            <w:pPr>
              <w:jc w:val="right"/>
              <w:rPr>
                <w:color w:val="000000"/>
                <w:sz w:val="14"/>
                <w:szCs w:val="14"/>
                <w:lang w:val="en-US"/>
              </w:rPr>
            </w:pPr>
            <w:r w:rsidRPr="00A4272B">
              <w:rPr>
                <w:color w:val="000000"/>
                <w:sz w:val="14"/>
                <w:szCs w:val="14"/>
                <w:lang w:val="en-US"/>
              </w:rPr>
              <w:t>-66.126223</w:t>
            </w:r>
          </w:p>
        </w:tc>
        <w:tc>
          <w:tcPr>
            <w:tcW w:w="859" w:type="dxa"/>
            <w:tcBorders>
              <w:top w:val="nil"/>
              <w:left w:val="nil"/>
              <w:bottom w:val="nil"/>
              <w:right w:val="single" w:sz="8" w:space="0" w:color="auto"/>
            </w:tcBorders>
            <w:noWrap/>
            <w:vAlign w:val="center"/>
            <w:hideMark/>
          </w:tcPr>
          <w:p w14:paraId="20A9D7E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ECBCD2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B8AE32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A3A3F8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7A382B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6D9B51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905FA32"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6C91124F" w14:textId="77777777" w:rsidTr="00A41632">
        <w:trPr>
          <w:trHeight w:val="276"/>
          <w:jc w:val="center"/>
        </w:trPr>
        <w:tc>
          <w:tcPr>
            <w:tcW w:w="955" w:type="dxa"/>
            <w:tcBorders>
              <w:top w:val="nil"/>
              <w:left w:val="single" w:sz="8" w:space="0" w:color="auto"/>
              <w:bottom w:val="nil"/>
              <w:right w:val="nil"/>
            </w:tcBorders>
            <w:noWrap/>
            <w:vAlign w:val="center"/>
            <w:hideMark/>
          </w:tcPr>
          <w:p w14:paraId="17D6274D"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0DAE7EEE" w14:textId="77777777" w:rsidR="00F3536C" w:rsidRPr="00A4272B" w:rsidRDefault="00F3536C" w:rsidP="00A41632">
            <w:pPr>
              <w:rPr>
                <w:color w:val="000000"/>
                <w:sz w:val="14"/>
                <w:szCs w:val="14"/>
                <w:lang w:val="en-US"/>
              </w:rPr>
            </w:pPr>
            <w:r w:rsidRPr="00A4272B">
              <w:rPr>
                <w:color w:val="000000"/>
                <w:sz w:val="14"/>
                <w:szCs w:val="14"/>
                <w:lang w:val="en-US"/>
              </w:rPr>
              <w:t>Barbados</w:t>
            </w:r>
          </w:p>
        </w:tc>
        <w:tc>
          <w:tcPr>
            <w:tcW w:w="2504" w:type="dxa"/>
            <w:noWrap/>
            <w:vAlign w:val="center"/>
            <w:hideMark/>
          </w:tcPr>
          <w:p w14:paraId="7A482EA6" w14:textId="77777777" w:rsidR="00F3536C" w:rsidRPr="00A4272B" w:rsidRDefault="00F3536C" w:rsidP="00A41632">
            <w:pPr>
              <w:rPr>
                <w:color w:val="000000"/>
                <w:sz w:val="14"/>
                <w:szCs w:val="14"/>
                <w:lang w:val="en-US"/>
              </w:rPr>
            </w:pPr>
            <w:r w:rsidRPr="00A4272B">
              <w:rPr>
                <w:color w:val="000000"/>
                <w:sz w:val="14"/>
                <w:szCs w:val="14"/>
                <w:lang w:val="en-US"/>
              </w:rPr>
              <w:t>Ragged Point, St. Philip</w:t>
            </w:r>
          </w:p>
        </w:tc>
        <w:tc>
          <w:tcPr>
            <w:tcW w:w="998" w:type="dxa"/>
            <w:noWrap/>
            <w:vAlign w:val="center"/>
            <w:hideMark/>
          </w:tcPr>
          <w:p w14:paraId="3E328D5E" w14:textId="77777777" w:rsidR="00F3536C" w:rsidRPr="00A4272B" w:rsidRDefault="00F3536C" w:rsidP="00A41632">
            <w:pPr>
              <w:jc w:val="center"/>
              <w:rPr>
                <w:color w:val="000000"/>
                <w:sz w:val="14"/>
                <w:szCs w:val="14"/>
                <w:lang w:val="en-US"/>
              </w:rPr>
            </w:pPr>
            <w:r w:rsidRPr="00A4272B">
              <w:rPr>
                <w:color w:val="000000"/>
                <w:sz w:val="14"/>
                <w:szCs w:val="14"/>
                <w:lang w:val="en-US"/>
              </w:rPr>
              <w:t>GR12</w:t>
            </w:r>
          </w:p>
        </w:tc>
        <w:tc>
          <w:tcPr>
            <w:tcW w:w="1342" w:type="dxa"/>
            <w:noWrap/>
            <w:vAlign w:val="center"/>
            <w:hideMark/>
          </w:tcPr>
          <w:p w14:paraId="34661AC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C1D1C27" w14:textId="77777777" w:rsidR="00F3536C" w:rsidRPr="00A4272B" w:rsidRDefault="00F3536C" w:rsidP="00A41632">
            <w:pPr>
              <w:jc w:val="right"/>
              <w:rPr>
                <w:color w:val="000000"/>
                <w:sz w:val="14"/>
                <w:szCs w:val="14"/>
                <w:lang w:val="en-US"/>
              </w:rPr>
            </w:pPr>
            <w:r w:rsidRPr="00A4272B">
              <w:rPr>
                <w:color w:val="000000"/>
                <w:sz w:val="14"/>
                <w:szCs w:val="14"/>
                <w:lang w:val="en-US"/>
              </w:rPr>
              <w:t>13.165051</w:t>
            </w:r>
          </w:p>
        </w:tc>
        <w:tc>
          <w:tcPr>
            <w:tcW w:w="998" w:type="dxa"/>
            <w:noWrap/>
            <w:vAlign w:val="center"/>
            <w:hideMark/>
          </w:tcPr>
          <w:p w14:paraId="13CDED4C" w14:textId="77777777" w:rsidR="00F3536C" w:rsidRPr="00A4272B" w:rsidRDefault="00F3536C" w:rsidP="00A41632">
            <w:pPr>
              <w:jc w:val="right"/>
              <w:rPr>
                <w:color w:val="000000"/>
                <w:sz w:val="14"/>
                <w:szCs w:val="14"/>
                <w:lang w:val="en-US"/>
              </w:rPr>
            </w:pPr>
            <w:r w:rsidRPr="00A4272B">
              <w:rPr>
                <w:color w:val="000000"/>
                <w:sz w:val="14"/>
                <w:szCs w:val="14"/>
                <w:lang w:val="en-US"/>
              </w:rPr>
              <w:t>-59.432151</w:t>
            </w:r>
          </w:p>
        </w:tc>
        <w:tc>
          <w:tcPr>
            <w:tcW w:w="859" w:type="dxa"/>
            <w:tcBorders>
              <w:top w:val="nil"/>
              <w:left w:val="nil"/>
              <w:bottom w:val="nil"/>
              <w:right w:val="single" w:sz="8" w:space="0" w:color="auto"/>
            </w:tcBorders>
            <w:noWrap/>
            <w:vAlign w:val="center"/>
            <w:hideMark/>
          </w:tcPr>
          <w:p w14:paraId="5E152A04" w14:textId="77777777" w:rsidR="00F3536C" w:rsidRPr="00A4272B" w:rsidRDefault="00F3536C" w:rsidP="00A41632">
            <w:pPr>
              <w:jc w:val="center"/>
              <w:rPr>
                <w:color w:val="000000"/>
                <w:sz w:val="14"/>
                <w:szCs w:val="14"/>
                <w:lang w:val="en-US"/>
              </w:rPr>
            </w:pPr>
            <w:r w:rsidRPr="00A4272B">
              <w:rPr>
                <w:color w:val="000000"/>
                <w:sz w:val="14"/>
                <w:szCs w:val="14"/>
                <w:lang w:val="en-US"/>
              </w:rPr>
              <w:t>0</w:t>
            </w:r>
          </w:p>
        </w:tc>
        <w:tc>
          <w:tcPr>
            <w:tcW w:w="792" w:type="dxa"/>
            <w:noWrap/>
            <w:vAlign w:val="center"/>
            <w:hideMark/>
          </w:tcPr>
          <w:p w14:paraId="6CF9B82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31A0B0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924FB9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AD545C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2E275F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4D3CDF6"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084F3F5C" w14:textId="77777777" w:rsidTr="00A41632">
        <w:trPr>
          <w:trHeight w:val="276"/>
          <w:jc w:val="center"/>
        </w:trPr>
        <w:tc>
          <w:tcPr>
            <w:tcW w:w="955" w:type="dxa"/>
            <w:tcBorders>
              <w:top w:val="nil"/>
              <w:left w:val="single" w:sz="8" w:space="0" w:color="auto"/>
              <w:bottom w:val="nil"/>
              <w:right w:val="nil"/>
            </w:tcBorders>
            <w:noWrap/>
            <w:vAlign w:val="center"/>
            <w:hideMark/>
          </w:tcPr>
          <w:p w14:paraId="14784688"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5367D2F" w14:textId="77777777" w:rsidR="00F3536C" w:rsidRPr="00A4272B" w:rsidRDefault="00F3536C" w:rsidP="00A41632">
            <w:pPr>
              <w:rPr>
                <w:color w:val="000000"/>
                <w:sz w:val="14"/>
                <w:szCs w:val="14"/>
                <w:lang w:val="en-US"/>
              </w:rPr>
            </w:pPr>
            <w:r w:rsidRPr="00A4272B">
              <w:rPr>
                <w:color w:val="000000"/>
                <w:sz w:val="14"/>
                <w:szCs w:val="14"/>
                <w:lang w:val="en-US"/>
              </w:rPr>
              <w:t>Bermuda</w:t>
            </w:r>
          </w:p>
        </w:tc>
        <w:tc>
          <w:tcPr>
            <w:tcW w:w="2504" w:type="dxa"/>
            <w:noWrap/>
            <w:vAlign w:val="center"/>
            <w:hideMark/>
          </w:tcPr>
          <w:p w14:paraId="766D7399" w14:textId="77777777" w:rsidR="00F3536C" w:rsidRPr="00A4272B" w:rsidRDefault="00F3536C" w:rsidP="00A41632">
            <w:pPr>
              <w:rPr>
                <w:color w:val="000000"/>
                <w:sz w:val="14"/>
                <w:szCs w:val="14"/>
                <w:lang w:val="en-US"/>
              </w:rPr>
            </w:pPr>
            <w:r w:rsidRPr="00A4272B">
              <w:rPr>
                <w:color w:val="000000"/>
                <w:sz w:val="14"/>
                <w:szCs w:val="14"/>
                <w:lang w:val="en-US"/>
              </w:rPr>
              <w:t>Tudor Hill</w:t>
            </w:r>
          </w:p>
        </w:tc>
        <w:tc>
          <w:tcPr>
            <w:tcW w:w="998" w:type="dxa"/>
            <w:noWrap/>
            <w:vAlign w:val="center"/>
            <w:hideMark/>
          </w:tcPr>
          <w:p w14:paraId="5FF8BAA1" w14:textId="77777777" w:rsidR="00F3536C" w:rsidRPr="00A4272B" w:rsidRDefault="00F3536C" w:rsidP="00A41632">
            <w:pPr>
              <w:jc w:val="center"/>
              <w:rPr>
                <w:color w:val="000000"/>
                <w:sz w:val="14"/>
                <w:szCs w:val="14"/>
                <w:lang w:val="en-US"/>
              </w:rPr>
            </w:pPr>
            <w:r w:rsidRPr="00A4272B">
              <w:rPr>
                <w:color w:val="000000"/>
                <w:sz w:val="14"/>
                <w:szCs w:val="14"/>
                <w:lang w:val="en-US"/>
              </w:rPr>
              <w:t>WE12</w:t>
            </w:r>
          </w:p>
        </w:tc>
        <w:tc>
          <w:tcPr>
            <w:tcW w:w="1342" w:type="dxa"/>
            <w:noWrap/>
            <w:vAlign w:val="center"/>
            <w:hideMark/>
          </w:tcPr>
          <w:p w14:paraId="641C8AAD"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36010709" w14:textId="77777777" w:rsidR="00F3536C" w:rsidRPr="00A4272B" w:rsidRDefault="00F3536C" w:rsidP="00A41632">
            <w:pPr>
              <w:jc w:val="right"/>
              <w:rPr>
                <w:color w:val="000000"/>
                <w:sz w:val="14"/>
                <w:szCs w:val="14"/>
                <w:lang w:val="en-US"/>
              </w:rPr>
            </w:pPr>
            <w:r w:rsidRPr="00A4272B">
              <w:rPr>
                <w:color w:val="000000"/>
                <w:sz w:val="14"/>
                <w:szCs w:val="14"/>
                <w:lang w:val="en-US"/>
              </w:rPr>
              <w:t>32.366667</w:t>
            </w:r>
          </w:p>
        </w:tc>
        <w:tc>
          <w:tcPr>
            <w:tcW w:w="998" w:type="dxa"/>
            <w:noWrap/>
            <w:vAlign w:val="center"/>
            <w:hideMark/>
          </w:tcPr>
          <w:p w14:paraId="6077A53B" w14:textId="77777777" w:rsidR="00F3536C" w:rsidRPr="00A4272B" w:rsidRDefault="00F3536C" w:rsidP="00A41632">
            <w:pPr>
              <w:jc w:val="right"/>
              <w:rPr>
                <w:color w:val="000000"/>
                <w:sz w:val="14"/>
                <w:szCs w:val="14"/>
                <w:lang w:val="en-US"/>
              </w:rPr>
            </w:pPr>
            <w:r w:rsidRPr="00A4272B">
              <w:rPr>
                <w:color w:val="000000"/>
                <w:sz w:val="14"/>
                <w:szCs w:val="14"/>
                <w:lang w:val="en-US"/>
              </w:rPr>
              <w:t>-64.650000</w:t>
            </w:r>
          </w:p>
        </w:tc>
        <w:tc>
          <w:tcPr>
            <w:tcW w:w="859" w:type="dxa"/>
            <w:tcBorders>
              <w:top w:val="nil"/>
              <w:left w:val="nil"/>
              <w:bottom w:val="nil"/>
              <w:right w:val="single" w:sz="8" w:space="0" w:color="auto"/>
            </w:tcBorders>
            <w:noWrap/>
            <w:vAlign w:val="center"/>
            <w:hideMark/>
          </w:tcPr>
          <w:p w14:paraId="690AB4C7" w14:textId="77777777" w:rsidR="00F3536C" w:rsidRPr="00A4272B" w:rsidRDefault="00F3536C" w:rsidP="00A41632">
            <w:pPr>
              <w:jc w:val="center"/>
              <w:rPr>
                <w:color w:val="000000"/>
                <w:sz w:val="14"/>
                <w:szCs w:val="14"/>
                <w:lang w:val="en-US"/>
              </w:rPr>
            </w:pPr>
            <w:r w:rsidRPr="00A4272B">
              <w:rPr>
                <w:color w:val="000000"/>
                <w:sz w:val="14"/>
                <w:szCs w:val="14"/>
                <w:lang w:val="en-US"/>
              </w:rPr>
              <w:t>24</w:t>
            </w:r>
          </w:p>
        </w:tc>
        <w:tc>
          <w:tcPr>
            <w:tcW w:w="792" w:type="dxa"/>
            <w:noWrap/>
            <w:vAlign w:val="center"/>
            <w:hideMark/>
          </w:tcPr>
          <w:p w14:paraId="5AC6292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F25CED3"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87C790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A3CC01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7A1059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575F911F"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74D8BF0F" w14:textId="77777777" w:rsidTr="00A41632">
        <w:trPr>
          <w:trHeight w:val="276"/>
          <w:jc w:val="center"/>
        </w:trPr>
        <w:tc>
          <w:tcPr>
            <w:tcW w:w="955" w:type="dxa"/>
            <w:tcBorders>
              <w:top w:val="nil"/>
              <w:left w:val="single" w:sz="8" w:space="0" w:color="auto"/>
              <w:bottom w:val="nil"/>
              <w:right w:val="nil"/>
            </w:tcBorders>
            <w:noWrap/>
            <w:vAlign w:val="center"/>
            <w:hideMark/>
          </w:tcPr>
          <w:p w14:paraId="633E71E1"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DA3AD30" w14:textId="77777777" w:rsidR="00F3536C" w:rsidRPr="00A4272B" w:rsidRDefault="00F3536C" w:rsidP="00A41632">
            <w:pPr>
              <w:rPr>
                <w:color w:val="000000"/>
                <w:sz w:val="14"/>
                <w:szCs w:val="14"/>
                <w:lang w:val="en-US"/>
              </w:rPr>
            </w:pPr>
            <w:r w:rsidRPr="00A4272B">
              <w:rPr>
                <w:color w:val="000000"/>
                <w:sz w:val="14"/>
                <w:szCs w:val="14"/>
                <w:lang w:val="en-US"/>
              </w:rPr>
              <w:t>Bolivia</w:t>
            </w:r>
          </w:p>
        </w:tc>
        <w:tc>
          <w:tcPr>
            <w:tcW w:w="2504" w:type="dxa"/>
            <w:noWrap/>
            <w:vAlign w:val="center"/>
            <w:hideMark/>
          </w:tcPr>
          <w:p w14:paraId="3B37EC38" w14:textId="77777777" w:rsidR="00F3536C" w:rsidRPr="00A4272B" w:rsidRDefault="00F3536C" w:rsidP="00A41632">
            <w:pPr>
              <w:rPr>
                <w:color w:val="000000"/>
                <w:sz w:val="14"/>
                <w:szCs w:val="14"/>
                <w:lang w:val="en-US"/>
              </w:rPr>
            </w:pPr>
            <w:r w:rsidRPr="00A4272B">
              <w:rPr>
                <w:color w:val="000000"/>
                <w:sz w:val="14"/>
                <w:szCs w:val="14"/>
                <w:lang w:val="en-US"/>
              </w:rPr>
              <w:t>Chacaltaya</w:t>
            </w:r>
          </w:p>
        </w:tc>
        <w:tc>
          <w:tcPr>
            <w:tcW w:w="998" w:type="dxa"/>
            <w:noWrap/>
            <w:vAlign w:val="center"/>
            <w:hideMark/>
          </w:tcPr>
          <w:p w14:paraId="6B6DFBD4" w14:textId="77777777" w:rsidR="00F3536C" w:rsidRPr="00A4272B" w:rsidRDefault="00F3536C" w:rsidP="00A41632">
            <w:pPr>
              <w:jc w:val="center"/>
              <w:rPr>
                <w:color w:val="000000"/>
                <w:sz w:val="14"/>
                <w:szCs w:val="14"/>
                <w:lang w:val="en-US"/>
              </w:rPr>
            </w:pPr>
            <w:r w:rsidRPr="00A4272B">
              <w:rPr>
                <w:color w:val="000000"/>
                <w:sz w:val="14"/>
                <w:szCs w:val="14"/>
                <w:lang w:val="en-US"/>
              </w:rPr>
              <w:t>GR29</w:t>
            </w:r>
          </w:p>
        </w:tc>
        <w:tc>
          <w:tcPr>
            <w:tcW w:w="1342" w:type="dxa"/>
            <w:noWrap/>
            <w:vAlign w:val="center"/>
            <w:hideMark/>
          </w:tcPr>
          <w:p w14:paraId="7562EBE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F00C85E" w14:textId="77777777" w:rsidR="00F3536C" w:rsidRPr="00A4272B" w:rsidRDefault="00F3536C" w:rsidP="00A41632">
            <w:pPr>
              <w:jc w:val="right"/>
              <w:rPr>
                <w:color w:val="000000"/>
                <w:sz w:val="14"/>
                <w:szCs w:val="14"/>
                <w:lang w:val="en-US"/>
              </w:rPr>
            </w:pPr>
            <w:r w:rsidRPr="00A4272B">
              <w:rPr>
                <w:color w:val="000000"/>
                <w:sz w:val="14"/>
                <w:szCs w:val="14"/>
                <w:lang w:val="en-US"/>
              </w:rPr>
              <w:t>-16.210000</w:t>
            </w:r>
          </w:p>
        </w:tc>
        <w:tc>
          <w:tcPr>
            <w:tcW w:w="998" w:type="dxa"/>
            <w:noWrap/>
            <w:vAlign w:val="center"/>
            <w:hideMark/>
          </w:tcPr>
          <w:p w14:paraId="0C13BB0F" w14:textId="77777777" w:rsidR="00F3536C" w:rsidRPr="00A4272B" w:rsidRDefault="00F3536C" w:rsidP="00A41632">
            <w:pPr>
              <w:jc w:val="right"/>
              <w:rPr>
                <w:color w:val="000000"/>
                <w:sz w:val="14"/>
                <w:szCs w:val="14"/>
                <w:lang w:val="en-US"/>
              </w:rPr>
            </w:pPr>
            <w:r w:rsidRPr="00A4272B">
              <w:rPr>
                <w:color w:val="000000"/>
                <w:sz w:val="14"/>
                <w:szCs w:val="14"/>
                <w:lang w:val="en-US"/>
              </w:rPr>
              <w:t>-68.080000</w:t>
            </w:r>
          </w:p>
        </w:tc>
        <w:tc>
          <w:tcPr>
            <w:tcW w:w="859" w:type="dxa"/>
            <w:tcBorders>
              <w:top w:val="nil"/>
              <w:left w:val="nil"/>
              <w:bottom w:val="nil"/>
              <w:right w:val="single" w:sz="8" w:space="0" w:color="auto"/>
            </w:tcBorders>
            <w:noWrap/>
            <w:vAlign w:val="center"/>
            <w:hideMark/>
          </w:tcPr>
          <w:p w14:paraId="6BFBDA21" w14:textId="77777777" w:rsidR="00F3536C" w:rsidRPr="00A4272B" w:rsidRDefault="00F3536C" w:rsidP="00A41632">
            <w:pPr>
              <w:jc w:val="center"/>
              <w:rPr>
                <w:color w:val="000000"/>
                <w:sz w:val="14"/>
                <w:szCs w:val="14"/>
                <w:lang w:val="en-US"/>
              </w:rPr>
            </w:pPr>
            <w:r w:rsidRPr="00A4272B">
              <w:rPr>
                <w:color w:val="000000"/>
                <w:sz w:val="14"/>
                <w:szCs w:val="14"/>
                <w:lang w:val="en-US"/>
              </w:rPr>
              <w:t>5240</w:t>
            </w:r>
          </w:p>
        </w:tc>
        <w:tc>
          <w:tcPr>
            <w:tcW w:w="792" w:type="dxa"/>
            <w:noWrap/>
            <w:vAlign w:val="center"/>
            <w:hideMark/>
          </w:tcPr>
          <w:p w14:paraId="37EC203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89CE47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5F5F7E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83371B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89F5B4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47E1ADA"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6CEC083A" w14:textId="77777777" w:rsidTr="00A41632">
        <w:trPr>
          <w:trHeight w:val="276"/>
          <w:jc w:val="center"/>
        </w:trPr>
        <w:tc>
          <w:tcPr>
            <w:tcW w:w="955" w:type="dxa"/>
            <w:tcBorders>
              <w:top w:val="nil"/>
              <w:left w:val="single" w:sz="8" w:space="0" w:color="auto"/>
              <w:bottom w:val="nil"/>
              <w:right w:val="nil"/>
            </w:tcBorders>
            <w:noWrap/>
            <w:vAlign w:val="center"/>
            <w:hideMark/>
          </w:tcPr>
          <w:p w14:paraId="3A26A68C"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7D02BB0"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0828EF2F" w14:textId="77777777" w:rsidR="00F3536C" w:rsidRPr="00A4272B" w:rsidRDefault="00F3536C" w:rsidP="00A41632">
            <w:pPr>
              <w:rPr>
                <w:color w:val="000000"/>
                <w:sz w:val="14"/>
                <w:szCs w:val="14"/>
                <w:lang w:val="en-US"/>
              </w:rPr>
            </w:pPr>
            <w:r w:rsidRPr="00A4272B">
              <w:rPr>
                <w:color w:val="000000"/>
                <w:sz w:val="14"/>
                <w:szCs w:val="14"/>
                <w:lang w:val="en-US"/>
              </w:rPr>
              <w:t>Itatiaia</w:t>
            </w:r>
          </w:p>
        </w:tc>
        <w:tc>
          <w:tcPr>
            <w:tcW w:w="998" w:type="dxa"/>
            <w:noWrap/>
            <w:vAlign w:val="center"/>
            <w:hideMark/>
          </w:tcPr>
          <w:p w14:paraId="256C9573" w14:textId="77777777" w:rsidR="00F3536C" w:rsidRPr="00A4272B" w:rsidRDefault="00F3536C" w:rsidP="00A41632">
            <w:pPr>
              <w:jc w:val="center"/>
              <w:rPr>
                <w:color w:val="000000"/>
                <w:sz w:val="14"/>
                <w:szCs w:val="14"/>
                <w:lang w:val="en-US"/>
              </w:rPr>
            </w:pPr>
            <w:r w:rsidRPr="00A4272B">
              <w:rPr>
                <w:color w:val="000000"/>
                <w:sz w:val="14"/>
                <w:szCs w:val="14"/>
                <w:lang w:val="en-US"/>
              </w:rPr>
              <w:t>GR25</w:t>
            </w:r>
          </w:p>
        </w:tc>
        <w:tc>
          <w:tcPr>
            <w:tcW w:w="1342" w:type="dxa"/>
            <w:noWrap/>
            <w:vAlign w:val="center"/>
            <w:hideMark/>
          </w:tcPr>
          <w:p w14:paraId="51AE192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F086FE6" w14:textId="77777777" w:rsidR="00F3536C" w:rsidRPr="00A4272B" w:rsidRDefault="00F3536C" w:rsidP="00A41632">
            <w:pPr>
              <w:jc w:val="right"/>
              <w:rPr>
                <w:color w:val="000000"/>
                <w:sz w:val="14"/>
                <w:szCs w:val="14"/>
                <w:lang w:val="en-US"/>
              </w:rPr>
            </w:pPr>
            <w:r w:rsidRPr="00A4272B">
              <w:rPr>
                <w:color w:val="000000"/>
                <w:sz w:val="14"/>
                <w:szCs w:val="14"/>
                <w:lang w:val="en-US"/>
              </w:rPr>
              <w:t>-22.385833</w:t>
            </w:r>
          </w:p>
        </w:tc>
        <w:tc>
          <w:tcPr>
            <w:tcW w:w="998" w:type="dxa"/>
            <w:noWrap/>
            <w:vAlign w:val="center"/>
            <w:hideMark/>
          </w:tcPr>
          <w:p w14:paraId="21B985E6" w14:textId="77777777" w:rsidR="00F3536C" w:rsidRPr="00A4272B" w:rsidRDefault="00F3536C" w:rsidP="00A41632">
            <w:pPr>
              <w:jc w:val="right"/>
              <w:rPr>
                <w:color w:val="000000"/>
                <w:sz w:val="14"/>
                <w:szCs w:val="14"/>
                <w:lang w:val="en-US"/>
              </w:rPr>
            </w:pPr>
            <w:r w:rsidRPr="00A4272B">
              <w:rPr>
                <w:color w:val="000000"/>
                <w:sz w:val="14"/>
                <w:szCs w:val="14"/>
                <w:lang w:val="en-US"/>
              </w:rPr>
              <w:t>-44.678889</w:t>
            </w:r>
          </w:p>
        </w:tc>
        <w:tc>
          <w:tcPr>
            <w:tcW w:w="859" w:type="dxa"/>
            <w:tcBorders>
              <w:top w:val="nil"/>
              <w:left w:val="nil"/>
              <w:bottom w:val="nil"/>
              <w:right w:val="single" w:sz="8" w:space="0" w:color="auto"/>
            </w:tcBorders>
            <w:noWrap/>
            <w:vAlign w:val="center"/>
            <w:hideMark/>
          </w:tcPr>
          <w:p w14:paraId="65529CFF" w14:textId="77777777" w:rsidR="00F3536C" w:rsidRPr="00A4272B" w:rsidRDefault="00F3536C" w:rsidP="00A41632">
            <w:pPr>
              <w:jc w:val="center"/>
              <w:rPr>
                <w:color w:val="000000"/>
                <w:sz w:val="14"/>
                <w:szCs w:val="14"/>
                <w:lang w:val="en-US"/>
              </w:rPr>
            </w:pPr>
            <w:r w:rsidRPr="00A4272B">
              <w:rPr>
                <w:color w:val="000000"/>
                <w:sz w:val="14"/>
                <w:szCs w:val="14"/>
                <w:lang w:val="en-US"/>
              </w:rPr>
              <w:t>2400</w:t>
            </w:r>
          </w:p>
        </w:tc>
        <w:tc>
          <w:tcPr>
            <w:tcW w:w="792" w:type="dxa"/>
            <w:noWrap/>
            <w:vAlign w:val="center"/>
            <w:hideMark/>
          </w:tcPr>
          <w:p w14:paraId="2D5DD7A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427D70D"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771C0F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204F397"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301A74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7179E8FC" w14:textId="77777777" w:rsidR="00F3536C" w:rsidRPr="00A4272B" w:rsidRDefault="00F3536C" w:rsidP="00A41632">
            <w:pPr>
              <w:jc w:val="center"/>
              <w:rPr>
                <w:sz w:val="14"/>
                <w:szCs w:val="14"/>
                <w:lang w:val="en-US"/>
              </w:rPr>
            </w:pPr>
            <w:r w:rsidRPr="00A4272B">
              <w:rPr>
                <w:sz w:val="14"/>
                <w:szCs w:val="14"/>
                <w:lang w:val="en-US"/>
              </w:rPr>
              <w:t>2014</w:t>
            </w:r>
          </w:p>
        </w:tc>
      </w:tr>
      <w:tr w:rsidR="00F3536C" w:rsidRPr="00A4272B" w14:paraId="75BA2405" w14:textId="77777777" w:rsidTr="00A41632">
        <w:trPr>
          <w:trHeight w:val="276"/>
          <w:jc w:val="center"/>
        </w:trPr>
        <w:tc>
          <w:tcPr>
            <w:tcW w:w="955" w:type="dxa"/>
            <w:tcBorders>
              <w:top w:val="nil"/>
              <w:left w:val="single" w:sz="8" w:space="0" w:color="auto"/>
              <w:bottom w:val="nil"/>
              <w:right w:val="nil"/>
            </w:tcBorders>
            <w:noWrap/>
            <w:vAlign w:val="center"/>
            <w:hideMark/>
          </w:tcPr>
          <w:p w14:paraId="36049394"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89E6E01"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20EF0304" w14:textId="77777777" w:rsidR="00F3536C" w:rsidRPr="00A4272B" w:rsidRDefault="00F3536C" w:rsidP="00A41632">
            <w:pPr>
              <w:rPr>
                <w:color w:val="000000"/>
                <w:sz w:val="14"/>
                <w:szCs w:val="14"/>
                <w:lang w:val="en-US"/>
              </w:rPr>
            </w:pPr>
            <w:r w:rsidRPr="00A4272B">
              <w:rPr>
                <w:color w:val="000000"/>
                <w:sz w:val="14"/>
                <w:szCs w:val="14"/>
                <w:lang w:val="en-US"/>
              </w:rPr>
              <w:t>São José dos Ausentes</w:t>
            </w:r>
          </w:p>
        </w:tc>
        <w:tc>
          <w:tcPr>
            <w:tcW w:w="998" w:type="dxa"/>
            <w:noWrap/>
            <w:vAlign w:val="center"/>
            <w:hideMark/>
          </w:tcPr>
          <w:p w14:paraId="0C538474" w14:textId="77777777" w:rsidR="00F3536C" w:rsidRPr="00A4272B" w:rsidRDefault="00F3536C" w:rsidP="00A41632">
            <w:pPr>
              <w:jc w:val="center"/>
              <w:rPr>
                <w:color w:val="000000"/>
                <w:sz w:val="14"/>
                <w:szCs w:val="14"/>
                <w:lang w:val="en-US"/>
              </w:rPr>
            </w:pPr>
            <w:r w:rsidRPr="00A4272B">
              <w:rPr>
                <w:color w:val="000000"/>
                <w:sz w:val="14"/>
                <w:szCs w:val="14"/>
                <w:lang w:val="en-US"/>
              </w:rPr>
              <w:t>GR24</w:t>
            </w:r>
          </w:p>
        </w:tc>
        <w:tc>
          <w:tcPr>
            <w:tcW w:w="1342" w:type="dxa"/>
            <w:noWrap/>
            <w:vAlign w:val="center"/>
            <w:hideMark/>
          </w:tcPr>
          <w:p w14:paraId="7B0CFB01"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3C063D4A" w14:textId="77777777" w:rsidR="00F3536C" w:rsidRPr="00A4272B" w:rsidRDefault="00F3536C" w:rsidP="00A41632">
            <w:pPr>
              <w:jc w:val="right"/>
              <w:rPr>
                <w:color w:val="000000"/>
                <w:sz w:val="14"/>
                <w:szCs w:val="14"/>
                <w:lang w:val="en-US"/>
              </w:rPr>
            </w:pPr>
            <w:r w:rsidRPr="00A4272B">
              <w:rPr>
                <w:color w:val="000000"/>
                <w:sz w:val="14"/>
                <w:szCs w:val="14"/>
                <w:lang w:val="en-US"/>
              </w:rPr>
              <w:t>-28.594170</w:t>
            </w:r>
          </w:p>
        </w:tc>
        <w:tc>
          <w:tcPr>
            <w:tcW w:w="998" w:type="dxa"/>
            <w:noWrap/>
            <w:vAlign w:val="center"/>
            <w:hideMark/>
          </w:tcPr>
          <w:p w14:paraId="566A1753" w14:textId="77777777" w:rsidR="00F3536C" w:rsidRPr="00A4272B" w:rsidRDefault="00F3536C" w:rsidP="00A41632">
            <w:pPr>
              <w:jc w:val="right"/>
              <w:rPr>
                <w:color w:val="000000"/>
                <w:sz w:val="14"/>
                <w:szCs w:val="14"/>
                <w:lang w:val="en-US"/>
              </w:rPr>
            </w:pPr>
            <w:r w:rsidRPr="00A4272B">
              <w:rPr>
                <w:color w:val="000000"/>
                <w:sz w:val="14"/>
                <w:szCs w:val="14"/>
                <w:lang w:val="en-US"/>
              </w:rPr>
              <w:t>-49.818590</w:t>
            </w:r>
          </w:p>
        </w:tc>
        <w:tc>
          <w:tcPr>
            <w:tcW w:w="859" w:type="dxa"/>
            <w:tcBorders>
              <w:top w:val="nil"/>
              <w:left w:val="nil"/>
              <w:bottom w:val="nil"/>
              <w:right w:val="single" w:sz="8" w:space="0" w:color="auto"/>
            </w:tcBorders>
            <w:noWrap/>
            <w:vAlign w:val="center"/>
            <w:hideMark/>
          </w:tcPr>
          <w:p w14:paraId="3F0DA405" w14:textId="77777777" w:rsidR="00F3536C" w:rsidRPr="00A4272B" w:rsidRDefault="00F3536C" w:rsidP="00A41632">
            <w:pPr>
              <w:jc w:val="center"/>
              <w:rPr>
                <w:color w:val="000000"/>
                <w:sz w:val="14"/>
                <w:szCs w:val="14"/>
                <w:lang w:val="en-US"/>
              </w:rPr>
            </w:pPr>
            <w:r w:rsidRPr="00A4272B">
              <w:rPr>
                <w:color w:val="000000"/>
                <w:sz w:val="14"/>
                <w:szCs w:val="14"/>
                <w:lang w:val="en-US"/>
              </w:rPr>
              <w:t>1270</w:t>
            </w:r>
          </w:p>
        </w:tc>
        <w:tc>
          <w:tcPr>
            <w:tcW w:w="792" w:type="dxa"/>
            <w:noWrap/>
            <w:vAlign w:val="center"/>
            <w:hideMark/>
          </w:tcPr>
          <w:p w14:paraId="095A17A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0493DB9"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4D1D1E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06F444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379AD68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A2482C9" w14:textId="77777777" w:rsidR="00F3536C" w:rsidRPr="00A4272B" w:rsidRDefault="00F3536C" w:rsidP="00A41632">
            <w:pPr>
              <w:jc w:val="center"/>
              <w:rPr>
                <w:sz w:val="14"/>
                <w:szCs w:val="14"/>
                <w:lang w:val="en-US"/>
              </w:rPr>
            </w:pPr>
            <w:r w:rsidRPr="00A4272B">
              <w:rPr>
                <w:sz w:val="14"/>
                <w:szCs w:val="14"/>
                <w:lang w:val="en-US"/>
              </w:rPr>
              <w:t>2012</w:t>
            </w:r>
          </w:p>
        </w:tc>
      </w:tr>
      <w:tr w:rsidR="00F3536C" w:rsidRPr="00A4272B" w14:paraId="6F9A7830" w14:textId="77777777" w:rsidTr="00A41632">
        <w:trPr>
          <w:trHeight w:val="276"/>
          <w:jc w:val="center"/>
        </w:trPr>
        <w:tc>
          <w:tcPr>
            <w:tcW w:w="955" w:type="dxa"/>
            <w:tcBorders>
              <w:top w:val="nil"/>
              <w:left w:val="single" w:sz="8" w:space="0" w:color="auto"/>
              <w:bottom w:val="nil"/>
              <w:right w:val="nil"/>
            </w:tcBorders>
            <w:noWrap/>
            <w:vAlign w:val="center"/>
            <w:hideMark/>
          </w:tcPr>
          <w:p w14:paraId="0104CD34"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30410142"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48DA11C0" w14:textId="77777777" w:rsidR="00F3536C" w:rsidRPr="00A4272B" w:rsidRDefault="00F3536C" w:rsidP="00A41632">
            <w:pPr>
              <w:rPr>
                <w:color w:val="000000"/>
                <w:sz w:val="14"/>
                <w:szCs w:val="14"/>
                <w:lang w:val="en-US"/>
              </w:rPr>
            </w:pPr>
            <w:r w:rsidRPr="00A4272B">
              <w:rPr>
                <w:color w:val="000000"/>
                <w:sz w:val="14"/>
                <w:szCs w:val="14"/>
                <w:lang w:val="en-US"/>
              </w:rPr>
              <w:t>São Luis do Maranhão</w:t>
            </w:r>
          </w:p>
        </w:tc>
        <w:tc>
          <w:tcPr>
            <w:tcW w:w="998" w:type="dxa"/>
            <w:noWrap/>
            <w:vAlign w:val="center"/>
            <w:hideMark/>
          </w:tcPr>
          <w:p w14:paraId="70E7D0BF" w14:textId="77777777" w:rsidR="00F3536C" w:rsidRPr="00A4272B" w:rsidRDefault="00F3536C" w:rsidP="00A41632">
            <w:pPr>
              <w:jc w:val="center"/>
              <w:rPr>
                <w:color w:val="000000"/>
                <w:sz w:val="14"/>
                <w:szCs w:val="14"/>
                <w:lang w:val="en-US"/>
              </w:rPr>
            </w:pPr>
            <w:r w:rsidRPr="00A4272B">
              <w:rPr>
                <w:color w:val="000000"/>
                <w:sz w:val="14"/>
                <w:szCs w:val="14"/>
                <w:lang w:val="en-US"/>
              </w:rPr>
              <w:t>GR23</w:t>
            </w:r>
          </w:p>
        </w:tc>
        <w:tc>
          <w:tcPr>
            <w:tcW w:w="1342" w:type="dxa"/>
            <w:noWrap/>
            <w:vAlign w:val="center"/>
            <w:hideMark/>
          </w:tcPr>
          <w:p w14:paraId="08401764"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1DCE0F4D" w14:textId="77777777" w:rsidR="00F3536C" w:rsidRPr="00A4272B" w:rsidRDefault="00F3536C" w:rsidP="00A41632">
            <w:pPr>
              <w:jc w:val="right"/>
              <w:rPr>
                <w:color w:val="000000"/>
                <w:sz w:val="14"/>
                <w:szCs w:val="14"/>
                <w:lang w:val="en-US"/>
              </w:rPr>
            </w:pPr>
            <w:r w:rsidRPr="00A4272B">
              <w:rPr>
                <w:color w:val="000000"/>
                <w:sz w:val="14"/>
                <w:szCs w:val="14"/>
                <w:lang w:val="en-US"/>
              </w:rPr>
              <w:t>-2.353600</w:t>
            </w:r>
          </w:p>
        </w:tc>
        <w:tc>
          <w:tcPr>
            <w:tcW w:w="998" w:type="dxa"/>
            <w:noWrap/>
            <w:vAlign w:val="center"/>
            <w:hideMark/>
          </w:tcPr>
          <w:p w14:paraId="052DCAC1" w14:textId="77777777" w:rsidR="00F3536C" w:rsidRPr="00A4272B" w:rsidRDefault="00F3536C" w:rsidP="00A41632">
            <w:pPr>
              <w:jc w:val="right"/>
              <w:rPr>
                <w:color w:val="000000"/>
                <w:sz w:val="14"/>
                <w:szCs w:val="14"/>
                <w:lang w:val="en-US"/>
              </w:rPr>
            </w:pPr>
            <w:r w:rsidRPr="00A4272B">
              <w:rPr>
                <w:color w:val="000000"/>
                <w:sz w:val="14"/>
                <w:szCs w:val="14"/>
                <w:lang w:val="en-US"/>
              </w:rPr>
              <w:t>-44.123900</w:t>
            </w:r>
          </w:p>
        </w:tc>
        <w:tc>
          <w:tcPr>
            <w:tcW w:w="859" w:type="dxa"/>
            <w:tcBorders>
              <w:top w:val="nil"/>
              <w:left w:val="nil"/>
              <w:bottom w:val="nil"/>
              <w:right w:val="single" w:sz="8" w:space="0" w:color="auto"/>
            </w:tcBorders>
            <w:noWrap/>
            <w:vAlign w:val="center"/>
            <w:hideMark/>
          </w:tcPr>
          <w:p w14:paraId="48C7F00E" w14:textId="77777777" w:rsidR="00F3536C" w:rsidRPr="00A4272B" w:rsidRDefault="00F3536C" w:rsidP="00A41632">
            <w:pPr>
              <w:jc w:val="center"/>
              <w:rPr>
                <w:color w:val="000000"/>
                <w:sz w:val="14"/>
                <w:szCs w:val="14"/>
                <w:lang w:val="en-US"/>
              </w:rPr>
            </w:pPr>
            <w:r w:rsidRPr="00A4272B">
              <w:rPr>
                <w:color w:val="000000"/>
                <w:sz w:val="14"/>
                <w:szCs w:val="14"/>
                <w:lang w:val="en-US"/>
              </w:rPr>
              <w:t>10</w:t>
            </w:r>
          </w:p>
        </w:tc>
        <w:tc>
          <w:tcPr>
            <w:tcW w:w="792" w:type="dxa"/>
            <w:noWrap/>
            <w:vAlign w:val="center"/>
            <w:hideMark/>
          </w:tcPr>
          <w:p w14:paraId="39512DC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A567D04"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6306EC1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B9C7FC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DDEE96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BAE0FA1" w14:textId="77777777" w:rsidR="00F3536C" w:rsidRPr="00A4272B" w:rsidRDefault="00F3536C" w:rsidP="00A41632">
            <w:pPr>
              <w:jc w:val="center"/>
              <w:rPr>
                <w:sz w:val="14"/>
                <w:szCs w:val="14"/>
                <w:lang w:val="en-US"/>
              </w:rPr>
            </w:pPr>
            <w:r w:rsidRPr="00A4272B">
              <w:rPr>
                <w:sz w:val="14"/>
                <w:szCs w:val="14"/>
                <w:lang w:val="en-US"/>
              </w:rPr>
              <w:t>2012</w:t>
            </w:r>
          </w:p>
        </w:tc>
      </w:tr>
      <w:tr w:rsidR="00F3536C" w:rsidRPr="00A4272B" w14:paraId="68E2208D" w14:textId="77777777" w:rsidTr="00A41632">
        <w:trPr>
          <w:trHeight w:val="276"/>
          <w:jc w:val="center"/>
        </w:trPr>
        <w:tc>
          <w:tcPr>
            <w:tcW w:w="955" w:type="dxa"/>
            <w:tcBorders>
              <w:top w:val="nil"/>
              <w:left w:val="single" w:sz="8" w:space="0" w:color="auto"/>
              <w:bottom w:val="nil"/>
              <w:right w:val="nil"/>
            </w:tcBorders>
            <w:noWrap/>
            <w:vAlign w:val="center"/>
            <w:hideMark/>
          </w:tcPr>
          <w:p w14:paraId="1401CE70"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2459620D"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4134B84" w14:textId="77777777" w:rsidR="00F3536C" w:rsidRPr="00A4272B" w:rsidRDefault="00F3536C" w:rsidP="00A41632">
            <w:pPr>
              <w:rPr>
                <w:color w:val="000000"/>
                <w:sz w:val="14"/>
                <w:szCs w:val="14"/>
                <w:lang w:val="en-US"/>
              </w:rPr>
            </w:pPr>
            <w:r w:rsidRPr="00A4272B">
              <w:rPr>
                <w:color w:val="000000"/>
                <w:sz w:val="14"/>
                <w:szCs w:val="14"/>
                <w:lang w:val="en-US"/>
              </w:rPr>
              <w:t>Sao Paulo</w:t>
            </w:r>
          </w:p>
        </w:tc>
        <w:tc>
          <w:tcPr>
            <w:tcW w:w="998" w:type="dxa"/>
            <w:noWrap/>
            <w:vAlign w:val="center"/>
            <w:hideMark/>
          </w:tcPr>
          <w:p w14:paraId="4344C2A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3FED116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4C1A338" w14:textId="77777777" w:rsidR="00F3536C" w:rsidRPr="00A4272B" w:rsidRDefault="00F3536C" w:rsidP="00A41632">
            <w:pPr>
              <w:jc w:val="right"/>
              <w:rPr>
                <w:color w:val="000000"/>
                <w:sz w:val="14"/>
                <w:szCs w:val="14"/>
                <w:lang w:val="en-US"/>
              </w:rPr>
            </w:pPr>
            <w:r w:rsidRPr="00A4272B">
              <w:rPr>
                <w:color w:val="000000"/>
                <w:sz w:val="14"/>
                <w:szCs w:val="14"/>
                <w:lang w:val="en-US"/>
              </w:rPr>
              <w:t>-23.618338</w:t>
            </w:r>
          </w:p>
        </w:tc>
        <w:tc>
          <w:tcPr>
            <w:tcW w:w="998" w:type="dxa"/>
            <w:noWrap/>
            <w:vAlign w:val="center"/>
            <w:hideMark/>
          </w:tcPr>
          <w:p w14:paraId="139F460E" w14:textId="77777777" w:rsidR="00F3536C" w:rsidRPr="00A4272B" w:rsidRDefault="00F3536C" w:rsidP="00A41632">
            <w:pPr>
              <w:jc w:val="right"/>
              <w:rPr>
                <w:color w:val="000000"/>
                <w:sz w:val="14"/>
                <w:szCs w:val="14"/>
                <w:lang w:val="en-US"/>
              </w:rPr>
            </w:pPr>
            <w:r w:rsidRPr="00A4272B">
              <w:rPr>
                <w:color w:val="000000"/>
                <w:sz w:val="14"/>
                <w:szCs w:val="14"/>
                <w:lang w:val="en-US"/>
              </w:rPr>
              <w:t>-46.635497</w:t>
            </w:r>
          </w:p>
        </w:tc>
        <w:tc>
          <w:tcPr>
            <w:tcW w:w="859" w:type="dxa"/>
            <w:tcBorders>
              <w:top w:val="nil"/>
              <w:left w:val="nil"/>
              <w:bottom w:val="nil"/>
              <w:right w:val="single" w:sz="8" w:space="0" w:color="auto"/>
            </w:tcBorders>
            <w:noWrap/>
            <w:vAlign w:val="center"/>
            <w:hideMark/>
          </w:tcPr>
          <w:p w14:paraId="604F4F1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D9A148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B132DF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9D7B7F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3B99184"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110486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8B73E69"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0ABAC673" w14:textId="77777777" w:rsidTr="00A41632">
        <w:trPr>
          <w:trHeight w:val="276"/>
          <w:jc w:val="center"/>
        </w:trPr>
        <w:tc>
          <w:tcPr>
            <w:tcW w:w="955" w:type="dxa"/>
            <w:tcBorders>
              <w:top w:val="nil"/>
              <w:left w:val="single" w:sz="8" w:space="0" w:color="auto"/>
              <w:bottom w:val="nil"/>
              <w:right w:val="nil"/>
            </w:tcBorders>
            <w:noWrap/>
            <w:vAlign w:val="center"/>
            <w:hideMark/>
          </w:tcPr>
          <w:p w14:paraId="4607BC54"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31D0CD11"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3257C3E4" w14:textId="77777777" w:rsidR="00F3536C" w:rsidRPr="00A4272B" w:rsidRDefault="00F3536C" w:rsidP="00A41632">
            <w:pPr>
              <w:rPr>
                <w:color w:val="000000"/>
                <w:sz w:val="14"/>
                <w:szCs w:val="14"/>
                <w:lang w:val="en-US"/>
              </w:rPr>
            </w:pPr>
            <w:r w:rsidRPr="00A4272B">
              <w:rPr>
                <w:color w:val="000000"/>
                <w:sz w:val="14"/>
                <w:szCs w:val="14"/>
                <w:lang w:val="en-US"/>
              </w:rPr>
              <w:t>Concepción</w:t>
            </w:r>
          </w:p>
        </w:tc>
        <w:tc>
          <w:tcPr>
            <w:tcW w:w="998" w:type="dxa"/>
            <w:noWrap/>
            <w:vAlign w:val="center"/>
            <w:hideMark/>
          </w:tcPr>
          <w:p w14:paraId="6C02DCF0" w14:textId="77777777" w:rsidR="00F3536C" w:rsidRPr="00A4272B" w:rsidRDefault="00F3536C" w:rsidP="00A41632">
            <w:pPr>
              <w:jc w:val="center"/>
              <w:rPr>
                <w:color w:val="000000"/>
                <w:sz w:val="14"/>
                <w:szCs w:val="14"/>
                <w:lang w:val="en-US"/>
              </w:rPr>
            </w:pPr>
            <w:r w:rsidRPr="00A4272B">
              <w:rPr>
                <w:color w:val="000000"/>
                <w:sz w:val="14"/>
                <w:szCs w:val="14"/>
                <w:lang w:val="en-US"/>
              </w:rPr>
              <w:t>GR28</w:t>
            </w:r>
          </w:p>
        </w:tc>
        <w:tc>
          <w:tcPr>
            <w:tcW w:w="1342" w:type="dxa"/>
            <w:noWrap/>
            <w:vAlign w:val="center"/>
            <w:hideMark/>
          </w:tcPr>
          <w:p w14:paraId="44E2DE9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E824D5A" w14:textId="77777777" w:rsidR="00F3536C" w:rsidRPr="00A4272B" w:rsidRDefault="00F3536C" w:rsidP="00A41632">
            <w:pPr>
              <w:jc w:val="right"/>
              <w:rPr>
                <w:color w:val="000000"/>
                <w:sz w:val="14"/>
                <w:szCs w:val="14"/>
                <w:lang w:val="en-US"/>
              </w:rPr>
            </w:pPr>
            <w:r w:rsidRPr="00A4272B">
              <w:rPr>
                <w:color w:val="000000"/>
                <w:sz w:val="14"/>
                <w:szCs w:val="14"/>
                <w:lang w:val="en-US"/>
              </w:rPr>
              <w:t>-36.475200</w:t>
            </w:r>
          </w:p>
        </w:tc>
        <w:tc>
          <w:tcPr>
            <w:tcW w:w="998" w:type="dxa"/>
            <w:noWrap/>
            <w:vAlign w:val="center"/>
            <w:hideMark/>
          </w:tcPr>
          <w:p w14:paraId="77DE5141" w14:textId="77777777" w:rsidR="00F3536C" w:rsidRPr="00A4272B" w:rsidRDefault="00F3536C" w:rsidP="00A41632">
            <w:pPr>
              <w:jc w:val="right"/>
              <w:rPr>
                <w:color w:val="000000"/>
                <w:sz w:val="14"/>
                <w:szCs w:val="14"/>
                <w:lang w:val="en-US"/>
              </w:rPr>
            </w:pPr>
            <w:r w:rsidRPr="00A4272B">
              <w:rPr>
                <w:color w:val="000000"/>
                <w:sz w:val="14"/>
                <w:szCs w:val="14"/>
                <w:lang w:val="en-US"/>
              </w:rPr>
              <w:t>-73.031900</w:t>
            </w:r>
          </w:p>
        </w:tc>
        <w:tc>
          <w:tcPr>
            <w:tcW w:w="859" w:type="dxa"/>
            <w:tcBorders>
              <w:top w:val="nil"/>
              <w:left w:val="nil"/>
              <w:bottom w:val="nil"/>
              <w:right w:val="single" w:sz="8" w:space="0" w:color="auto"/>
            </w:tcBorders>
            <w:noWrap/>
            <w:vAlign w:val="center"/>
            <w:hideMark/>
          </w:tcPr>
          <w:p w14:paraId="26E02978" w14:textId="77777777" w:rsidR="00F3536C" w:rsidRPr="00A4272B" w:rsidRDefault="00F3536C" w:rsidP="00A41632">
            <w:pPr>
              <w:jc w:val="center"/>
              <w:rPr>
                <w:color w:val="000000"/>
                <w:sz w:val="14"/>
                <w:szCs w:val="14"/>
                <w:lang w:val="en-US"/>
              </w:rPr>
            </w:pPr>
            <w:r w:rsidRPr="00A4272B">
              <w:rPr>
                <w:color w:val="000000"/>
                <w:sz w:val="14"/>
                <w:szCs w:val="14"/>
                <w:lang w:val="en-US"/>
              </w:rPr>
              <w:t>30</w:t>
            </w:r>
          </w:p>
        </w:tc>
        <w:tc>
          <w:tcPr>
            <w:tcW w:w="792" w:type="dxa"/>
            <w:noWrap/>
            <w:vAlign w:val="center"/>
            <w:hideMark/>
          </w:tcPr>
          <w:p w14:paraId="00A3A80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170E5D0"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32D1FE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52E916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68C73B3"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53F5C0B"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53142C08" w14:textId="77777777" w:rsidTr="00A41632">
        <w:trPr>
          <w:trHeight w:val="276"/>
          <w:jc w:val="center"/>
        </w:trPr>
        <w:tc>
          <w:tcPr>
            <w:tcW w:w="955" w:type="dxa"/>
            <w:tcBorders>
              <w:top w:val="nil"/>
              <w:left w:val="single" w:sz="8" w:space="0" w:color="auto"/>
              <w:bottom w:val="nil"/>
              <w:right w:val="nil"/>
            </w:tcBorders>
            <w:noWrap/>
            <w:vAlign w:val="center"/>
            <w:hideMark/>
          </w:tcPr>
          <w:p w14:paraId="3A5BE2F3"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21E4E74"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0FB4B19A" w14:textId="77777777" w:rsidR="00F3536C" w:rsidRPr="00A4272B" w:rsidRDefault="00F3536C" w:rsidP="00A41632">
            <w:pPr>
              <w:rPr>
                <w:color w:val="000000"/>
                <w:sz w:val="14"/>
                <w:szCs w:val="14"/>
                <w:lang w:val="en-US"/>
              </w:rPr>
            </w:pPr>
            <w:r w:rsidRPr="00A4272B">
              <w:rPr>
                <w:color w:val="000000"/>
                <w:sz w:val="14"/>
                <w:szCs w:val="14"/>
                <w:lang w:val="en-US"/>
              </w:rPr>
              <w:t>Santiago</w:t>
            </w:r>
          </w:p>
        </w:tc>
        <w:tc>
          <w:tcPr>
            <w:tcW w:w="998" w:type="dxa"/>
            <w:noWrap/>
            <w:vAlign w:val="center"/>
            <w:hideMark/>
          </w:tcPr>
          <w:p w14:paraId="220E255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3BBE7A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AB3CCF6" w14:textId="77777777" w:rsidR="00F3536C" w:rsidRPr="00A4272B" w:rsidRDefault="00F3536C" w:rsidP="00A41632">
            <w:pPr>
              <w:jc w:val="right"/>
              <w:rPr>
                <w:color w:val="000000"/>
                <w:sz w:val="14"/>
                <w:szCs w:val="14"/>
                <w:lang w:val="en-US"/>
              </w:rPr>
            </w:pPr>
            <w:r w:rsidRPr="00A4272B">
              <w:rPr>
                <w:color w:val="000000"/>
                <w:sz w:val="14"/>
                <w:szCs w:val="14"/>
                <w:lang w:val="en-US"/>
              </w:rPr>
              <w:t>-33.468782</w:t>
            </w:r>
          </w:p>
        </w:tc>
        <w:tc>
          <w:tcPr>
            <w:tcW w:w="998" w:type="dxa"/>
            <w:noWrap/>
            <w:vAlign w:val="center"/>
            <w:hideMark/>
          </w:tcPr>
          <w:p w14:paraId="4ECACF89" w14:textId="77777777" w:rsidR="00F3536C" w:rsidRPr="00A4272B" w:rsidRDefault="00F3536C" w:rsidP="00A41632">
            <w:pPr>
              <w:jc w:val="right"/>
              <w:rPr>
                <w:color w:val="000000"/>
                <w:sz w:val="14"/>
                <w:szCs w:val="14"/>
                <w:lang w:val="en-US"/>
              </w:rPr>
            </w:pPr>
            <w:r w:rsidRPr="00A4272B">
              <w:rPr>
                <w:color w:val="000000"/>
                <w:sz w:val="14"/>
                <w:szCs w:val="14"/>
                <w:lang w:val="en-US"/>
              </w:rPr>
              <w:t>-70.596188</w:t>
            </w:r>
          </w:p>
        </w:tc>
        <w:tc>
          <w:tcPr>
            <w:tcW w:w="859" w:type="dxa"/>
            <w:tcBorders>
              <w:top w:val="nil"/>
              <w:left w:val="nil"/>
              <w:bottom w:val="nil"/>
              <w:right w:val="single" w:sz="8" w:space="0" w:color="auto"/>
            </w:tcBorders>
            <w:noWrap/>
            <w:vAlign w:val="center"/>
            <w:hideMark/>
          </w:tcPr>
          <w:p w14:paraId="5588904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3133DD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43869B3"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33BD6F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9B27A8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7F135AB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48D12BA"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3FB8E7B0" w14:textId="77777777" w:rsidTr="00A41632">
        <w:trPr>
          <w:trHeight w:val="276"/>
          <w:jc w:val="center"/>
        </w:trPr>
        <w:tc>
          <w:tcPr>
            <w:tcW w:w="955" w:type="dxa"/>
            <w:tcBorders>
              <w:top w:val="nil"/>
              <w:left w:val="single" w:sz="8" w:space="0" w:color="auto"/>
              <w:bottom w:val="nil"/>
              <w:right w:val="nil"/>
            </w:tcBorders>
            <w:noWrap/>
            <w:vAlign w:val="center"/>
            <w:hideMark/>
          </w:tcPr>
          <w:p w14:paraId="47EA0D2A"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7907F16D" w14:textId="77777777" w:rsidR="00F3536C" w:rsidRPr="00A4272B" w:rsidRDefault="00F3536C" w:rsidP="00A41632">
            <w:pPr>
              <w:rPr>
                <w:color w:val="000000"/>
                <w:sz w:val="14"/>
                <w:szCs w:val="14"/>
                <w:lang w:val="en-US"/>
              </w:rPr>
            </w:pPr>
            <w:r w:rsidRPr="00A4272B">
              <w:rPr>
                <w:color w:val="000000"/>
                <w:sz w:val="14"/>
                <w:szCs w:val="14"/>
                <w:lang w:val="en-US"/>
              </w:rPr>
              <w:t>Colombia</w:t>
            </w:r>
          </w:p>
        </w:tc>
        <w:tc>
          <w:tcPr>
            <w:tcW w:w="2504" w:type="dxa"/>
            <w:noWrap/>
            <w:vAlign w:val="center"/>
            <w:hideMark/>
          </w:tcPr>
          <w:p w14:paraId="40C5D563" w14:textId="77777777" w:rsidR="00F3536C" w:rsidRPr="00A4272B" w:rsidRDefault="00F3536C" w:rsidP="00A41632">
            <w:pPr>
              <w:rPr>
                <w:color w:val="000000"/>
                <w:sz w:val="14"/>
                <w:szCs w:val="14"/>
                <w:lang w:val="en-US"/>
              </w:rPr>
            </w:pPr>
            <w:r w:rsidRPr="00A4272B">
              <w:rPr>
                <w:color w:val="000000"/>
                <w:sz w:val="14"/>
                <w:szCs w:val="14"/>
                <w:lang w:val="en-US"/>
              </w:rPr>
              <w:t>Arauca</w:t>
            </w:r>
          </w:p>
        </w:tc>
        <w:tc>
          <w:tcPr>
            <w:tcW w:w="998" w:type="dxa"/>
            <w:noWrap/>
            <w:vAlign w:val="center"/>
            <w:hideMark/>
          </w:tcPr>
          <w:p w14:paraId="00981B4C" w14:textId="77777777" w:rsidR="00F3536C" w:rsidRPr="00A4272B" w:rsidRDefault="00F3536C" w:rsidP="00A41632">
            <w:pPr>
              <w:jc w:val="center"/>
              <w:rPr>
                <w:color w:val="000000"/>
                <w:sz w:val="14"/>
                <w:szCs w:val="14"/>
                <w:lang w:val="en-US"/>
              </w:rPr>
            </w:pPr>
            <w:r w:rsidRPr="00A4272B">
              <w:rPr>
                <w:color w:val="000000"/>
                <w:sz w:val="14"/>
                <w:szCs w:val="14"/>
                <w:lang w:val="en-US"/>
              </w:rPr>
              <w:t>GR04</w:t>
            </w:r>
          </w:p>
        </w:tc>
        <w:tc>
          <w:tcPr>
            <w:tcW w:w="1342" w:type="dxa"/>
            <w:noWrap/>
            <w:vAlign w:val="center"/>
            <w:hideMark/>
          </w:tcPr>
          <w:p w14:paraId="665BEE66"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6FD5BD4F" w14:textId="77777777" w:rsidR="00F3536C" w:rsidRPr="00A4272B" w:rsidRDefault="00F3536C" w:rsidP="00A41632">
            <w:pPr>
              <w:jc w:val="right"/>
              <w:rPr>
                <w:color w:val="000000"/>
                <w:sz w:val="14"/>
                <w:szCs w:val="14"/>
                <w:lang w:val="en-US"/>
              </w:rPr>
            </w:pPr>
            <w:r w:rsidRPr="00A4272B">
              <w:rPr>
                <w:color w:val="000000"/>
                <w:sz w:val="14"/>
                <w:szCs w:val="14"/>
                <w:lang w:val="en-US"/>
              </w:rPr>
              <w:t>7.045770</w:t>
            </w:r>
          </w:p>
        </w:tc>
        <w:tc>
          <w:tcPr>
            <w:tcW w:w="998" w:type="dxa"/>
            <w:noWrap/>
            <w:vAlign w:val="center"/>
            <w:hideMark/>
          </w:tcPr>
          <w:p w14:paraId="75CC6779" w14:textId="77777777" w:rsidR="00F3536C" w:rsidRPr="00A4272B" w:rsidRDefault="00F3536C" w:rsidP="00A41632">
            <w:pPr>
              <w:jc w:val="right"/>
              <w:rPr>
                <w:color w:val="000000"/>
                <w:sz w:val="14"/>
                <w:szCs w:val="14"/>
                <w:lang w:val="en-US"/>
              </w:rPr>
            </w:pPr>
            <w:r w:rsidRPr="00A4272B">
              <w:rPr>
                <w:color w:val="000000"/>
                <w:sz w:val="14"/>
                <w:szCs w:val="14"/>
                <w:lang w:val="en-US"/>
              </w:rPr>
              <w:t>-70.444059</w:t>
            </w:r>
          </w:p>
        </w:tc>
        <w:tc>
          <w:tcPr>
            <w:tcW w:w="859" w:type="dxa"/>
            <w:tcBorders>
              <w:top w:val="nil"/>
              <w:left w:val="nil"/>
              <w:bottom w:val="nil"/>
              <w:right w:val="single" w:sz="8" w:space="0" w:color="auto"/>
            </w:tcBorders>
            <w:noWrap/>
            <w:vAlign w:val="center"/>
            <w:hideMark/>
          </w:tcPr>
          <w:p w14:paraId="3DAA7CD3" w14:textId="77777777" w:rsidR="00F3536C" w:rsidRPr="00A4272B" w:rsidRDefault="00F3536C" w:rsidP="00A41632">
            <w:pPr>
              <w:jc w:val="center"/>
              <w:rPr>
                <w:color w:val="000000"/>
                <w:sz w:val="14"/>
                <w:szCs w:val="14"/>
                <w:lang w:val="en-US"/>
              </w:rPr>
            </w:pPr>
            <w:r w:rsidRPr="00A4272B">
              <w:rPr>
                <w:color w:val="000000"/>
                <w:sz w:val="14"/>
                <w:szCs w:val="14"/>
                <w:lang w:val="en-US"/>
              </w:rPr>
              <w:t>2</w:t>
            </w:r>
          </w:p>
        </w:tc>
        <w:tc>
          <w:tcPr>
            <w:tcW w:w="792" w:type="dxa"/>
            <w:noWrap/>
            <w:vAlign w:val="center"/>
            <w:hideMark/>
          </w:tcPr>
          <w:p w14:paraId="50838BD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1985AC5"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2CDF231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751F5F0"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6E549DB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F33C27C"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73C2A7F9" w14:textId="77777777" w:rsidTr="00A41632">
        <w:trPr>
          <w:trHeight w:val="276"/>
          <w:jc w:val="center"/>
        </w:trPr>
        <w:tc>
          <w:tcPr>
            <w:tcW w:w="955" w:type="dxa"/>
            <w:tcBorders>
              <w:top w:val="nil"/>
              <w:left w:val="single" w:sz="8" w:space="0" w:color="auto"/>
              <w:bottom w:val="nil"/>
              <w:right w:val="nil"/>
            </w:tcBorders>
            <w:noWrap/>
            <w:vAlign w:val="center"/>
            <w:hideMark/>
          </w:tcPr>
          <w:p w14:paraId="339D2035"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2DE95FDB" w14:textId="77777777" w:rsidR="00F3536C" w:rsidRPr="00A4272B" w:rsidRDefault="00F3536C" w:rsidP="00A41632">
            <w:pPr>
              <w:rPr>
                <w:color w:val="000000"/>
                <w:sz w:val="14"/>
                <w:szCs w:val="14"/>
                <w:lang w:val="en-US"/>
              </w:rPr>
            </w:pPr>
            <w:r w:rsidRPr="00A4272B">
              <w:rPr>
                <w:color w:val="000000"/>
                <w:sz w:val="14"/>
                <w:szCs w:val="14"/>
                <w:lang w:val="en-US"/>
              </w:rPr>
              <w:t>Colombia</w:t>
            </w:r>
          </w:p>
        </w:tc>
        <w:tc>
          <w:tcPr>
            <w:tcW w:w="2504" w:type="dxa"/>
            <w:noWrap/>
            <w:vAlign w:val="center"/>
            <w:hideMark/>
          </w:tcPr>
          <w:p w14:paraId="6D0F1CC9" w14:textId="77777777" w:rsidR="00F3536C" w:rsidRPr="00A4272B" w:rsidRDefault="00F3536C" w:rsidP="00A41632">
            <w:pPr>
              <w:rPr>
                <w:color w:val="000000"/>
                <w:sz w:val="14"/>
                <w:szCs w:val="14"/>
                <w:lang w:val="en-US"/>
              </w:rPr>
            </w:pPr>
            <w:r w:rsidRPr="00A4272B">
              <w:rPr>
                <w:color w:val="000000"/>
                <w:sz w:val="14"/>
                <w:szCs w:val="14"/>
                <w:lang w:val="en-US"/>
              </w:rPr>
              <w:t>Bogota</w:t>
            </w:r>
          </w:p>
        </w:tc>
        <w:tc>
          <w:tcPr>
            <w:tcW w:w="998" w:type="dxa"/>
            <w:noWrap/>
            <w:vAlign w:val="center"/>
            <w:hideMark/>
          </w:tcPr>
          <w:p w14:paraId="77D04F1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0D7814B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2C013E3" w14:textId="77777777" w:rsidR="00F3536C" w:rsidRPr="00A4272B" w:rsidRDefault="00F3536C" w:rsidP="00A41632">
            <w:pPr>
              <w:jc w:val="right"/>
              <w:rPr>
                <w:color w:val="000000"/>
                <w:sz w:val="14"/>
                <w:szCs w:val="14"/>
                <w:lang w:val="en-US"/>
              </w:rPr>
            </w:pPr>
            <w:r w:rsidRPr="00A4272B">
              <w:rPr>
                <w:color w:val="000000"/>
                <w:sz w:val="14"/>
                <w:szCs w:val="14"/>
                <w:lang w:val="en-US"/>
              </w:rPr>
              <w:t>4.636833</w:t>
            </w:r>
          </w:p>
        </w:tc>
        <w:tc>
          <w:tcPr>
            <w:tcW w:w="998" w:type="dxa"/>
            <w:noWrap/>
            <w:vAlign w:val="center"/>
            <w:hideMark/>
          </w:tcPr>
          <w:p w14:paraId="2DC7D005" w14:textId="77777777" w:rsidR="00F3536C" w:rsidRPr="00A4272B" w:rsidRDefault="00F3536C" w:rsidP="00A41632">
            <w:pPr>
              <w:jc w:val="right"/>
              <w:rPr>
                <w:color w:val="000000"/>
                <w:sz w:val="14"/>
                <w:szCs w:val="14"/>
                <w:lang w:val="en-US"/>
              </w:rPr>
            </w:pPr>
            <w:r w:rsidRPr="00A4272B">
              <w:rPr>
                <w:color w:val="000000"/>
                <w:sz w:val="14"/>
                <w:szCs w:val="14"/>
                <w:lang w:val="en-US"/>
              </w:rPr>
              <w:t>-75.083444</w:t>
            </w:r>
          </w:p>
        </w:tc>
        <w:tc>
          <w:tcPr>
            <w:tcW w:w="859" w:type="dxa"/>
            <w:tcBorders>
              <w:top w:val="nil"/>
              <w:left w:val="nil"/>
              <w:bottom w:val="nil"/>
              <w:right w:val="single" w:sz="8" w:space="0" w:color="auto"/>
            </w:tcBorders>
            <w:noWrap/>
            <w:vAlign w:val="center"/>
            <w:hideMark/>
          </w:tcPr>
          <w:p w14:paraId="6584208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8E0337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C23D31E"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567132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E5645FC"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EC7C2B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084DA97"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1861B7D3" w14:textId="77777777" w:rsidTr="00A41632">
        <w:trPr>
          <w:trHeight w:val="276"/>
          <w:jc w:val="center"/>
        </w:trPr>
        <w:tc>
          <w:tcPr>
            <w:tcW w:w="955" w:type="dxa"/>
            <w:tcBorders>
              <w:top w:val="nil"/>
              <w:left w:val="single" w:sz="8" w:space="0" w:color="auto"/>
              <w:bottom w:val="nil"/>
              <w:right w:val="nil"/>
            </w:tcBorders>
            <w:noWrap/>
            <w:vAlign w:val="center"/>
            <w:hideMark/>
          </w:tcPr>
          <w:p w14:paraId="0DB2E27D"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22A77F99" w14:textId="77777777" w:rsidR="00F3536C" w:rsidRPr="00A4272B" w:rsidRDefault="00F3536C" w:rsidP="00A41632">
            <w:pPr>
              <w:rPr>
                <w:color w:val="000000"/>
                <w:sz w:val="14"/>
                <w:szCs w:val="14"/>
                <w:lang w:val="en-US"/>
              </w:rPr>
            </w:pPr>
            <w:r w:rsidRPr="00A4272B">
              <w:rPr>
                <w:color w:val="000000"/>
                <w:sz w:val="14"/>
                <w:szCs w:val="14"/>
                <w:lang w:val="en-US"/>
              </w:rPr>
              <w:t>Colombia</w:t>
            </w:r>
          </w:p>
        </w:tc>
        <w:tc>
          <w:tcPr>
            <w:tcW w:w="2504" w:type="dxa"/>
            <w:noWrap/>
            <w:vAlign w:val="center"/>
            <w:hideMark/>
          </w:tcPr>
          <w:p w14:paraId="0ED6CE2D" w14:textId="77777777" w:rsidR="00F3536C" w:rsidRPr="00A4272B" w:rsidRDefault="00F3536C" w:rsidP="00A41632">
            <w:pPr>
              <w:rPr>
                <w:color w:val="000000"/>
                <w:sz w:val="14"/>
                <w:szCs w:val="14"/>
                <w:lang w:val="en-US"/>
              </w:rPr>
            </w:pPr>
            <w:r w:rsidRPr="00A4272B">
              <w:rPr>
                <w:color w:val="000000"/>
                <w:sz w:val="14"/>
                <w:szCs w:val="14"/>
                <w:lang w:val="en-US"/>
              </w:rPr>
              <w:t>Manizales</w:t>
            </w:r>
          </w:p>
        </w:tc>
        <w:tc>
          <w:tcPr>
            <w:tcW w:w="998" w:type="dxa"/>
            <w:noWrap/>
            <w:vAlign w:val="center"/>
            <w:hideMark/>
          </w:tcPr>
          <w:p w14:paraId="61B053A9" w14:textId="77777777" w:rsidR="00F3536C" w:rsidRPr="00A4272B" w:rsidRDefault="00F3536C" w:rsidP="00A41632">
            <w:pPr>
              <w:jc w:val="center"/>
              <w:rPr>
                <w:color w:val="000000"/>
                <w:sz w:val="14"/>
                <w:szCs w:val="14"/>
                <w:lang w:val="en-US"/>
              </w:rPr>
            </w:pPr>
            <w:r w:rsidRPr="00A4272B">
              <w:rPr>
                <w:color w:val="000000"/>
                <w:sz w:val="14"/>
                <w:szCs w:val="14"/>
                <w:lang w:val="en-US"/>
              </w:rPr>
              <w:t>GR22</w:t>
            </w:r>
          </w:p>
        </w:tc>
        <w:tc>
          <w:tcPr>
            <w:tcW w:w="1342" w:type="dxa"/>
            <w:noWrap/>
            <w:vAlign w:val="center"/>
            <w:hideMark/>
          </w:tcPr>
          <w:p w14:paraId="448666E4"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73261344" w14:textId="77777777" w:rsidR="00F3536C" w:rsidRPr="00A4272B" w:rsidRDefault="00F3536C" w:rsidP="00A41632">
            <w:pPr>
              <w:jc w:val="right"/>
              <w:rPr>
                <w:color w:val="000000"/>
                <w:sz w:val="14"/>
                <w:szCs w:val="14"/>
                <w:lang w:val="en-US"/>
              </w:rPr>
            </w:pPr>
            <w:r w:rsidRPr="00A4272B">
              <w:rPr>
                <w:color w:val="000000"/>
                <w:sz w:val="14"/>
                <w:szCs w:val="14"/>
                <w:lang w:val="en-US"/>
              </w:rPr>
              <w:t>5.075833</w:t>
            </w:r>
          </w:p>
        </w:tc>
        <w:tc>
          <w:tcPr>
            <w:tcW w:w="998" w:type="dxa"/>
            <w:noWrap/>
            <w:vAlign w:val="center"/>
            <w:hideMark/>
          </w:tcPr>
          <w:p w14:paraId="16BDFAC3" w14:textId="77777777" w:rsidR="00F3536C" w:rsidRPr="00A4272B" w:rsidRDefault="00F3536C" w:rsidP="00A41632">
            <w:pPr>
              <w:jc w:val="right"/>
              <w:rPr>
                <w:color w:val="000000"/>
                <w:sz w:val="14"/>
                <w:szCs w:val="14"/>
                <w:lang w:val="en-US"/>
              </w:rPr>
            </w:pPr>
            <w:r w:rsidRPr="00A4272B">
              <w:rPr>
                <w:color w:val="000000"/>
                <w:sz w:val="14"/>
                <w:szCs w:val="14"/>
                <w:lang w:val="en-US"/>
              </w:rPr>
              <w:t>-75.436669</w:t>
            </w:r>
          </w:p>
        </w:tc>
        <w:tc>
          <w:tcPr>
            <w:tcW w:w="859" w:type="dxa"/>
            <w:tcBorders>
              <w:top w:val="nil"/>
              <w:left w:val="nil"/>
              <w:bottom w:val="nil"/>
              <w:right w:val="single" w:sz="8" w:space="0" w:color="auto"/>
            </w:tcBorders>
            <w:noWrap/>
            <w:vAlign w:val="center"/>
            <w:hideMark/>
          </w:tcPr>
          <w:p w14:paraId="1149C36A" w14:textId="77777777" w:rsidR="00F3536C" w:rsidRPr="00A4272B" w:rsidRDefault="00F3536C" w:rsidP="00A41632">
            <w:pPr>
              <w:jc w:val="center"/>
              <w:rPr>
                <w:color w:val="000000"/>
                <w:sz w:val="14"/>
                <w:szCs w:val="14"/>
                <w:lang w:val="en-US"/>
              </w:rPr>
            </w:pPr>
            <w:r w:rsidRPr="00A4272B">
              <w:rPr>
                <w:color w:val="000000"/>
                <w:sz w:val="14"/>
                <w:szCs w:val="14"/>
                <w:lang w:val="en-US"/>
              </w:rPr>
              <w:t>2670</w:t>
            </w:r>
          </w:p>
        </w:tc>
        <w:tc>
          <w:tcPr>
            <w:tcW w:w="792" w:type="dxa"/>
            <w:noWrap/>
            <w:vAlign w:val="center"/>
            <w:hideMark/>
          </w:tcPr>
          <w:p w14:paraId="55DA724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85FE80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25588F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6747AE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D9C67A2"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44078A8"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0EE8D051" w14:textId="77777777" w:rsidTr="00A41632">
        <w:trPr>
          <w:trHeight w:val="276"/>
          <w:jc w:val="center"/>
        </w:trPr>
        <w:tc>
          <w:tcPr>
            <w:tcW w:w="955" w:type="dxa"/>
            <w:tcBorders>
              <w:top w:val="nil"/>
              <w:left w:val="single" w:sz="8" w:space="0" w:color="auto"/>
              <w:bottom w:val="nil"/>
              <w:right w:val="nil"/>
            </w:tcBorders>
            <w:noWrap/>
            <w:vAlign w:val="center"/>
            <w:hideMark/>
          </w:tcPr>
          <w:p w14:paraId="77D5D79D" w14:textId="77777777" w:rsidR="00F3536C" w:rsidRPr="00A4272B" w:rsidRDefault="00F3536C" w:rsidP="00A41632">
            <w:pPr>
              <w:rPr>
                <w:color w:val="000000"/>
                <w:sz w:val="14"/>
                <w:szCs w:val="14"/>
                <w:lang w:val="en-US"/>
              </w:rPr>
            </w:pPr>
            <w:r w:rsidRPr="00A4272B">
              <w:rPr>
                <w:color w:val="000000"/>
                <w:sz w:val="14"/>
                <w:szCs w:val="14"/>
                <w:lang w:val="en-US"/>
              </w:rPr>
              <w:lastRenderedPageBreak/>
              <w:t>GAPS</w:t>
            </w:r>
          </w:p>
        </w:tc>
        <w:tc>
          <w:tcPr>
            <w:tcW w:w="1391" w:type="dxa"/>
            <w:noWrap/>
            <w:vAlign w:val="center"/>
            <w:hideMark/>
          </w:tcPr>
          <w:p w14:paraId="61BDAA8E" w14:textId="77777777" w:rsidR="00F3536C" w:rsidRPr="00A4272B" w:rsidRDefault="00F3536C" w:rsidP="00A41632">
            <w:pPr>
              <w:rPr>
                <w:color w:val="000000"/>
                <w:sz w:val="14"/>
                <w:szCs w:val="14"/>
                <w:lang w:val="en-US"/>
              </w:rPr>
            </w:pPr>
            <w:r w:rsidRPr="00A4272B">
              <w:rPr>
                <w:color w:val="000000"/>
                <w:sz w:val="14"/>
                <w:szCs w:val="14"/>
                <w:lang w:val="en-US"/>
              </w:rPr>
              <w:t>Costa Rica</w:t>
            </w:r>
          </w:p>
        </w:tc>
        <w:tc>
          <w:tcPr>
            <w:tcW w:w="2504" w:type="dxa"/>
            <w:noWrap/>
            <w:vAlign w:val="center"/>
            <w:hideMark/>
          </w:tcPr>
          <w:p w14:paraId="4444E1A0" w14:textId="77777777" w:rsidR="00F3536C" w:rsidRPr="00A4272B" w:rsidRDefault="00F3536C" w:rsidP="00A41632">
            <w:pPr>
              <w:rPr>
                <w:color w:val="000000"/>
                <w:sz w:val="14"/>
                <w:szCs w:val="14"/>
                <w:lang w:val="en-US"/>
              </w:rPr>
            </w:pPr>
            <w:r w:rsidRPr="00A4272B">
              <w:rPr>
                <w:color w:val="000000"/>
                <w:sz w:val="14"/>
                <w:szCs w:val="14"/>
                <w:lang w:val="en-US"/>
              </w:rPr>
              <w:t>Tapanti National Park</w:t>
            </w:r>
          </w:p>
        </w:tc>
        <w:tc>
          <w:tcPr>
            <w:tcW w:w="998" w:type="dxa"/>
            <w:noWrap/>
            <w:vAlign w:val="center"/>
            <w:hideMark/>
          </w:tcPr>
          <w:p w14:paraId="2190A160" w14:textId="77777777" w:rsidR="00F3536C" w:rsidRPr="00A4272B" w:rsidRDefault="00F3536C" w:rsidP="00A41632">
            <w:pPr>
              <w:jc w:val="center"/>
              <w:rPr>
                <w:color w:val="000000"/>
                <w:sz w:val="14"/>
                <w:szCs w:val="14"/>
                <w:lang w:val="en-US"/>
              </w:rPr>
            </w:pPr>
            <w:r w:rsidRPr="00A4272B">
              <w:rPr>
                <w:color w:val="000000"/>
                <w:sz w:val="14"/>
                <w:szCs w:val="14"/>
                <w:lang w:val="en-US"/>
              </w:rPr>
              <w:t>GR03</w:t>
            </w:r>
          </w:p>
        </w:tc>
        <w:tc>
          <w:tcPr>
            <w:tcW w:w="1342" w:type="dxa"/>
            <w:noWrap/>
            <w:vAlign w:val="center"/>
            <w:hideMark/>
          </w:tcPr>
          <w:p w14:paraId="448BA91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3CE24FDD" w14:textId="77777777" w:rsidR="00F3536C" w:rsidRPr="00A4272B" w:rsidRDefault="00F3536C" w:rsidP="00A41632">
            <w:pPr>
              <w:jc w:val="right"/>
              <w:rPr>
                <w:color w:val="000000"/>
                <w:sz w:val="14"/>
                <w:szCs w:val="14"/>
                <w:lang w:val="en-US"/>
              </w:rPr>
            </w:pPr>
            <w:r w:rsidRPr="00A4272B">
              <w:rPr>
                <w:color w:val="000000"/>
                <w:sz w:val="14"/>
                <w:szCs w:val="14"/>
                <w:lang w:val="en-US"/>
              </w:rPr>
              <w:t>9.695733</w:t>
            </w:r>
          </w:p>
        </w:tc>
        <w:tc>
          <w:tcPr>
            <w:tcW w:w="998" w:type="dxa"/>
            <w:noWrap/>
            <w:vAlign w:val="center"/>
            <w:hideMark/>
          </w:tcPr>
          <w:p w14:paraId="511EA4D4" w14:textId="77777777" w:rsidR="00F3536C" w:rsidRPr="00A4272B" w:rsidRDefault="00F3536C" w:rsidP="00A41632">
            <w:pPr>
              <w:jc w:val="right"/>
              <w:rPr>
                <w:color w:val="000000"/>
                <w:sz w:val="14"/>
                <w:szCs w:val="14"/>
                <w:lang w:val="en-US"/>
              </w:rPr>
            </w:pPr>
            <w:r w:rsidRPr="00A4272B">
              <w:rPr>
                <w:color w:val="000000"/>
                <w:sz w:val="14"/>
                <w:szCs w:val="14"/>
                <w:lang w:val="en-US"/>
              </w:rPr>
              <w:t>-83.865354</w:t>
            </w:r>
          </w:p>
        </w:tc>
        <w:tc>
          <w:tcPr>
            <w:tcW w:w="859" w:type="dxa"/>
            <w:tcBorders>
              <w:top w:val="nil"/>
              <w:left w:val="nil"/>
              <w:bottom w:val="nil"/>
              <w:right w:val="single" w:sz="8" w:space="0" w:color="auto"/>
            </w:tcBorders>
            <w:noWrap/>
            <w:vAlign w:val="center"/>
            <w:hideMark/>
          </w:tcPr>
          <w:p w14:paraId="1FA6472A" w14:textId="77777777" w:rsidR="00F3536C" w:rsidRPr="00A4272B" w:rsidRDefault="00F3536C" w:rsidP="00A41632">
            <w:pPr>
              <w:jc w:val="center"/>
              <w:rPr>
                <w:color w:val="000000"/>
                <w:sz w:val="14"/>
                <w:szCs w:val="14"/>
                <w:lang w:val="en-US"/>
              </w:rPr>
            </w:pPr>
            <w:r w:rsidRPr="00A4272B">
              <w:rPr>
                <w:color w:val="000000"/>
                <w:sz w:val="14"/>
                <w:szCs w:val="14"/>
                <w:lang w:val="en-US"/>
              </w:rPr>
              <w:t>2830</w:t>
            </w:r>
          </w:p>
        </w:tc>
        <w:tc>
          <w:tcPr>
            <w:tcW w:w="792" w:type="dxa"/>
            <w:noWrap/>
            <w:vAlign w:val="center"/>
            <w:hideMark/>
          </w:tcPr>
          <w:p w14:paraId="4904CA2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7CD4231"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787138D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A9DED7E"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07ACB18D"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0724193C" w14:textId="77777777" w:rsidR="00F3536C" w:rsidRPr="00A4272B" w:rsidRDefault="00F3536C" w:rsidP="00A41632">
            <w:pPr>
              <w:jc w:val="center"/>
              <w:rPr>
                <w:sz w:val="14"/>
                <w:szCs w:val="14"/>
                <w:lang w:val="en-US"/>
              </w:rPr>
            </w:pPr>
            <w:r w:rsidRPr="00A4272B">
              <w:rPr>
                <w:sz w:val="14"/>
                <w:szCs w:val="14"/>
                <w:lang w:val="en-US"/>
              </w:rPr>
              <w:t>2004</w:t>
            </w:r>
          </w:p>
        </w:tc>
      </w:tr>
      <w:tr w:rsidR="00F3536C" w:rsidRPr="00A4272B" w14:paraId="2D9649A8" w14:textId="77777777" w:rsidTr="00A41632">
        <w:trPr>
          <w:trHeight w:val="276"/>
          <w:jc w:val="center"/>
        </w:trPr>
        <w:tc>
          <w:tcPr>
            <w:tcW w:w="955" w:type="dxa"/>
            <w:tcBorders>
              <w:top w:val="nil"/>
              <w:left w:val="single" w:sz="8" w:space="0" w:color="auto"/>
              <w:bottom w:val="nil"/>
              <w:right w:val="nil"/>
            </w:tcBorders>
            <w:noWrap/>
            <w:vAlign w:val="center"/>
            <w:hideMark/>
          </w:tcPr>
          <w:p w14:paraId="148C6BC6"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A0F552E" w14:textId="77777777" w:rsidR="00F3536C" w:rsidRPr="00A4272B" w:rsidRDefault="00F3536C" w:rsidP="00A41632">
            <w:pPr>
              <w:rPr>
                <w:color w:val="000000"/>
                <w:sz w:val="14"/>
                <w:szCs w:val="14"/>
                <w:lang w:val="en-US"/>
              </w:rPr>
            </w:pPr>
            <w:r w:rsidRPr="00A4272B">
              <w:rPr>
                <w:color w:val="000000"/>
                <w:sz w:val="14"/>
                <w:szCs w:val="14"/>
                <w:lang w:val="en-US"/>
              </w:rPr>
              <w:t>Ecuador</w:t>
            </w:r>
          </w:p>
        </w:tc>
        <w:tc>
          <w:tcPr>
            <w:tcW w:w="2504" w:type="dxa"/>
            <w:noWrap/>
            <w:vAlign w:val="center"/>
            <w:hideMark/>
          </w:tcPr>
          <w:p w14:paraId="6943C623" w14:textId="77777777" w:rsidR="00F3536C" w:rsidRPr="00A4272B" w:rsidRDefault="00F3536C" w:rsidP="00A41632">
            <w:pPr>
              <w:rPr>
                <w:color w:val="000000"/>
                <w:sz w:val="14"/>
                <w:szCs w:val="14"/>
                <w:lang w:val="en-US"/>
              </w:rPr>
            </w:pPr>
            <w:r w:rsidRPr="00A4272B">
              <w:rPr>
                <w:color w:val="000000"/>
                <w:sz w:val="14"/>
                <w:szCs w:val="14"/>
                <w:lang w:val="en-US"/>
              </w:rPr>
              <w:t>Quito</w:t>
            </w:r>
          </w:p>
        </w:tc>
        <w:tc>
          <w:tcPr>
            <w:tcW w:w="998" w:type="dxa"/>
            <w:noWrap/>
            <w:vAlign w:val="center"/>
            <w:hideMark/>
          </w:tcPr>
          <w:p w14:paraId="6815134A" w14:textId="77777777" w:rsidR="00F3536C" w:rsidRPr="00A4272B" w:rsidRDefault="00F3536C" w:rsidP="00A41632">
            <w:pPr>
              <w:jc w:val="center"/>
              <w:rPr>
                <w:color w:val="000000"/>
                <w:sz w:val="14"/>
                <w:szCs w:val="14"/>
                <w:lang w:val="en-US"/>
              </w:rPr>
            </w:pPr>
            <w:r w:rsidRPr="00A4272B">
              <w:rPr>
                <w:color w:val="000000"/>
                <w:sz w:val="14"/>
                <w:szCs w:val="14"/>
                <w:lang w:val="en-US"/>
              </w:rPr>
              <w:t>GR19</w:t>
            </w:r>
          </w:p>
        </w:tc>
        <w:tc>
          <w:tcPr>
            <w:tcW w:w="1342" w:type="dxa"/>
            <w:noWrap/>
            <w:vAlign w:val="center"/>
            <w:hideMark/>
          </w:tcPr>
          <w:p w14:paraId="0B91F147"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78E1D9C7" w14:textId="77777777" w:rsidR="00F3536C" w:rsidRPr="00A4272B" w:rsidRDefault="00F3536C" w:rsidP="00A41632">
            <w:pPr>
              <w:jc w:val="right"/>
              <w:rPr>
                <w:color w:val="000000"/>
                <w:sz w:val="14"/>
                <w:szCs w:val="14"/>
                <w:lang w:val="en-US"/>
              </w:rPr>
            </w:pPr>
            <w:r w:rsidRPr="00A4272B">
              <w:rPr>
                <w:color w:val="000000"/>
                <w:sz w:val="14"/>
                <w:szCs w:val="14"/>
                <w:lang w:val="en-US"/>
              </w:rPr>
              <w:t>-0.250000</w:t>
            </w:r>
          </w:p>
        </w:tc>
        <w:tc>
          <w:tcPr>
            <w:tcW w:w="998" w:type="dxa"/>
            <w:noWrap/>
            <w:vAlign w:val="center"/>
            <w:hideMark/>
          </w:tcPr>
          <w:p w14:paraId="0B6C8ED9" w14:textId="77777777" w:rsidR="00F3536C" w:rsidRPr="00A4272B" w:rsidRDefault="00F3536C" w:rsidP="00A41632">
            <w:pPr>
              <w:jc w:val="right"/>
              <w:rPr>
                <w:color w:val="000000"/>
                <w:sz w:val="14"/>
                <w:szCs w:val="14"/>
                <w:lang w:val="en-US"/>
              </w:rPr>
            </w:pPr>
            <w:r w:rsidRPr="00A4272B">
              <w:rPr>
                <w:color w:val="000000"/>
                <w:sz w:val="14"/>
                <w:szCs w:val="14"/>
                <w:lang w:val="en-US"/>
              </w:rPr>
              <w:t>-78.583334</w:t>
            </w:r>
          </w:p>
        </w:tc>
        <w:tc>
          <w:tcPr>
            <w:tcW w:w="859" w:type="dxa"/>
            <w:tcBorders>
              <w:top w:val="nil"/>
              <w:left w:val="nil"/>
              <w:bottom w:val="nil"/>
              <w:right w:val="single" w:sz="8" w:space="0" w:color="auto"/>
            </w:tcBorders>
            <w:noWrap/>
            <w:vAlign w:val="center"/>
            <w:hideMark/>
          </w:tcPr>
          <w:p w14:paraId="5EB0CF81" w14:textId="77777777" w:rsidR="00F3536C" w:rsidRPr="00A4272B" w:rsidRDefault="00F3536C" w:rsidP="00A41632">
            <w:pPr>
              <w:jc w:val="center"/>
              <w:rPr>
                <w:color w:val="000000"/>
                <w:sz w:val="14"/>
                <w:szCs w:val="14"/>
                <w:lang w:val="en-US"/>
              </w:rPr>
            </w:pPr>
            <w:r w:rsidRPr="00A4272B">
              <w:rPr>
                <w:color w:val="000000"/>
                <w:sz w:val="14"/>
                <w:szCs w:val="14"/>
                <w:lang w:val="en-US"/>
              </w:rPr>
              <w:t>1658</w:t>
            </w:r>
          </w:p>
        </w:tc>
        <w:tc>
          <w:tcPr>
            <w:tcW w:w="792" w:type="dxa"/>
            <w:noWrap/>
            <w:vAlign w:val="center"/>
            <w:hideMark/>
          </w:tcPr>
          <w:p w14:paraId="40157C4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34E7A28"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44B0FE6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51BFC1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2DA326A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670E606E" w14:textId="77777777" w:rsidR="00F3536C" w:rsidRPr="00A4272B" w:rsidRDefault="00F3536C" w:rsidP="00A41632">
            <w:pPr>
              <w:jc w:val="center"/>
              <w:rPr>
                <w:sz w:val="14"/>
                <w:szCs w:val="14"/>
                <w:lang w:val="en-US"/>
              </w:rPr>
            </w:pPr>
            <w:r w:rsidRPr="00A4272B">
              <w:rPr>
                <w:sz w:val="14"/>
                <w:szCs w:val="14"/>
                <w:lang w:val="en-US"/>
              </w:rPr>
              <w:t>2011</w:t>
            </w:r>
          </w:p>
        </w:tc>
      </w:tr>
      <w:tr w:rsidR="00F3536C" w:rsidRPr="00A4272B" w14:paraId="7EB6938B" w14:textId="77777777" w:rsidTr="00A41632">
        <w:trPr>
          <w:trHeight w:val="276"/>
          <w:jc w:val="center"/>
        </w:trPr>
        <w:tc>
          <w:tcPr>
            <w:tcW w:w="955" w:type="dxa"/>
            <w:tcBorders>
              <w:top w:val="nil"/>
              <w:left w:val="single" w:sz="8" w:space="0" w:color="auto"/>
              <w:bottom w:val="nil"/>
              <w:right w:val="nil"/>
            </w:tcBorders>
            <w:noWrap/>
            <w:vAlign w:val="center"/>
            <w:hideMark/>
          </w:tcPr>
          <w:p w14:paraId="799488DF"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5253C0DB" w14:textId="77777777" w:rsidR="00F3536C" w:rsidRPr="00A4272B" w:rsidRDefault="00F3536C" w:rsidP="00A41632">
            <w:pPr>
              <w:rPr>
                <w:color w:val="000000"/>
                <w:sz w:val="14"/>
                <w:szCs w:val="14"/>
                <w:lang w:val="en-US"/>
              </w:rPr>
            </w:pPr>
            <w:r w:rsidRPr="00A4272B">
              <w:rPr>
                <w:color w:val="000000"/>
                <w:sz w:val="14"/>
                <w:szCs w:val="14"/>
                <w:lang w:val="en-US"/>
              </w:rPr>
              <w:t>Ecuador</w:t>
            </w:r>
          </w:p>
        </w:tc>
        <w:tc>
          <w:tcPr>
            <w:tcW w:w="2504" w:type="dxa"/>
            <w:noWrap/>
            <w:vAlign w:val="center"/>
            <w:hideMark/>
          </w:tcPr>
          <w:p w14:paraId="721A767C" w14:textId="77777777" w:rsidR="00F3536C" w:rsidRPr="00A4272B" w:rsidRDefault="00F3536C" w:rsidP="00A41632">
            <w:pPr>
              <w:rPr>
                <w:color w:val="000000"/>
                <w:sz w:val="14"/>
                <w:szCs w:val="14"/>
                <w:lang w:val="en-US"/>
              </w:rPr>
            </w:pPr>
            <w:r w:rsidRPr="00A4272B">
              <w:rPr>
                <w:color w:val="000000"/>
                <w:sz w:val="14"/>
                <w:szCs w:val="14"/>
                <w:lang w:val="en-US"/>
              </w:rPr>
              <w:t>Santa Cruz Island</w:t>
            </w:r>
          </w:p>
        </w:tc>
        <w:tc>
          <w:tcPr>
            <w:tcW w:w="998" w:type="dxa"/>
            <w:noWrap/>
            <w:vAlign w:val="center"/>
            <w:hideMark/>
          </w:tcPr>
          <w:p w14:paraId="7C406695" w14:textId="77777777" w:rsidR="00F3536C" w:rsidRPr="00A4272B" w:rsidRDefault="00F3536C" w:rsidP="00A41632">
            <w:pPr>
              <w:jc w:val="center"/>
              <w:rPr>
                <w:color w:val="000000"/>
                <w:sz w:val="14"/>
                <w:szCs w:val="14"/>
                <w:lang w:val="en-US"/>
              </w:rPr>
            </w:pPr>
            <w:r w:rsidRPr="00A4272B">
              <w:rPr>
                <w:color w:val="000000"/>
                <w:sz w:val="14"/>
                <w:szCs w:val="14"/>
                <w:lang w:val="en-US"/>
              </w:rPr>
              <w:t>GR13</w:t>
            </w:r>
          </w:p>
        </w:tc>
        <w:tc>
          <w:tcPr>
            <w:tcW w:w="1342" w:type="dxa"/>
            <w:noWrap/>
            <w:vAlign w:val="center"/>
            <w:hideMark/>
          </w:tcPr>
          <w:p w14:paraId="4DAC65E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9CF226A" w14:textId="77777777" w:rsidR="00F3536C" w:rsidRPr="00A4272B" w:rsidRDefault="00F3536C" w:rsidP="00A41632">
            <w:pPr>
              <w:jc w:val="right"/>
              <w:rPr>
                <w:color w:val="000000"/>
                <w:sz w:val="14"/>
                <w:szCs w:val="14"/>
                <w:lang w:val="en-US"/>
              </w:rPr>
            </w:pPr>
            <w:r w:rsidRPr="00A4272B">
              <w:rPr>
                <w:color w:val="000000"/>
                <w:sz w:val="14"/>
                <w:szCs w:val="14"/>
                <w:lang w:val="en-US"/>
              </w:rPr>
              <w:t>-0.978458</w:t>
            </w:r>
          </w:p>
        </w:tc>
        <w:tc>
          <w:tcPr>
            <w:tcW w:w="998" w:type="dxa"/>
            <w:noWrap/>
            <w:vAlign w:val="center"/>
            <w:hideMark/>
          </w:tcPr>
          <w:p w14:paraId="4A683D3C" w14:textId="77777777" w:rsidR="00F3536C" w:rsidRPr="00A4272B" w:rsidRDefault="00F3536C" w:rsidP="00A41632">
            <w:pPr>
              <w:jc w:val="right"/>
              <w:rPr>
                <w:color w:val="000000"/>
                <w:sz w:val="14"/>
                <w:szCs w:val="14"/>
                <w:lang w:val="en-US"/>
              </w:rPr>
            </w:pPr>
            <w:r w:rsidRPr="00A4272B">
              <w:rPr>
                <w:color w:val="000000"/>
                <w:sz w:val="14"/>
                <w:szCs w:val="14"/>
                <w:lang w:val="en-US"/>
              </w:rPr>
              <w:t>-89.359129</w:t>
            </w:r>
          </w:p>
        </w:tc>
        <w:tc>
          <w:tcPr>
            <w:tcW w:w="859" w:type="dxa"/>
            <w:tcBorders>
              <w:top w:val="nil"/>
              <w:left w:val="nil"/>
              <w:bottom w:val="nil"/>
              <w:right w:val="single" w:sz="8" w:space="0" w:color="auto"/>
            </w:tcBorders>
            <w:noWrap/>
            <w:vAlign w:val="center"/>
            <w:hideMark/>
          </w:tcPr>
          <w:p w14:paraId="1C0202E3" w14:textId="77777777" w:rsidR="00F3536C" w:rsidRPr="00A4272B" w:rsidRDefault="00F3536C" w:rsidP="00A41632">
            <w:pPr>
              <w:jc w:val="center"/>
              <w:rPr>
                <w:color w:val="000000"/>
                <w:sz w:val="14"/>
                <w:szCs w:val="14"/>
                <w:lang w:val="en-US"/>
              </w:rPr>
            </w:pPr>
            <w:r w:rsidRPr="00A4272B">
              <w:rPr>
                <w:color w:val="000000"/>
                <w:sz w:val="14"/>
                <w:szCs w:val="14"/>
                <w:lang w:val="en-US"/>
              </w:rPr>
              <w:t>168</w:t>
            </w:r>
          </w:p>
        </w:tc>
        <w:tc>
          <w:tcPr>
            <w:tcW w:w="792" w:type="dxa"/>
            <w:noWrap/>
            <w:vAlign w:val="center"/>
            <w:hideMark/>
          </w:tcPr>
          <w:p w14:paraId="14357B0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2BCCC93"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0000FCD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0F1A5D8"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1174171B"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2DA71AA9" w14:textId="77777777" w:rsidR="00F3536C" w:rsidRPr="00A4272B" w:rsidRDefault="00F3536C" w:rsidP="00A41632">
            <w:pPr>
              <w:jc w:val="center"/>
              <w:rPr>
                <w:sz w:val="14"/>
                <w:szCs w:val="14"/>
                <w:lang w:val="en-US"/>
              </w:rPr>
            </w:pPr>
            <w:r w:rsidRPr="00A4272B">
              <w:rPr>
                <w:sz w:val="14"/>
                <w:szCs w:val="14"/>
                <w:lang w:val="en-US"/>
              </w:rPr>
              <w:t>2008</w:t>
            </w:r>
          </w:p>
        </w:tc>
      </w:tr>
      <w:tr w:rsidR="00F3536C" w:rsidRPr="00A4272B" w14:paraId="4158FB1E" w14:textId="77777777" w:rsidTr="00A41632">
        <w:trPr>
          <w:trHeight w:val="276"/>
          <w:jc w:val="center"/>
        </w:trPr>
        <w:tc>
          <w:tcPr>
            <w:tcW w:w="955" w:type="dxa"/>
            <w:tcBorders>
              <w:top w:val="nil"/>
              <w:left w:val="single" w:sz="8" w:space="0" w:color="auto"/>
              <w:bottom w:val="nil"/>
              <w:right w:val="nil"/>
            </w:tcBorders>
            <w:noWrap/>
            <w:vAlign w:val="center"/>
            <w:hideMark/>
          </w:tcPr>
          <w:p w14:paraId="3D4726A5"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6DA25830" w14:textId="77777777" w:rsidR="00F3536C" w:rsidRPr="00A4272B" w:rsidRDefault="00F3536C" w:rsidP="00A41632">
            <w:pPr>
              <w:rPr>
                <w:color w:val="000000"/>
                <w:sz w:val="14"/>
                <w:szCs w:val="14"/>
                <w:lang w:val="en-US"/>
              </w:rPr>
            </w:pPr>
            <w:r w:rsidRPr="00A4272B">
              <w:rPr>
                <w:color w:val="000000"/>
                <w:sz w:val="14"/>
                <w:szCs w:val="14"/>
                <w:lang w:val="en-US"/>
              </w:rPr>
              <w:t>Mexico</w:t>
            </w:r>
          </w:p>
        </w:tc>
        <w:tc>
          <w:tcPr>
            <w:tcW w:w="2504" w:type="dxa"/>
            <w:noWrap/>
            <w:vAlign w:val="center"/>
            <w:hideMark/>
          </w:tcPr>
          <w:p w14:paraId="081E17E3" w14:textId="77777777" w:rsidR="00F3536C" w:rsidRPr="00A4272B" w:rsidRDefault="00F3536C" w:rsidP="00A41632">
            <w:pPr>
              <w:rPr>
                <w:color w:val="000000"/>
                <w:sz w:val="14"/>
                <w:szCs w:val="14"/>
                <w:lang w:val="en-US"/>
              </w:rPr>
            </w:pPr>
            <w:r w:rsidRPr="00A4272B">
              <w:rPr>
                <w:color w:val="000000"/>
                <w:sz w:val="14"/>
                <w:szCs w:val="14"/>
                <w:lang w:val="en-US"/>
              </w:rPr>
              <w:t>Celestún / Yucatan</w:t>
            </w:r>
          </w:p>
        </w:tc>
        <w:tc>
          <w:tcPr>
            <w:tcW w:w="998" w:type="dxa"/>
            <w:noWrap/>
            <w:vAlign w:val="center"/>
            <w:hideMark/>
          </w:tcPr>
          <w:p w14:paraId="0587090E" w14:textId="77777777" w:rsidR="00F3536C" w:rsidRPr="00A4272B" w:rsidRDefault="00F3536C" w:rsidP="00A41632">
            <w:pPr>
              <w:jc w:val="center"/>
              <w:rPr>
                <w:color w:val="000000"/>
                <w:sz w:val="14"/>
                <w:szCs w:val="14"/>
                <w:lang w:val="en-US"/>
              </w:rPr>
            </w:pPr>
            <w:r w:rsidRPr="00A4272B">
              <w:rPr>
                <w:color w:val="000000"/>
                <w:sz w:val="14"/>
                <w:szCs w:val="14"/>
                <w:lang w:val="en-US"/>
              </w:rPr>
              <w:t>GR17</w:t>
            </w:r>
          </w:p>
        </w:tc>
        <w:tc>
          <w:tcPr>
            <w:tcW w:w="1342" w:type="dxa"/>
            <w:noWrap/>
            <w:vAlign w:val="center"/>
            <w:hideMark/>
          </w:tcPr>
          <w:p w14:paraId="28730A4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05EBF87" w14:textId="77777777" w:rsidR="00F3536C" w:rsidRPr="00A4272B" w:rsidRDefault="00F3536C" w:rsidP="00A41632">
            <w:pPr>
              <w:jc w:val="right"/>
              <w:rPr>
                <w:color w:val="000000"/>
                <w:sz w:val="14"/>
                <w:szCs w:val="14"/>
                <w:lang w:val="en-US"/>
              </w:rPr>
            </w:pPr>
            <w:r w:rsidRPr="00A4272B">
              <w:rPr>
                <w:color w:val="000000"/>
                <w:sz w:val="14"/>
                <w:szCs w:val="14"/>
                <w:lang w:val="en-US"/>
              </w:rPr>
              <w:t>20.859201</w:t>
            </w:r>
          </w:p>
        </w:tc>
        <w:tc>
          <w:tcPr>
            <w:tcW w:w="998" w:type="dxa"/>
            <w:noWrap/>
            <w:vAlign w:val="center"/>
            <w:hideMark/>
          </w:tcPr>
          <w:p w14:paraId="2DE6878B" w14:textId="77777777" w:rsidR="00F3536C" w:rsidRPr="00A4272B" w:rsidRDefault="00F3536C" w:rsidP="00A41632">
            <w:pPr>
              <w:jc w:val="right"/>
              <w:rPr>
                <w:color w:val="000000"/>
                <w:sz w:val="14"/>
                <w:szCs w:val="14"/>
                <w:lang w:val="en-US"/>
              </w:rPr>
            </w:pPr>
            <w:r w:rsidRPr="00A4272B">
              <w:rPr>
                <w:color w:val="000000"/>
                <w:sz w:val="14"/>
                <w:szCs w:val="14"/>
                <w:lang w:val="en-US"/>
              </w:rPr>
              <w:t>-90.392400</w:t>
            </w:r>
          </w:p>
        </w:tc>
        <w:tc>
          <w:tcPr>
            <w:tcW w:w="859" w:type="dxa"/>
            <w:tcBorders>
              <w:top w:val="nil"/>
              <w:left w:val="nil"/>
              <w:bottom w:val="nil"/>
              <w:right w:val="single" w:sz="8" w:space="0" w:color="auto"/>
            </w:tcBorders>
            <w:noWrap/>
            <w:vAlign w:val="center"/>
            <w:hideMark/>
          </w:tcPr>
          <w:p w14:paraId="7FEAAFBE" w14:textId="77777777" w:rsidR="00F3536C" w:rsidRPr="00A4272B" w:rsidRDefault="00F3536C" w:rsidP="00A41632">
            <w:pPr>
              <w:jc w:val="center"/>
              <w:rPr>
                <w:color w:val="000000"/>
                <w:sz w:val="14"/>
                <w:szCs w:val="14"/>
                <w:lang w:val="en-US"/>
              </w:rPr>
            </w:pPr>
            <w:r w:rsidRPr="00A4272B">
              <w:rPr>
                <w:color w:val="000000"/>
                <w:sz w:val="14"/>
                <w:szCs w:val="14"/>
                <w:lang w:val="en-US"/>
              </w:rPr>
              <w:t>52</w:t>
            </w:r>
          </w:p>
        </w:tc>
        <w:tc>
          <w:tcPr>
            <w:tcW w:w="792" w:type="dxa"/>
            <w:noWrap/>
            <w:vAlign w:val="center"/>
            <w:hideMark/>
          </w:tcPr>
          <w:p w14:paraId="6964FA7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1E99D8A"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5A4DB01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1685C7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4BAFDE01"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34E49C9D"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431ED32A" w14:textId="77777777" w:rsidTr="00A41632">
        <w:trPr>
          <w:trHeight w:val="276"/>
          <w:jc w:val="center"/>
        </w:trPr>
        <w:tc>
          <w:tcPr>
            <w:tcW w:w="955" w:type="dxa"/>
            <w:tcBorders>
              <w:top w:val="nil"/>
              <w:left w:val="single" w:sz="8" w:space="0" w:color="auto"/>
              <w:bottom w:val="nil"/>
              <w:right w:val="nil"/>
            </w:tcBorders>
            <w:noWrap/>
            <w:vAlign w:val="center"/>
            <w:hideMark/>
          </w:tcPr>
          <w:p w14:paraId="0DA67DB3"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noWrap/>
            <w:vAlign w:val="center"/>
            <w:hideMark/>
          </w:tcPr>
          <w:p w14:paraId="473100A9" w14:textId="77777777" w:rsidR="00F3536C" w:rsidRPr="00A4272B" w:rsidRDefault="00F3536C" w:rsidP="00A41632">
            <w:pPr>
              <w:rPr>
                <w:color w:val="000000"/>
                <w:sz w:val="14"/>
                <w:szCs w:val="14"/>
                <w:lang w:val="en-US"/>
              </w:rPr>
            </w:pPr>
            <w:r w:rsidRPr="00A4272B">
              <w:rPr>
                <w:color w:val="000000"/>
                <w:sz w:val="14"/>
                <w:szCs w:val="14"/>
                <w:lang w:val="en-US"/>
              </w:rPr>
              <w:t>Mexico</w:t>
            </w:r>
          </w:p>
        </w:tc>
        <w:tc>
          <w:tcPr>
            <w:tcW w:w="2504" w:type="dxa"/>
            <w:noWrap/>
            <w:vAlign w:val="center"/>
            <w:hideMark/>
          </w:tcPr>
          <w:p w14:paraId="3DF33BEC" w14:textId="77777777" w:rsidR="00F3536C" w:rsidRPr="00A4272B" w:rsidRDefault="00F3536C" w:rsidP="00A41632">
            <w:pPr>
              <w:rPr>
                <w:color w:val="000000"/>
                <w:sz w:val="14"/>
                <w:szCs w:val="14"/>
                <w:lang w:val="en-US"/>
              </w:rPr>
            </w:pPr>
            <w:r w:rsidRPr="00A4272B">
              <w:rPr>
                <w:color w:val="000000"/>
                <w:sz w:val="14"/>
                <w:szCs w:val="14"/>
                <w:lang w:val="en-US"/>
              </w:rPr>
              <w:t>Mexico City</w:t>
            </w:r>
          </w:p>
        </w:tc>
        <w:tc>
          <w:tcPr>
            <w:tcW w:w="998" w:type="dxa"/>
            <w:noWrap/>
            <w:vAlign w:val="center"/>
            <w:hideMark/>
          </w:tcPr>
          <w:p w14:paraId="374E8F1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5BD56F8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6256584" w14:textId="77777777" w:rsidR="00F3536C" w:rsidRPr="00A4272B" w:rsidRDefault="00F3536C" w:rsidP="00A41632">
            <w:pPr>
              <w:jc w:val="right"/>
              <w:rPr>
                <w:color w:val="000000"/>
                <w:sz w:val="14"/>
                <w:szCs w:val="14"/>
                <w:lang w:val="en-US"/>
              </w:rPr>
            </w:pPr>
            <w:r w:rsidRPr="00A4272B">
              <w:rPr>
                <w:color w:val="000000"/>
                <w:sz w:val="14"/>
                <w:szCs w:val="14"/>
                <w:lang w:val="en-US"/>
              </w:rPr>
              <w:t>19.246470</w:t>
            </w:r>
          </w:p>
        </w:tc>
        <w:tc>
          <w:tcPr>
            <w:tcW w:w="998" w:type="dxa"/>
            <w:noWrap/>
            <w:vAlign w:val="center"/>
            <w:hideMark/>
          </w:tcPr>
          <w:p w14:paraId="03B44502" w14:textId="77777777" w:rsidR="00F3536C" w:rsidRPr="00A4272B" w:rsidRDefault="00F3536C" w:rsidP="00A41632">
            <w:pPr>
              <w:jc w:val="right"/>
              <w:rPr>
                <w:color w:val="000000"/>
                <w:sz w:val="14"/>
                <w:szCs w:val="14"/>
                <w:lang w:val="en-US"/>
              </w:rPr>
            </w:pPr>
            <w:r w:rsidRPr="00A4272B">
              <w:rPr>
                <w:color w:val="000000"/>
                <w:sz w:val="14"/>
                <w:szCs w:val="14"/>
                <w:lang w:val="en-US"/>
              </w:rPr>
              <w:t>-99.101350</w:t>
            </w:r>
          </w:p>
        </w:tc>
        <w:tc>
          <w:tcPr>
            <w:tcW w:w="859" w:type="dxa"/>
            <w:tcBorders>
              <w:top w:val="nil"/>
              <w:left w:val="nil"/>
              <w:bottom w:val="nil"/>
              <w:right w:val="single" w:sz="8" w:space="0" w:color="auto"/>
            </w:tcBorders>
            <w:noWrap/>
            <w:vAlign w:val="center"/>
            <w:hideMark/>
          </w:tcPr>
          <w:p w14:paraId="35C81F3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962516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BD8CC42"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noWrap/>
            <w:vAlign w:val="center"/>
            <w:hideMark/>
          </w:tcPr>
          <w:p w14:paraId="3720C78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F93982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noWrap/>
            <w:vAlign w:val="center"/>
            <w:hideMark/>
          </w:tcPr>
          <w:p w14:paraId="5C40F1A6"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nil"/>
              <w:right w:val="single" w:sz="8" w:space="0" w:color="auto"/>
            </w:tcBorders>
            <w:noWrap/>
            <w:vAlign w:val="center"/>
            <w:hideMark/>
          </w:tcPr>
          <w:p w14:paraId="42835348"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2D7E46FB"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1097BC37" w14:textId="77777777" w:rsidR="00F3536C" w:rsidRPr="00A4272B" w:rsidRDefault="00F3536C" w:rsidP="00A41632">
            <w:pPr>
              <w:rPr>
                <w:color w:val="000000"/>
                <w:sz w:val="14"/>
                <w:szCs w:val="14"/>
                <w:lang w:val="en-US"/>
              </w:rPr>
            </w:pPr>
            <w:r w:rsidRPr="00A4272B">
              <w:rPr>
                <w:color w:val="000000"/>
                <w:sz w:val="14"/>
                <w:szCs w:val="14"/>
                <w:lang w:val="en-US"/>
              </w:rPr>
              <w:t>GAPS</w:t>
            </w:r>
          </w:p>
        </w:tc>
        <w:tc>
          <w:tcPr>
            <w:tcW w:w="1391" w:type="dxa"/>
            <w:tcBorders>
              <w:top w:val="nil"/>
              <w:left w:val="nil"/>
              <w:bottom w:val="single" w:sz="4" w:space="0" w:color="auto"/>
              <w:right w:val="nil"/>
            </w:tcBorders>
            <w:noWrap/>
            <w:vAlign w:val="center"/>
            <w:hideMark/>
          </w:tcPr>
          <w:p w14:paraId="281C482C" w14:textId="77777777" w:rsidR="00F3536C" w:rsidRPr="00A4272B" w:rsidRDefault="00F3536C" w:rsidP="00A41632">
            <w:pPr>
              <w:rPr>
                <w:color w:val="000000"/>
                <w:sz w:val="14"/>
                <w:szCs w:val="14"/>
                <w:lang w:val="en-US"/>
              </w:rPr>
            </w:pPr>
            <w:r w:rsidRPr="00A4272B">
              <w:rPr>
                <w:color w:val="000000"/>
                <w:sz w:val="14"/>
                <w:szCs w:val="14"/>
                <w:lang w:val="en-US"/>
              </w:rPr>
              <w:t>Mexico</w:t>
            </w:r>
          </w:p>
        </w:tc>
        <w:tc>
          <w:tcPr>
            <w:tcW w:w="2504" w:type="dxa"/>
            <w:tcBorders>
              <w:top w:val="nil"/>
              <w:left w:val="nil"/>
              <w:bottom w:val="single" w:sz="4" w:space="0" w:color="auto"/>
              <w:right w:val="nil"/>
            </w:tcBorders>
            <w:noWrap/>
            <w:vAlign w:val="center"/>
            <w:hideMark/>
          </w:tcPr>
          <w:p w14:paraId="600990AE" w14:textId="77777777" w:rsidR="00F3536C" w:rsidRPr="00A4272B" w:rsidRDefault="00F3536C" w:rsidP="00A41632">
            <w:pPr>
              <w:rPr>
                <w:color w:val="000000"/>
                <w:sz w:val="14"/>
                <w:szCs w:val="14"/>
                <w:lang w:val="en-US"/>
              </w:rPr>
            </w:pPr>
            <w:r w:rsidRPr="00A4272B">
              <w:rPr>
                <w:color w:val="000000"/>
                <w:sz w:val="14"/>
                <w:szCs w:val="14"/>
                <w:lang w:val="en-US"/>
              </w:rPr>
              <w:t>Valley of the Yaqui / Sonora</w:t>
            </w:r>
          </w:p>
        </w:tc>
        <w:tc>
          <w:tcPr>
            <w:tcW w:w="998" w:type="dxa"/>
            <w:tcBorders>
              <w:top w:val="nil"/>
              <w:left w:val="nil"/>
              <w:bottom w:val="single" w:sz="4" w:space="0" w:color="auto"/>
              <w:right w:val="nil"/>
            </w:tcBorders>
            <w:noWrap/>
            <w:vAlign w:val="center"/>
            <w:hideMark/>
          </w:tcPr>
          <w:p w14:paraId="6A00551A" w14:textId="77777777" w:rsidR="00F3536C" w:rsidRPr="00A4272B" w:rsidRDefault="00F3536C" w:rsidP="00A41632">
            <w:pPr>
              <w:jc w:val="center"/>
              <w:rPr>
                <w:color w:val="000000"/>
                <w:sz w:val="14"/>
                <w:szCs w:val="14"/>
                <w:lang w:val="en-US"/>
              </w:rPr>
            </w:pPr>
            <w:r w:rsidRPr="00A4272B">
              <w:rPr>
                <w:color w:val="000000"/>
                <w:sz w:val="14"/>
                <w:szCs w:val="14"/>
                <w:lang w:val="en-US"/>
              </w:rPr>
              <w:t>GR16</w:t>
            </w:r>
          </w:p>
        </w:tc>
        <w:tc>
          <w:tcPr>
            <w:tcW w:w="1342" w:type="dxa"/>
            <w:tcBorders>
              <w:top w:val="nil"/>
              <w:left w:val="nil"/>
              <w:bottom w:val="single" w:sz="4" w:space="0" w:color="auto"/>
              <w:right w:val="nil"/>
            </w:tcBorders>
            <w:noWrap/>
            <w:vAlign w:val="center"/>
            <w:hideMark/>
          </w:tcPr>
          <w:p w14:paraId="29CDA3E2" w14:textId="77777777" w:rsidR="00F3536C" w:rsidRPr="00A4272B" w:rsidRDefault="00F3536C" w:rsidP="00A41632">
            <w:pPr>
              <w:jc w:val="center"/>
              <w:rPr>
                <w:color w:val="000000"/>
                <w:sz w:val="14"/>
                <w:szCs w:val="14"/>
                <w:lang w:val="en-US"/>
              </w:rPr>
            </w:pPr>
            <w:r w:rsidRPr="00A4272B">
              <w:rPr>
                <w:color w:val="000000"/>
                <w:sz w:val="14"/>
                <w:szCs w:val="14"/>
                <w:lang w:val="en-US"/>
              </w:rPr>
              <w:t>Agricultural</w:t>
            </w:r>
          </w:p>
        </w:tc>
        <w:tc>
          <w:tcPr>
            <w:tcW w:w="900" w:type="dxa"/>
            <w:tcBorders>
              <w:top w:val="nil"/>
              <w:left w:val="nil"/>
              <w:bottom w:val="single" w:sz="4" w:space="0" w:color="auto"/>
              <w:right w:val="nil"/>
            </w:tcBorders>
            <w:noWrap/>
            <w:vAlign w:val="center"/>
            <w:hideMark/>
          </w:tcPr>
          <w:p w14:paraId="5114DBFC" w14:textId="77777777" w:rsidR="00F3536C" w:rsidRPr="00A4272B" w:rsidRDefault="00F3536C" w:rsidP="00A41632">
            <w:pPr>
              <w:jc w:val="right"/>
              <w:rPr>
                <w:color w:val="000000"/>
                <w:sz w:val="14"/>
                <w:szCs w:val="14"/>
                <w:lang w:val="en-US"/>
              </w:rPr>
            </w:pPr>
            <w:r w:rsidRPr="00A4272B">
              <w:rPr>
                <w:color w:val="000000"/>
                <w:sz w:val="14"/>
                <w:szCs w:val="14"/>
                <w:lang w:val="en-US"/>
              </w:rPr>
              <w:t>27.127308</w:t>
            </w:r>
          </w:p>
        </w:tc>
        <w:tc>
          <w:tcPr>
            <w:tcW w:w="998" w:type="dxa"/>
            <w:tcBorders>
              <w:top w:val="nil"/>
              <w:left w:val="nil"/>
              <w:bottom w:val="single" w:sz="4" w:space="0" w:color="auto"/>
              <w:right w:val="nil"/>
            </w:tcBorders>
            <w:noWrap/>
            <w:vAlign w:val="center"/>
            <w:hideMark/>
          </w:tcPr>
          <w:p w14:paraId="284825F2" w14:textId="77777777" w:rsidR="00F3536C" w:rsidRPr="00A4272B" w:rsidRDefault="00F3536C" w:rsidP="00A41632">
            <w:pPr>
              <w:jc w:val="right"/>
              <w:rPr>
                <w:color w:val="000000"/>
                <w:sz w:val="14"/>
                <w:szCs w:val="14"/>
                <w:lang w:val="en-US"/>
              </w:rPr>
            </w:pPr>
            <w:r w:rsidRPr="00A4272B">
              <w:rPr>
                <w:color w:val="000000"/>
                <w:sz w:val="14"/>
                <w:szCs w:val="14"/>
                <w:lang w:val="en-US"/>
              </w:rPr>
              <w:t>-109.840471</w:t>
            </w:r>
          </w:p>
        </w:tc>
        <w:tc>
          <w:tcPr>
            <w:tcW w:w="859" w:type="dxa"/>
            <w:tcBorders>
              <w:top w:val="nil"/>
              <w:left w:val="nil"/>
              <w:bottom w:val="single" w:sz="4" w:space="0" w:color="auto"/>
              <w:right w:val="single" w:sz="8" w:space="0" w:color="auto"/>
            </w:tcBorders>
            <w:noWrap/>
            <w:vAlign w:val="center"/>
            <w:hideMark/>
          </w:tcPr>
          <w:p w14:paraId="72E46EC2" w14:textId="77777777" w:rsidR="00F3536C" w:rsidRPr="00A4272B" w:rsidRDefault="00F3536C" w:rsidP="00A41632">
            <w:pPr>
              <w:jc w:val="center"/>
              <w:rPr>
                <w:color w:val="000000"/>
                <w:sz w:val="14"/>
                <w:szCs w:val="14"/>
                <w:lang w:val="en-US"/>
              </w:rPr>
            </w:pPr>
            <w:r w:rsidRPr="00A4272B">
              <w:rPr>
                <w:color w:val="000000"/>
                <w:sz w:val="14"/>
                <w:szCs w:val="14"/>
                <w:lang w:val="en-US"/>
              </w:rPr>
              <w:t>140</w:t>
            </w:r>
          </w:p>
        </w:tc>
        <w:tc>
          <w:tcPr>
            <w:tcW w:w="792" w:type="dxa"/>
            <w:tcBorders>
              <w:top w:val="nil"/>
              <w:left w:val="nil"/>
              <w:bottom w:val="single" w:sz="4" w:space="0" w:color="auto"/>
              <w:right w:val="nil"/>
            </w:tcBorders>
            <w:noWrap/>
            <w:vAlign w:val="center"/>
            <w:hideMark/>
          </w:tcPr>
          <w:p w14:paraId="4079EB0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nil"/>
              <w:left w:val="nil"/>
              <w:bottom w:val="single" w:sz="4" w:space="0" w:color="auto"/>
              <w:right w:val="nil"/>
            </w:tcBorders>
            <w:noWrap/>
            <w:vAlign w:val="center"/>
            <w:hideMark/>
          </w:tcPr>
          <w:p w14:paraId="2039802C" w14:textId="77777777" w:rsidR="00F3536C" w:rsidRPr="00A4272B" w:rsidRDefault="00F3536C" w:rsidP="00A41632">
            <w:pPr>
              <w:jc w:val="center"/>
              <w:rPr>
                <w:color w:val="000000"/>
                <w:sz w:val="14"/>
                <w:szCs w:val="14"/>
                <w:lang w:val="en-US"/>
              </w:rPr>
            </w:pPr>
            <w:r w:rsidRPr="00A4272B">
              <w:rPr>
                <w:color w:val="000000"/>
                <w:sz w:val="14"/>
                <w:szCs w:val="14"/>
                <w:lang w:val="en-US"/>
              </w:rPr>
              <w:t>PUF</w:t>
            </w:r>
          </w:p>
        </w:tc>
        <w:tc>
          <w:tcPr>
            <w:tcW w:w="937" w:type="dxa"/>
            <w:tcBorders>
              <w:top w:val="nil"/>
              <w:left w:val="nil"/>
              <w:bottom w:val="single" w:sz="4" w:space="0" w:color="auto"/>
              <w:right w:val="nil"/>
            </w:tcBorders>
            <w:noWrap/>
            <w:vAlign w:val="center"/>
            <w:hideMark/>
          </w:tcPr>
          <w:p w14:paraId="58F6E6A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nil"/>
              <w:left w:val="nil"/>
              <w:bottom w:val="single" w:sz="4" w:space="0" w:color="auto"/>
              <w:right w:val="nil"/>
            </w:tcBorders>
            <w:noWrap/>
            <w:vAlign w:val="center"/>
            <w:hideMark/>
          </w:tcPr>
          <w:p w14:paraId="12FBB099"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924" w:type="dxa"/>
            <w:tcBorders>
              <w:top w:val="nil"/>
              <w:left w:val="nil"/>
              <w:bottom w:val="single" w:sz="4" w:space="0" w:color="auto"/>
              <w:right w:val="nil"/>
            </w:tcBorders>
            <w:noWrap/>
            <w:vAlign w:val="center"/>
            <w:hideMark/>
          </w:tcPr>
          <w:p w14:paraId="5CB290D5" w14:textId="77777777" w:rsidR="00F3536C" w:rsidRPr="00A4272B" w:rsidRDefault="00F3536C" w:rsidP="00A41632">
            <w:pPr>
              <w:jc w:val="center"/>
              <w:rPr>
                <w:color w:val="000000"/>
                <w:sz w:val="14"/>
                <w:szCs w:val="14"/>
                <w:lang w:val="en-US"/>
              </w:rPr>
            </w:pPr>
            <w:r w:rsidRPr="00A4272B">
              <w:rPr>
                <w:color w:val="000000"/>
                <w:sz w:val="14"/>
                <w:szCs w:val="14"/>
                <w:lang w:val="en-US"/>
              </w:rPr>
              <w:t>3 months</w:t>
            </w:r>
          </w:p>
        </w:tc>
        <w:tc>
          <w:tcPr>
            <w:tcW w:w="612" w:type="dxa"/>
            <w:tcBorders>
              <w:top w:val="nil"/>
              <w:left w:val="nil"/>
              <w:bottom w:val="single" w:sz="4" w:space="0" w:color="auto"/>
              <w:right w:val="single" w:sz="8" w:space="0" w:color="auto"/>
            </w:tcBorders>
            <w:noWrap/>
            <w:vAlign w:val="center"/>
            <w:hideMark/>
          </w:tcPr>
          <w:p w14:paraId="496B1E82"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0BE5D3E1" w14:textId="77777777" w:rsidTr="00A41632">
        <w:trPr>
          <w:trHeight w:val="276"/>
          <w:jc w:val="center"/>
        </w:trPr>
        <w:tc>
          <w:tcPr>
            <w:tcW w:w="955" w:type="dxa"/>
            <w:tcBorders>
              <w:top w:val="single" w:sz="4" w:space="0" w:color="auto"/>
              <w:left w:val="single" w:sz="8" w:space="0" w:color="auto"/>
              <w:bottom w:val="nil"/>
              <w:right w:val="nil"/>
            </w:tcBorders>
            <w:noWrap/>
            <w:vAlign w:val="center"/>
            <w:hideMark/>
          </w:tcPr>
          <w:p w14:paraId="6075D848"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tcBorders>
              <w:top w:val="single" w:sz="4" w:space="0" w:color="auto"/>
              <w:left w:val="nil"/>
              <w:bottom w:val="nil"/>
              <w:right w:val="nil"/>
            </w:tcBorders>
            <w:noWrap/>
            <w:vAlign w:val="center"/>
            <w:hideMark/>
          </w:tcPr>
          <w:p w14:paraId="23F73ED7" w14:textId="77777777" w:rsidR="00F3536C" w:rsidRPr="00A4272B" w:rsidRDefault="00F3536C" w:rsidP="00A41632">
            <w:pPr>
              <w:rPr>
                <w:color w:val="000000"/>
                <w:sz w:val="14"/>
                <w:szCs w:val="14"/>
                <w:lang w:val="en-US"/>
              </w:rPr>
            </w:pPr>
            <w:r w:rsidRPr="00A4272B">
              <w:rPr>
                <w:color w:val="000000"/>
                <w:sz w:val="14"/>
                <w:szCs w:val="14"/>
                <w:lang w:val="en-US"/>
              </w:rPr>
              <w:t>Antigua &amp; Barbuda</w:t>
            </w:r>
          </w:p>
        </w:tc>
        <w:tc>
          <w:tcPr>
            <w:tcW w:w="2504" w:type="dxa"/>
            <w:tcBorders>
              <w:top w:val="single" w:sz="4" w:space="0" w:color="auto"/>
              <w:left w:val="nil"/>
              <w:bottom w:val="nil"/>
              <w:right w:val="nil"/>
            </w:tcBorders>
            <w:noWrap/>
            <w:vAlign w:val="center"/>
            <w:hideMark/>
          </w:tcPr>
          <w:p w14:paraId="5F327B2C" w14:textId="77777777" w:rsidR="00F3536C" w:rsidRPr="00A4272B" w:rsidRDefault="00F3536C" w:rsidP="00A41632">
            <w:pPr>
              <w:rPr>
                <w:color w:val="000000"/>
                <w:sz w:val="14"/>
                <w:szCs w:val="14"/>
                <w:lang w:val="en-US"/>
              </w:rPr>
            </w:pPr>
            <w:r w:rsidRPr="00A4272B">
              <w:rPr>
                <w:color w:val="000000"/>
                <w:sz w:val="14"/>
                <w:szCs w:val="14"/>
                <w:lang w:val="en-US"/>
              </w:rPr>
              <w:t>Antigua &amp; Barbuda</w:t>
            </w:r>
          </w:p>
        </w:tc>
        <w:tc>
          <w:tcPr>
            <w:tcW w:w="998" w:type="dxa"/>
            <w:tcBorders>
              <w:top w:val="single" w:sz="4" w:space="0" w:color="auto"/>
              <w:left w:val="nil"/>
              <w:bottom w:val="nil"/>
              <w:right w:val="nil"/>
            </w:tcBorders>
            <w:noWrap/>
            <w:vAlign w:val="center"/>
            <w:hideMark/>
          </w:tcPr>
          <w:p w14:paraId="2EAC2240" w14:textId="77777777" w:rsidR="00F3536C" w:rsidRPr="00A4272B" w:rsidRDefault="00F3536C" w:rsidP="00A41632">
            <w:pPr>
              <w:jc w:val="center"/>
              <w:rPr>
                <w:color w:val="000000"/>
                <w:sz w:val="14"/>
                <w:szCs w:val="14"/>
                <w:lang w:val="en-US"/>
              </w:rPr>
            </w:pPr>
            <w:r w:rsidRPr="00A4272B">
              <w:rPr>
                <w:color w:val="000000"/>
                <w:sz w:val="14"/>
                <w:szCs w:val="14"/>
                <w:lang w:val="en-US"/>
              </w:rPr>
              <w:t>71</w:t>
            </w:r>
          </w:p>
        </w:tc>
        <w:tc>
          <w:tcPr>
            <w:tcW w:w="1342" w:type="dxa"/>
            <w:tcBorders>
              <w:top w:val="single" w:sz="4" w:space="0" w:color="auto"/>
              <w:left w:val="nil"/>
              <w:bottom w:val="nil"/>
              <w:right w:val="nil"/>
            </w:tcBorders>
            <w:noWrap/>
            <w:vAlign w:val="center"/>
            <w:hideMark/>
          </w:tcPr>
          <w:p w14:paraId="1CAAADDF"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tcBorders>
              <w:top w:val="single" w:sz="4" w:space="0" w:color="auto"/>
              <w:left w:val="nil"/>
              <w:bottom w:val="nil"/>
              <w:right w:val="nil"/>
            </w:tcBorders>
            <w:noWrap/>
            <w:vAlign w:val="center"/>
            <w:hideMark/>
          </w:tcPr>
          <w:p w14:paraId="5ADCF577" w14:textId="77777777" w:rsidR="00F3536C" w:rsidRPr="00A4272B" w:rsidRDefault="00F3536C" w:rsidP="00A41632">
            <w:pPr>
              <w:jc w:val="right"/>
              <w:rPr>
                <w:color w:val="000000"/>
                <w:sz w:val="14"/>
                <w:szCs w:val="14"/>
                <w:lang w:val="en-US"/>
              </w:rPr>
            </w:pPr>
            <w:r w:rsidRPr="00A4272B">
              <w:rPr>
                <w:color w:val="000000"/>
                <w:sz w:val="14"/>
                <w:szCs w:val="14"/>
                <w:lang w:val="en-US"/>
              </w:rPr>
              <w:t>-17.100000</w:t>
            </w:r>
          </w:p>
        </w:tc>
        <w:tc>
          <w:tcPr>
            <w:tcW w:w="998" w:type="dxa"/>
            <w:tcBorders>
              <w:top w:val="single" w:sz="4" w:space="0" w:color="auto"/>
              <w:left w:val="nil"/>
              <w:bottom w:val="nil"/>
              <w:right w:val="nil"/>
            </w:tcBorders>
            <w:noWrap/>
            <w:vAlign w:val="center"/>
            <w:hideMark/>
          </w:tcPr>
          <w:p w14:paraId="69C1AB92" w14:textId="77777777" w:rsidR="00F3536C" w:rsidRPr="00A4272B" w:rsidRDefault="00F3536C" w:rsidP="00A41632">
            <w:pPr>
              <w:jc w:val="right"/>
              <w:rPr>
                <w:color w:val="000000"/>
                <w:sz w:val="14"/>
                <w:szCs w:val="14"/>
                <w:lang w:val="en-US"/>
              </w:rPr>
            </w:pPr>
            <w:r w:rsidRPr="00A4272B">
              <w:rPr>
                <w:color w:val="000000"/>
                <w:sz w:val="14"/>
                <w:szCs w:val="14"/>
                <w:lang w:val="en-US"/>
              </w:rPr>
              <w:t>-61.838889</w:t>
            </w:r>
          </w:p>
        </w:tc>
        <w:tc>
          <w:tcPr>
            <w:tcW w:w="859" w:type="dxa"/>
            <w:tcBorders>
              <w:top w:val="single" w:sz="4" w:space="0" w:color="auto"/>
              <w:left w:val="nil"/>
              <w:bottom w:val="nil"/>
              <w:right w:val="single" w:sz="8" w:space="0" w:color="auto"/>
            </w:tcBorders>
            <w:noWrap/>
            <w:vAlign w:val="center"/>
            <w:hideMark/>
          </w:tcPr>
          <w:p w14:paraId="45DFFBF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left w:val="nil"/>
              <w:bottom w:val="nil"/>
              <w:right w:val="nil"/>
            </w:tcBorders>
            <w:noWrap/>
            <w:vAlign w:val="center"/>
            <w:hideMark/>
          </w:tcPr>
          <w:p w14:paraId="3CD2439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left w:val="nil"/>
              <w:bottom w:val="nil"/>
              <w:right w:val="nil"/>
            </w:tcBorders>
            <w:noWrap/>
            <w:vAlign w:val="center"/>
            <w:hideMark/>
          </w:tcPr>
          <w:p w14:paraId="6976EFC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single" w:sz="4" w:space="0" w:color="auto"/>
              <w:left w:val="nil"/>
              <w:bottom w:val="nil"/>
              <w:right w:val="nil"/>
            </w:tcBorders>
            <w:noWrap/>
            <w:vAlign w:val="center"/>
            <w:hideMark/>
          </w:tcPr>
          <w:p w14:paraId="12D9D14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left w:val="nil"/>
              <w:bottom w:val="nil"/>
              <w:right w:val="nil"/>
            </w:tcBorders>
            <w:noWrap/>
            <w:vAlign w:val="center"/>
            <w:hideMark/>
          </w:tcPr>
          <w:p w14:paraId="493D7F4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top w:val="single" w:sz="4" w:space="0" w:color="auto"/>
              <w:left w:val="nil"/>
              <w:bottom w:val="nil"/>
              <w:right w:val="nil"/>
            </w:tcBorders>
            <w:noWrap/>
            <w:vAlign w:val="center"/>
            <w:hideMark/>
          </w:tcPr>
          <w:p w14:paraId="5748D0B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single" w:sz="4" w:space="0" w:color="auto"/>
              <w:left w:val="nil"/>
              <w:bottom w:val="nil"/>
              <w:right w:val="single" w:sz="8" w:space="0" w:color="auto"/>
            </w:tcBorders>
            <w:noWrap/>
            <w:vAlign w:val="center"/>
            <w:hideMark/>
          </w:tcPr>
          <w:p w14:paraId="1F7CA580"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0C0847D0" w14:textId="77777777" w:rsidTr="00A41632">
        <w:trPr>
          <w:trHeight w:val="276"/>
          <w:jc w:val="center"/>
        </w:trPr>
        <w:tc>
          <w:tcPr>
            <w:tcW w:w="955" w:type="dxa"/>
            <w:tcBorders>
              <w:top w:val="nil"/>
              <w:left w:val="single" w:sz="8" w:space="0" w:color="auto"/>
              <w:bottom w:val="nil"/>
              <w:right w:val="nil"/>
            </w:tcBorders>
            <w:noWrap/>
            <w:vAlign w:val="center"/>
            <w:hideMark/>
          </w:tcPr>
          <w:p w14:paraId="0AFE10F2"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4FDCBBDA"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621F6CEA" w14:textId="77777777" w:rsidR="00F3536C" w:rsidRPr="00A4272B" w:rsidRDefault="00F3536C" w:rsidP="00A41632">
            <w:pPr>
              <w:rPr>
                <w:color w:val="000000"/>
                <w:sz w:val="14"/>
                <w:szCs w:val="14"/>
                <w:lang w:val="en-US"/>
              </w:rPr>
            </w:pPr>
            <w:r w:rsidRPr="00A4272B">
              <w:rPr>
                <w:color w:val="000000"/>
                <w:sz w:val="14"/>
                <w:szCs w:val="14"/>
                <w:lang w:val="en-US"/>
              </w:rPr>
              <w:t>Bahia Blanca 1</w:t>
            </w:r>
          </w:p>
        </w:tc>
        <w:tc>
          <w:tcPr>
            <w:tcW w:w="998" w:type="dxa"/>
            <w:noWrap/>
            <w:vAlign w:val="center"/>
            <w:hideMark/>
          </w:tcPr>
          <w:p w14:paraId="6AA23B3A" w14:textId="77777777" w:rsidR="00F3536C" w:rsidRPr="00A4272B" w:rsidRDefault="00F3536C" w:rsidP="00A41632">
            <w:pPr>
              <w:jc w:val="center"/>
              <w:rPr>
                <w:color w:val="000000"/>
                <w:sz w:val="14"/>
                <w:szCs w:val="14"/>
                <w:lang w:val="en-US"/>
              </w:rPr>
            </w:pPr>
            <w:r w:rsidRPr="00A4272B">
              <w:rPr>
                <w:color w:val="000000"/>
                <w:sz w:val="14"/>
                <w:szCs w:val="14"/>
                <w:lang w:val="en-US"/>
              </w:rPr>
              <w:t>22</w:t>
            </w:r>
          </w:p>
        </w:tc>
        <w:tc>
          <w:tcPr>
            <w:tcW w:w="1342" w:type="dxa"/>
            <w:noWrap/>
            <w:vAlign w:val="center"/>
            <w:hideMark/>
          </w:tcPr>
          <w:p w14:paraId="6CC70153"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298AC484" w14:textId="77777777" w:rsidR="00F3536C" w:rsidRPr="00A4272B" w:rsidRDefault="00F3536C" w:rsidP="00A41632">
            <w:pPr>
              <w:jc w:val="right"/>
              <w:rPr>
                <w:color w:val="000000"/>
                <w:sz w:val="14"/>
                <w:szCs w:val="14"/>
                <w:lang w:val="en-US"/>
              </w:rPr>
            </w:pPr>
            <w:r w:rsidRPr="00A4272B">
              <w:rPr>
                <w:color w:val="000000"/>
                <w:sz w:val="14"/>
                <w:szCs w:val="14"/>
                <w:lang w:val="en-US"/>
              </w:rPr>
              <w:t>-38.775889</w:t>
            </w:r>
          </w:p>
        </w:tc>
        <w:tc>
          <w:tcPr>
            <w:tcW w:w="998" w:type="dxa"/>
            <w:noWrap/>
            <w:vAlign w:val="center"/>
            <w:hideMark/>
          </w:tcPr>
          <w:p w14:paraId="4BA1BD11" w14:textId="77777777" w:rsidR="00F3536C" w:rsidRPr="00A4272B" w:rsidRDefault="00F3536C" w:rsidP="00A41632">
            <w:pPr>
              <w:jc w:val="right"/>
              <w:rPr>
                <w:color w:val="000000"/>
                <w:sz w:val="14"/>
                <w:szCs w:val="14"/>
                <w:lang w:val="en-US"/>
              </w:rPr>
            </w:pPr>
            <w:r w:rsidRPr="00A4272B">
              <w:rPr>
                <w:color w:val="000000"/>
                <w:sz w:val="14"/>
                <w:szCs w:val="14"/>
                <w:lang w:val="en-US"/>
              </w:rPr>
              <w:t>-62.005278</w:t>
            </w:r>
          </w:p>
        </w:tc>
        <w:tc>
          <w:tcPr>
            <w:tcW w:w="859" w:type="dxa"/>
            <w:tcBorders>
              <w:top w:val="nil"/>
              <w:left w:val="nil"/>
              <w:bottom w:val="nil"/>
              <w:right w:val="single" w:sz="8" w:space="0" w:color="auto"/>
            </w:tcBorders>
            <w:noWrap/>
            <w:vAlign w:val="center"/>
            <w:hideMark/>
          </w:tcPr>
          <w:p w14:paraId="16DF091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56CC85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94E9DA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802E6A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257B6D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A0D261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57B7370"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7BD2B5D2" w14:textId="77777777" w:rsidTr="00F006B1">
        <w:trPr>
          <w:trHeight w:val="276"/>
          <w:jc w:val="center"/>
        </w:trPr>
        <w:tc>
          <w:tcPr>
            <w:tcW w:w="955" w:type="dxa"/>
            <w:tcBorders>
              <w:top w:val="nil"/>
              <w:left w:val="single" w:sz="8" w:space="0" w:color="auto"/>
              <w:right w:val="nil"/>
            </w:tcBorders>
            <w:noWrap/>
            <w:vAlign w:val="center"/>
            <w:hideMark/>
          </w:tcPr>
          <w:p w14:paraId="34B7ABEA"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54AF013"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26E8C7FE" w14:textId="77777777" w:rsidR="00F3536C" w:rsidRPr="00A4272B" w:rsidRDefault="00F3536C" w:rsidP="00A41632">
            <w:pPr>
              <w:rPr>
                <w:color w:val="000000"/>
                <w:sz w:val="14"/>
                <w:szCs w:val="14"/>
                <w:lang w:val="en-US"/>
              </w:rPr>
            </w:pPr>
            <w:r w:rsidRPr="00A4272B">
              <w:rPr>
                <w:color w:val="000000"/>
                <w:sz w:val="14"/>
                <w:szCs w:val="14"/>
                <w:lang w:val="en-US"/>
              </w:rPr>
              <w:t>Bahia Blanca 2</w:t>
            </w:r>
          </w:p>
        </w:tc>
        <w:tc>
          <w:tcPr>
            <w:tcW w:w="998" w:type="dxa"/>
            <w:noWrap/>
            <w:vAlign w:val="center"/>
            <w:hideMark/>
          </w:tcPr>
          <w:p w14:paraId="4B4D32DD" w14:textId="77777777" w:rsidR="00F3536C" w:rsidRPr="00A4272B" w:rsidRDefault="00F3536C" w:rsidP="00A41632">
            <w:pPr>
              <w:jc w:val="center"/>
              <w:rPr>
                <w:color w:val="000000"/>
                <w:sz w:val="14"/>
                <w:szCs w:val="14"/>
                <w:lang w:val="en-US"/>
              </w:rPr>
            </w:pPr>
            <w:r w:rsidRPr="00A4272B">
              <w:rPr>
                <w:color w:val="000000"/>
                <w:sz w:val="14"/>
                <w:szCs w:val="14"/>
                <w:lang w:val="en-US"/>
              </w:rPr>
              <w:t>23</w:t>
            </w:r>
          </w:p>
        </w:tc>
        <w:tc>
          <w:tcPr>
            <w:tcW w:w="1342" w:type="dxa"/>
            <w:noWrap/>
            <w:vAlign w:val="center"/>
            <w:hideMark/>
          </w:tcPr>
          <w:p w14:paraId="6BA52F16"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3B0C40ED" w14:textId="77777777" w:rsidR="00F3536C" w:rsidRPr="00A4272B" w:rsidRDefault="00F3536C" w:rsidP="00A41632">
            <w:pPr>
              <w:jc w:val="right"/>
              <w:rPr>
                <w:color w:val="000000"/>
                <w:sz w:val="14"/>
                <w:szCs w:val="14"/>
                <w:lang w:val="en-US"/>
              </w:rPr>
            </w:pPr>
            <w:r w:rsidRPr="00A4272B">
              <w:rPr>
                <w:color w:val="000000"/>
                <w:sz w:val="14"/>
                <w:szCs w:val="14"/>
                <w:lang w:val="en-US"/>
              </w:rPr>
              <w:t>-38.699528</w:t>
            </w:r>
          </w:p>
        </w:tc>
        <w:tc>
          <w:tcPr>
            <w:tcW w:w="998" w:type="dxa"/>
            <w:noWrap/>
            <w:vAlign w:val="center"/>
            <w:hideMark/>
          </w:tcPr>
          <w:p w14:paraId="60238728" w14:textId="77777777" w:rsidR="00F3536C" w:rsidRPr="00A4272B" w:rsidRDefault="00F3536C" w:rsidP="00A41632">
            <w:pPr>
              <w:jc w:val="right"/>
              <w:rPr>
                <w:color w:val="000000"/>
                <w:sz w:val="14"/>
                <w:szCs w:val="14"/>
                <w:lang w:val="en-US"/>
              </w:rPr>
            </w:pPr>
            <w:r w:rsidRPr="00A4272B">
              <w:rPr>
                <w:color w:val="000000"/>
                <w:sz w:val="14"/>
                <w:szCs w:val="14"/>
                <w:lang w:val="en-US"/>
              </w:rPr>
              <w:t>-62.444722</w:t>
            </w:r>
          </w:p>
        </w:tc>
        <w:tc>
          <w:tcPr>
            <w:tcW w:w="859" w:type="dxa"/>
            <w:tcBorders>
              <w:top w:val="nil"/>
              <w:left w:val="nil"/>
              <w:right w:val="single" w:sz="8" w:space="0" w:color="auto"/>
            </w:tcBorders>
            <w:noWrap/>
            <w:vAlign w:val="center"/>
            <w:hideMark/>
          </w:tcPr>
          <w:p w14:paraId="4E04F92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FD7FF8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C7393A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8F40F7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601F8A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4AC45B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right w:val="single" w:sz="8" w:space="0" w:color="auto"/>
            </w:tcBorders>
            <w:noWrap/>
            <w:vAlign w:val="center"/>
            <w:hideMark/>
          </w:tcPr>
          <w:p w14:paraId="7FFBD977"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7863A654"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5D962269"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tcBorders>
              <w:bottom w:val="single" w:sz="4" w:space="0" w:color="auto"/>
            </w:tcBorders>
            <w:noWrap/>
            <w:vAlign w:val="center"/>
            <w:hideMark/>
          </w:tcPr>
          <w:p w14:paraId="63B3105A"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tcBorders>
              <w:bottom w:val="single" w:sz="4" w:space="0" w:color="auto"/>
            </w:tcBorders>
            <w:noWrap/>
            <w:vAlign w:val="center"/>
            <w:hideMark/>
          </w:tcPr>
          <w:p w14:paraId="67873059" w14:textId="77777777" w:rsidR="00F3536C" w:rsidRPr="00A4272B" w:rsidRDefault="00F3536C" w:rsidP="00A41632">
            <w:pPr>
              <w:rPr>
                <w:color w:val="000000"/>
                <w:sz w:val="14"/>
                <w:szCs w:val="14"/>
                <w:lang w:val="en-US"/>
              </w:rPr>
            </w:pPr>
            <w:r w:rsidRPr="00A4272B">
              <w:rPr>
                <w:color w:val="000000"/>
                <w:sz w:val="14"/>
                <w:szCs w:val="14"/>
                <w:lang w:val="en-US"/>
              </w:rPr>
              <w:t>Puerto Madryn</w:t>
            </w:r>
          </w:p>
        </w:tc>
        <w:tc>
          <w:tcPr>
            <w:tcW w:w="998" w:type="dxa"/>
            <w:tcBorders>
              <w:bottom w:val="single" w:sz="4" w:space="0" w:color="auto"/>
            </w:tcBorders>
            <w:noWrap/>
            <w:vAlign w:val="center"/>
            <w:hideMark/>
          </w:tcPr>
          <w:p w14:paraId="4856B680" w14:textId="77777777" w:rsidR="00F3536C" w:rsidRPr="00A4272B" w:rsidRDefault="00F3536C" w:rsidP="00A41632">
            <w:pPr>
              <w:jc w:val="center"/>
              <w:rPr>
                <w:color w:val="000000"/>
                <w:sz w:val="14"/>
                <w:szCs w:val="14"/>
                <w:lang w:val="en-US"/>
              </w:rPr>
            </w:pPr>
            <w:r w:rsidRPr="00A4272B">
              <w:rPr>
                <w:color w:val="000000"/>
                <w:sz w:val="14"/>
                <w:szCs w:val="14"/>
                <w:lang w:val="en-US"/>
              </w:rPr>
              <w:t>52</w:t>
            </w:r>
          </w:p>
        </w:tc>
        <w:tc>
          <w:tcPr>
            <w:tcW w:w="1342" w:type="dxa"/>
            <w:tcBorders>
              <w:bottom w:val="single" w:sz="4" w:space="0" w:color="auto"/>
            </w:tcBorders>
            <w:noWrap/>
            <w:vAlign w:val="center"/>
            <w:hideMark/>
          </w:tcPr>
          <w:p w14:paraId="41A4231E"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tcBorders>
              <w:bottom w:val="single" w:sz="4" w:space="0" w:color="auto"/>
            </w:tcBorders>
            <w:noWrap/>
            <w:vAlign w:val="center"/>
            <w:hideMark/>
          </w:tcPr>
          <w:p w14:paraId="50E40ED6" w14:textId="77777777" w:rsidR="00F3536C" w:rsidRPr="00A4272B" w:rsidRDefault="00F3536C" w:rsidP="00A41632">
            <w:pPr>
              <w:jc w:val="right"/>
              <w:rPr>
                <w:color w:val="000000"/>
                <w:sz w:val="14"/>
                <w:szCs w:val="14"/>
                <w:lang w:val="en-US"/>
              </w:rPr>
            </w:pPr>
            <w:r w:rsidRPr="00A4272B">
              <w:rPr>
                <w:color w:val="000000"/>
                <w:sz w:val="14"/>
                <w:szCs w:val="14"/>
                <w:lang w:val="en-US"/>
              </w:rPr>
              <w:t>-42.808083</w:t>
            </w:r>
          </w:p>
        </w:tc>
        <w:tc>
          <w:tcPr>
            <w:tcW w:w="998" w:type="dxa"/>
            <w:tcBorders>
              <w:bottom w:val="single" w:sz="4" w:space="0" w:color="auto"/>
            </w:tcBorders>
            <w:noWrap/>
            <w:vAlign w:val="center"/>
            <w:hideMark/>
          </w:tcPr>
          <w:p w14:paraId="581A18E2" w14:textId="77777777" w:rsidR="00F3536C" w:rsidRPr="00A4272B" w:rsidRDefault="00F3536C" w:rsidP="00A41632">
            <w:pPr>
              <w:jc w:val="right"/>
              <w:rPr>
                <w:color w:val="000000"/>
                <w:sz w:val="14"/>
                <w:szCs w:val="14"/>
                <w:lang w:val="en-US"/>
              </w:rPr>
            </w:pPr>
            <w:r w:rsidRPr="00A4272B">
              <w:rPr>
                <w:color w:val="000000"/>
                <w:sz w:val="14"/>
                <w:szCs w:val="14"/>
                <w:lang w:val="en-US"/>
              </w:rPr>
              <w:t>-65.043889</w:t>
            </w:r>
          </w:p>
        </w:tc>
        <w:tc>
          <w:tcPr>
            <w:tcW w:w="859" w:type="dxa"/>
            <w:tcBorders>
              <w:top w:val="nil"/>
              <w:left w:val="nil"/>
              <w:bottom w:val="single" w:sz="4" w:space="0" w:color="auto"/>
              <w:right w:val="single" w:sz="8" w:space="0" w:color="auto"/>
            </w:tcBorders>
            <w:noWrap/>
            <w:vAlign w:val="center"/>
            <w:hideMark/>
          </w:tcPr>
          <w:p w14:paraId="7C397A9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bottom w:val="single" w:sz="4" w:space="0" w:color="auto"/>
            </w:tcBorders>
            <w:noWrap/>
            <w:vAlign w:val="center"/>
            <w:hideMark/>
          </w:tcPr>
          <w:p w14:paraId="44206FD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bottom w:val="single" w:sz="4" w:space="0" w:color="auto"/>
            </w:tcBorders>
            <w:noWrap/>
            <w:vAlign w:val="center"/>
            <w:hideMark/>
          </w:tcPr>
          <w:p w14:paraId="2B701A92"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bottom w:val="single" w:sz="4" w:space="0" w:color="auto"/>
            </w:tcBorders>
            <w:noWrap/>
            <w:vAlign w:val="center"/>
            <w:hideMark/>
          </w:tcPr>
          <w:p w14:paraId="06B8301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bottom w:val="single" w:sz="4" w:space="0" w:color="auto"/>
            </w:tcBorders>
            <w:noWrap/>
            <w:vAlign w:val="center"/>
            <w:hideMark/>
          </w:tcPr>
          <w:p w14:paraId="631A1FD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bottom w:val="single" w:sz="4" w:space="0" w:color="auto"/>
            </w:tcBorders>
            <w:noWrap/>
            <w:vAlign w:val="center"/>
            <w:hideMark/>
          </w:tcPr>
          <w:p w14:paraId="7C44AFD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single" w:sz="4" w:space="0" w:color="auto"/>
              <w:right w:val="single" w:sz="8" w:space="0" w:color="auto"/>
            </w:tcBorders>
            <w:noWrap/>
            <w:vAlign w:val="center"/>
            <w:hideMark/>
          </w:tcPr>
          <w:p w14:paraId="721A5CB6"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3A7A2910"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21F0DA3B"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tcBorders>
              <w:top w:val="single" w:sz="4" w:space="0" w:color="auto"/>
            </w:tcBorders>
            <w:noWrap/>
            <w:vAlign w:val="center"/>
            <w:hideMark/>
          </w:tcPr>
          <w:p w14:paraId="2FF0CAB3"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tcBorders>
              <w:top w:val="single" w:sz="4" w:space="0" w:color="auto"/>
            </w:tcBorders>
            <w:noWrap/>
            <w:vAlign w:val="center"/>
            <w:hideMark/>
          </w:tcPr>
          <w:p w14:paraId="439CF085" w14:textId="77777777" w:rsidR="00F3536C" w:rsidRPr="00A4272B" w:rsidRDefault="00F3536C" w:rsidP="00A41632">
            <w:pPr>
              <w:rPr>
                <w:color w:val="000000"/>
                <w:sz w:val="14"/>
                <w:szCs w:val="14"/>
                <w:lang w:val="en-US"/>
              </w:rPr>
            </w:pPr>
            <w:r w:rsidRPr="00A4272B">
              <w:rPr>
                <w:color w:val="000000"/>
                <w:sz w:val="14"/>
                <w:szCs w:val="14"/>
                <w:lang w:val="en-US"/>
              </w:rPr>
              <w:t>Rio Gallegos</w:t>
            </w:r>
          </w:p>
        </w:tc>
        <w:tc>
          <w:tcPr>
            <w:tcW w:w="998" w:type="dxa"/>
            <w:tcBorders>
              <w:top w:val="single" w:sz="4" w:space="0" w:color="auto"/>
            </w:tcBorders>
            <w:noWrap/>
            <w:vAlign w:val="center"/>
            <w:hideMark/>
          </w:tcPr>
          <w:p w14:paraId="76C400B2" w14:textId="77777777" w:rsidR="00F3536C" w:rsidRPr="00A4272B" w:rsidRDefault="00F3536C" w:rsidP="00A41632">
            <w:pPr>
              <w:jc w:val="center"/>
              <w:rPr>
                <w:color w:val="000000"/>
                <w:sz w:val="14"/>
                <w:szCs w:val="14"/>
                <w:lang w:val="en-US"/>
              </w:rPr>
            </w:pPr>
            <w:r w:rsidRPr="00A4272B">
              <w:rPr>
                <w:color w:val="000000"/>
                <w:sz w:val="14"/>
                <w:szCs w:val="14"/>
                <w:lang w:val="en-US"/>
              </w:rPr>
              <w:t>30</w:t>
            </w:r>
          </w:p>
        </w:tc>
        <w:tc>
          <w:tcPr>
            <w:tcW w:w="1342" w:type="dxa"/>
            <w:tcBorders>
              <w:top w:val="single" w:sz="4" w:space="0" w:color="auto"/>
            </w:tcBorders>
            <w:noWrap/>
            <w:vAlign w:val="center"/>
            <w:hideMark/>
          </w:tcPr>
          <w:p w14:paraId="585B9975"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tcBorders>
              <w:top w:val="single" w:sz="4" w:space="0" w:color="auto"/>
            </w:tcBorders>
            <w:noWrap/>
            <w:vAlign w:val="center"/>
            <w:hideMark/>
          </w:tcPr>
          <w:p w14:paraId="4D1B13D1" w14:textId="77777777" w:rsidR="00F3536C" w:rsidRPr="00A4272B" w:rsidRDefault="00F3536C" w:rsidP="00A41632">
            <w:pPr>
              <w:jc w:val="right"/>
              <w:rPr>
                <w:color w:val="000000"/>
                <w:sz w:val="14"/>
                <w:szCs w:val="14"/>
                <w:lang w:val="en-US"/>
              </w:rPr>
            </w:pPr>
            <w:r w:rsidRPr="00A4272B">
              <w:rPr>
                <w:color w:val="000000"/>
                <w:sz w:val="14"/>
                <w:szCs w:val="14"/>
                <w:lang w:val="en-US"/>
              </w:rPr>
              <w:t>-51.647306</w:t>
            </w:r>
          </w:p>
        </w:tc>
        <w:tc>
          <w:tcPr>
            <w:tcW w:w="998" w:type="dxa"/>
            <w:tcBorders>
              <w:top w:val="single" w:sz="4" w:space="0" w:color="auto"/>
            </w:tcBorders>
            <w:noWrap/>
            <w:vAlign w:val="center"/>
            <w:hideMark/>
          </w:tcPr>
          <w:p w14:paraId="22D40B80" w14:textId="77777777" w:rsidR="00F3536C" w:rsidRPr="00A4272B" w:rsidRDefault="00F3536C" w:rsidP="00A41632">
            <w:pPr>
              <w:jc w:val="right"/>
              <w:rPr>
                <w:color w:val="000000"/>
                <w:sz w:val="14"/>
                <w:szCs w:val="14"/>
                <w:lang w:val="en-US"/>
              </w:rPr>
            </w:pPr>
            <w:r w:rsidRPr="00A4272B">
              <w:rPr>
                <w:color w:val="000000"/>
                <w:sz w:val="14"/>
                <w:szCs w:val="14"/>
                <w:lang w:val="en-US"/>
              </w:rPr>
              <w:t>-69.207222</w:t>
            </w:r>
          </w:p>
        </w:tc>
        <w:tc>
          <w:tcPr>
            <w:tcW w:w="859" w:type="dxa"/>
            <w:tcBorders>
              <w:top w:val="single" w:sz="4" w:space="0" w:color="auto"/>
              <w:left w:val="nil"/>
              <w:bottom w:val="nil"/>
              <w:right w:val="single" w:sz="8" w:space="0" w:color="auto"/>
            </w:tcBorders>
            <w:noWrap/>
            <w:vAlign w:val="center"/>
            <w:hideMark/>
          </w:tcPr>
          <w:p w14:paraId="3BC9E76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tcBorders>
            <w:noWrap/>
            <w:vAlign w:val="center"/>
            <w:hideMark/>
          </w:tcPr>
          <w:p w14:paraId="4BBFDD5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tcBorders>
            <w:noWrap/>
            <w:vAlign w:val="center"/>
            <w:hideMark/>
          </w:tcPr>
          <w:p w14:paraId="1A9C55C3"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single" w:sz="4" w:space="0" w:color="auto"/>
            </w:tcBorders>
            <w:noWrap/>
            <w:vAlign w:val="center"/>
            <w:hideMark/>
          </w:tcPr>
          <w:p w14:paraId="7A92E1E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tcBorders>
            <w:noWrap/>
            <w:vAlign w:val="center"/>
            <w:hideMark/>
          </w:tcPr>
          <w:p w14:paraId="6FF1EA8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top w:val="single" w:sz="4" w:space="0" w:color="auto"/>
            </w:tcBorders>
            <w:noWrap/>
            <w:vAlign w:val="center"/>
            <w:hideMark/>
          </w:tcPr>
          <w:p w14:paraId="2EBF4E7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single" w:sz="4" w:space="0" w:color="auto"/>
              <w:left w:val="nil"/>
              <w:bottom w:val="nil"/>
              <w:right w:val="single" w:sz="8" w:space="0" w:color="auto"/>
            </w:tcBorders>
            <w:noWrap/>
            <w:vAlign w:val="center"/>
            <w:hideMark/>
          </w:tcPr>
          <w:p w14:paraId="7C328DE3"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66A8B03B" w14:textId="77777777" w:rsidTr="00A41632">
        <w:trPr>
          <w:trHeight w:val="276"/>
          <w:jc w:val="center"/>
        </w:trPr>
        <w:tc>
          <w:tcPr>
            <w:tcW w:w="955" w:type="dxa"/>
            <w:tcBorders>
              <w:top w:val="nil"/>
              <w:left w:val="single" w:sz="8" w:space="0" w:color="auto"/>
              <w:bottom w:val="nil"/>
              <w:right w:val="nil"/>
            </w:tcBorders>
            <w:noWrap/>
            <w:vAlign w:val="center"/>
            <w:hideMark/>
          </w:tcPr>
          <w:p w14:paraId="7B861E5B"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3477734"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47B4E054" w14:textId="77777777" w:rsidR="00F3536C" w:rsidRPr="00A4272B" w:rsidRDefault="00F3536C" w:rsidP="00A41632">
            <w:pPr>
              <w:rPr>
                <w:color w:val="000000"/>
                <w:sz w:val="14"/>
                <w:szCs w:val="14"/>
                <w:lang w:val="en-US"/>
              </w:rPr>
            </w:pPr>
            <w:r w:rsidRPr="00A4272B">
              <w:rPr>
                <w:color w:val="000000"/>
                <w:sz w:val="14"/>
                <w:szCs w:val="14"/>
                <w:lang w:val="en-US"/>
              </w:rPr>
              <w:t>Salta</w:t>
            </w:r>
          </w:p>
        </w:tc>
        <w:tc>
          <w:tcPr>
            <w:tcW w:w="998" w:type="dxa"/>
            <w:noWrap/>
            <w:vAlign w:val="center"/>
            <w:hideMark/>
          </w:tcPr>
          <w:p w14:paraId="010ED993" w14:textId="77777777" w:rsidR="00F3536C" w:rsidRPr="00A4272B" w:rsidRDefault="00F3536C" w:rsidP="00A41632">
            <w:pPr>
              <w:jc w:val="center"/>
              <w:rPr>
                <w:color w:val="000000"/>
                <w:sz w:val="14"/>
                <w:szCs w:val="14"/>
                <w:lang w:val="en-US"/>
              </w:rPr>
            </w:pPr>
            <w:r w:rsidRPr="00A4272B">
              <w:rPr>
                <w:color w:val="000000"/>
                <w:sz w:val="14"/>
                <w:szCs w:val="14"/>
                <w:lang w:val="en-US"/>
              </w:rPr>
              <w:t>76</w:t>
            </w:r>
          </w:p>
        </w:tc>
        <w:tc>
          <w:tcPr>
            <w:tcW w:w="1342" w:type="dxa"/>
            <w:noWrap/>
            <w:vAlign w:val="center"/>
            <w:hideMark/>
          </w:tcPr>
          <w:p w14:paraId="31BD94D3"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510333E0" w14:textId="77777777" w:rsidR="00F3536C" w:rsidRPr="00A4272B" w:rsidRDefault="00F3536C" w:rsidP="00A41632">
            <w:pPr>
              <w:jc w:val="right"/>
              <w:rPr>
                <w:color w:val="000000"/>
                <w:sz w:val="14"/>
                <w:szCs w:val="14"/>
                <w:lang w:val="en-US"/>
              </w:rPr>
            </w:pPr>
            <w:r w:rsidRPr="00A4272B">
              <w:rPr>
                <w:color w:val="000000"/>
                <w:sz w:val="14"/>
                <w:szCs w:val="14"/>
                <w:lang w:val="en-US"/>
              </w:rPr>
              <w:t>-24.633544</w:t>
            </w:r>
          </w:p>
        </w:tc>
        <w:tc>
          <w:tcPr>
            <w:tcW w:w="998" w:type="dxa"/>
            <w:noWrap/>
            <w:vAlign w:val="center"/>
            <w:hideMark/>
          </w:tcPr>
          <w:p w14:paraId="02E9F9D3" w14:textId="77777777" w:rsidR="00F3536C" w:rsidRPr="00A4272B" w:rsidRDefault="00F3536C" w:rsidP="00A41632">
            <w:pPr>
              <w:jc w:val="right"/>
              <w:rPr>
                <w:color w:val="000000"/>
                <w:sz w:val="14"/>
                <w:szCs w:val="14"/>
                <w:lang w:val="en-US"/>
              </w:rPr>
            </w:pPr>
            <w:r w:rsidRPr="00A4272B">
              <w:rPr>
                <w:color w:val="000000"/>
                <w:sz w:val="14"/>
                <w:szCs w:val="14"/>
                <w:lang w:val="en-US"/>
              </w:rPr>
              <w:t>-65.166944</w:t>
            </w:r>
          </w:p>
        </w:tc>
        <w:tc>
          <w:tcPr>
            <w:tcW w:w="859" w:type="dxa"/>
            <w:tcBorders>
              <w:top w:val="nil"/>
              <w:left w:val="nil"/>
              <w:bottom w:val="nil"/>
              <w:right w:val="single" w:sz="8" w:space="0" w:color="auto"/>
            </w:tcBorders>
            <w:noWrap/>
            <w:vAlign w:val="center"/>
            <w:hideMark/>
          </w:tcPr>
          <w:p w14:paraId="6521BC9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A4BC0E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734073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20532F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C80850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97CDF0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683BAF8"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57509096" w14:textId="77777777" w:rsidTr="00A41632">
        <w:trPr>
          <w:trHeight w:val="276"/>
          <w:jc w:val="center"/>
        </w:trPr>
        <w:tc>
          <w:tcPr>
            <w:tcW w:w="955" w:type="dxa"/>
            <w:tcBorders>
              <w:top w:val="nil"/>
              <w:left w:val="single" w:sz="8" w:space="0" w:color="auto"/>
              <w:bottom w:val="nil"/>
              <w:right w:val="nil"/>
            </w:tcBorders>
            <w:noWrap/>
            <w:vAlign w:val="center"/>
            <w:hideMark/>
          </w:tcPr>
          <w:p w14:paraId="707DB61A"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1BFE827"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5A39D870" w14:textId="77777777" w:rsidR="00F3536C" w:rsidRPr="00A4272B" w:rsidRDefault="00F3536C" w:rsidP="00A41632">
            <w:pPr>
              <w:rPr>
                <w:color w:val="000000"/>
                <w:sz w:val="14"/>
                <w:szCs w:val="14"/>
                <w:lang w:val="en-US"/>
              </w:rPr>
            </w:pPr>
            <w:r w:rsidRPr="00A4272B">
              <w:rPr>
                <w:color w:val="000000"/>
                <w:sz w:val="14"/>
                <w:szCs w:val="14"/>
                <w:lang w:val="en-US"/>
              </w:rPr>
              <w:t>Viedma</w:t>
            </w:r>
          </w:p>
        </w:tc>
        <w:tc>
          <w:tcPr>
            <w:tcW w:w="998" w:type="dxa"/>
            <w:noWrap/>
            <w:vAlign w:val="center"/>
            <w:hideMark/>
          </w:tcPr>
          <w:p w14:paraId="78312A55" w14:textId="77777777" w:rsidR="00F3536C" w:rsidRPr="00A4272B" w:rsidRDefault="00F3536C" w:rsidP="00A41632">
            <w:pPr>
              <w:jc w:val="center"/>
              <w:rPr>
                <w:color w:val="000000"/>
                <w:sz w:val="14"/>
                <w:szCs w:val="14"/>
                <w:lang w:val="en-US"/>
              </w:rPr>
            </w:pPr>
            <w:r w:rsidRPr="00A4272B">
              <w:rPr>
                <w:color w:val="000000"/>
                <w:sz w:val="14"/>
                <w:szCs w:val="14"/>
                <w:lang w:val="en-US"/>
              </w:rPr>
              <w:t>25</w:t>
            </w:r>
          </w:p>
        </w:tc>
        <w:tc>
          <w:tcPr>
            <w:tcW w:w="1342" w:type="dxa"/>
            <w:noWrap/>
            <w:vAlign w:val="center"/>
            <w:hideMark/>
          </w:tcPr>
          <w:p w14:paraId="1132036E" w14:textId="77777777" w:rsidR="00F3536C" w:rsidRPr="00A4272B" w:rsidRDefault="00F3536C" w:rsidP="00A41632">
            <w:pPr>
              <w:jc w:val="center"/>
              <w:rPr>
                <w:color w:val="000000"/>
                <w:sz w:val="14"/>
                <w:szCs w:val="14"/>
                <w:lang w:val="en-US"/>
              </w:rPr>
            </w:pPr>
            <w:r w:rsidRPr="00A4272B">
              <w:rPr>
                <w:color w:val="000000"/>
                <w:sz w:val="14"/>
                <w:szCs w:val="14"/>
                <w:lang w:val="en-US"/>
              </w:rPr>
              <w:t>Agricultural / Suburban</w:t>
            </w:r>
          </w:p>
        </w:tc>
        <w:tc>
          <w:tcPr>
            <w:tcW w:w="900" w:type="dxa"/>
            <w:noWrap/>
            <w:vAlign w:val="center"/>
            <w:hideMark/>
          </w:tcPr>
          <w:p w14:paraId="46BA52E0" w14:textId="77777777" w:rsidR="00F3536C" w:rsidRPr="00A4272B" w:rsidRDefault="00F3536C" w:rsidP="00A41632">
            <w:pPr>
              <w:jc w:val="right"/>
              <w:rPr>
                <w:color w:val="000000"/>
                <w:sz w:val="14"/>
                <w:szCs w:val="14"/>
                <w:lang w:val="en-US"/>
              </w:rPr>
            </w:pPr>
            <w:r w:rsidRPr="00A4272B">
              <w:rPr>
                <w:color w:val="000000"/>
                <w:sz w:val="14"/>
                <w:szCs w:val="14"/>
                <w:lang w:val="en-US"/>
              </w:rPr>
              <w:t>-40.898750</w:t>
            </w:r>
          </w:p>
        </w:tc>
        <w:tc>
          <w:tcPr>
            <w:tcW w:w="998" w:type="dxa"/>
            <w:noWrap/>
            <w:vAlign w:val="center"/>
            <w:hideMark/>
          </w:tcPr>
          <w:p w14:paraId="750A32E3" w14:textId="77777777" w:rsidR="00F3536C" w:rsidRPr="00A4272B" w:rsidRDefault="00F3536C" w:rsidP="00A41632">
            <w:pPr>
              <w:jc w:val="right"/>
              <w:rPr>
                <w:color w:val="000000"/>
                <w:sz w:val="14"/>
                <w:szCs w:val="14"/>
                <w:lang w:val="en-US"/>
              </w:rPr>
            </w:pPr>
            <w:r w:rsidRPr="00A4272B">
              <w:rPr>
                <w:color w:val="000000"/>
                <w:sz w:val="14"/>
                <w:szCs w:val="14"/>
                <w:lang w:val="en-US"/>
              </w:rPr>
              <w:t>-62.881389</w:t>
            </w:r>
          </w:p>
        </w:tc>
        <w:tc>
          <w:tcPr>
            <w:tcW w:w="859" w:type="dxa"/>
            <w:tcBorders>
              <w:top w:val="nil"/>
              <w:left w:val="nil"/>
              <w:bottom w:val="nil"/>
              <w:right w:val="single" w:sz="8" w:space="0" w:color="auto"/>
            </w:tcBorders>
            <w:noWrap/>
            <w:vAlign w:val="center"/>
            <w:hideMark/>
          </w:tcPr>
          <w:p w14:paraId="234F34A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0A41D8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30D6743"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43F370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82FD30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DBF7D3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632D635"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198009E1" w14:textId="77777777" w:rsidTr="00A41632">
        <w:trPr>
          <w:trHeight w:val="276"/>
          <w:jc w:val="center"/>
        </w:trPr>
        <w:tc>
          <w:tcPr>
            <w:tcW w:w="955" w:type="dxa"/>
            <w:tcBorders>
              <w:top w:val="nil"/>
              <w:left w:val="single" w:sz="8" w:space="0" w:color="auto"/>
              <w:bottom w:val="nil"/>
              <w:right w:val="nil"/>
            </w:tcBorders>
            <w:noWrap/>
            <w:vAlign w:val="center"/>
            <w:hideMark/>
          </w:tcPr>
          <w:p w14:paraId="48C7A275"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DB045C9" w14:textId="77777777" w:rsidR="00F3536C" w:rsidRPr="00A4272B" w:rsidRDefault="00F3536C" w:rsidP="00A41632">
            <w:pPr>
              <w:rPr>
                <w:color w:val="000000"/>
                <w:sz w:val="14"/>
                <w:szCs w:val="14"/>
                <w:lang w:val="en-US"/>
              </w:rPr>
            </w:pPr>
            <w:r w:rsidRPr="00A4272B">
              <w:rPr>
                <w:color w:val="000000"/>
                <w:sz w:val="14"/>
                <w:szCs w:val="14"/>
                <w:lang w:val="en-US"/>
              </w:rPr>
              <w:t>Argentina</w:t>
            </w:r>
          </w:p>
        </w:tc>
        <w:tc>
          <w:tcPr>
            <w:tcW w:w="2504" w:type="dxa"/>
            <w:noWrap/>
            <w:vAlign w:val="center"/>
            <w:hideMark/>
          </w:tcPr>
          <w:p w14:paraId="5E71FD58" w14:textId="77777777" w:rsidR="00F3536C" w:rsidRPr="00A4272B" w:rsidRDefault="00F3536C" w:rsidP="00A41632">
            <w:pPr>
              <w:rPr>
                <w:color w:val="000000"/>
                <w:sz w:val="14"/>
                <w:szCs w:val="14"/>
                <w:lang w:val="en-US"/>
              </w:rPr>
            </w:pPr>
            <w:r w:rsidRPr="00A4272B">
              <w:rPr>
                <w:color w:val="000000"/>
                <w:sz w:val="14"/>
                <w:szCs w:val="14"/>
                <w:lang w:val="en-US"/>
              </w:rPr>
              <w:t>Villa Regina</w:t>
            </w:r>
          </w:p>
        </w:tc>
        <w:tc>
          <w:tcPr>
            <w:tcW w:w="998" w:type="dxa"/>
            <w:noWrap/>
            <w:vAlign w:val="center"/>
            <w:hideMark/>
          </w:tcPr>
          <w:p w14:paraId="56110431" w14:textId="77777777" w:rsidR="00F3536C" w:rsidRPr="00A4272B" w:rsidRDefault="00F3536C" w:rsidP="00A41632">
            <w:pPr>
              <w:jc w:val="center"/>
              <w:rPr>
                <w:color w:val="000000"/>
                <w:sz w:val="14"/>
                <w:szCs w:val="14"/>
                <w:lang w:val="en-US"/>
              </w:rPr>
            </w:pPr>
            <w:r w:rsidRPr="00A4272B">
              <w:rPr>
                <w:color w:val="000000"/>
                <w:sz w:val="14"/>
                <w:szCs w:val="14"/>
                <w:lang w:val="en-US"/>
              </w:rPr>
              <w:t>26</w:t>
            </w:r>
          </w:p>
        </w:tc>
        <w:tc>
          <w:tcPr>
            <w:tcW w:w="1342" w:type="dxa"/>
            <w:noWrap/>
            <w:vAlign w:val="center"/>
            <w:hideMark/>
          </w:tcPr>
          <w:p w14:paraId="65DAA2DE" w14:textId="77777777" w:rsidR="00F3536C" w:rsidRPr="00A4272B" w:rsidRDefault="00F3536C" w:rsidP="00A41632">
            <w:pPr>
              <w:jc w:val="center"/>
              <w:rPr>
                <w:color w:val="000000"/>
                <w:sz w:val="14"/>
                <w:szCs w:val="14"/>
                <w:lang w:val="en-US"/>
              </w:rPr>
            </w:pPr>
            <w:r w:rsidRPr="00A4272B">
              <w:rPr>
                <w:color w:val="000000"/>
                <w:sz w:val="14"/>
                <w:szCs w:val="14"/>
                <w:lang w:val="en-US"/>
              </w:rPr>
              <w:t>Agricultural / Suburban</w:t>
            </w:r>
          </w:p>
        </w:tc>
        <w:tc>
          <w:tcPr>
            <w:tcW w:w="900" w:type="dxa"/>
            <w:noWrap/>
            <w:vAlign w:val="center"/>
            <w:hideMark/>
          </w:tcPr>
          <w:p w14:paraId="0FA6FB0A" w14:textId="77777777" w:rsidR="00F3536C" w:rsidRPr="00A4272B" w:rsidRDefault="00F3536C" w:rsidP="00A41632">
            <w:pPr>
              <w:jc w:val="right"/>
              <w:rPr>
                <w:color w:val="000000"/>
                <w:sz w:val="14"/>
                <w:szCs w:val="14"/>
                <w:lang w:val="en-US"/>
              </w:rPr>
            </w:pPr>
            <w:r w:rsidRPr="00A4272B">
              <w:rPr>
                <w:color w:val="000000"/>
                <w:sz w:val="14"/>
                <w:szCs w:val="14"/>
                <w:lang w:val="en-US"/>
              </w:rPr>
              <w:t>-39.102333</w:t>
            </w:r>
          </w:p>
        </w:tc>
        <w:tc>
          <w:tcPr>
            <w:tcW w:w="998" w:type="dxa"/>
            <w:noWrap/>
            <w:vAlign w:val="center"/>
            <w:hideMark/>
          </w:tcPr>
          <w:p w14:paraId="13F960B0" w14:textId="77777777" w:rsidR="00F3536C" w:rsidRPr="00A4272B" w:rsidRDefault="00F3536C" w:rsidP="00A41632">
            <w:pPr>
              <w:jc w:val="right"/>
              <w:rPr>
                <w:color w:val="000000"/>
                <w:sz w:val="14"/>
                <w:szCs w:val="14"/>
                <w:lang w:val="en-US"/>
              </w:rPr>
            </w:pPr>
            <w:r w:rsidRPr="00A4272B">
              <w:rPr>
                <w:color w:val="000000"/>
                <w:sz w:val="14"/>
                <w:szCs w:val="14"/>
                <w:lang w:val="en-US"/>
              </w:rPr>
              <w:t>-67.108333</w:t>
            </w:r>
          </w:p>
        </w:tc>
        <w:tc>
          <w:tcPr>
            <w:tcW w:w="859" w:type="dxa"/>
            <w:tcBorders>
              <w:top w:val="nil"/>
              <w:left w:val="nil"/>
              <w:bottom w:val="nil"/>
              <w:right w:val="single" w:sz="8" w:space="0" w:color="auto"/>
            </w:tcBorders>
            <w:noWrap/>
            <w:vAlign w:val="center"/>
            <w:hideMark/>
          </w:tcPr>
          <w:p w14:paraId="60FF004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1BB64F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D1C124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8F6AF8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AB961B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4E61A0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A820829"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0F938047" w14:textId="77777777" w:rsidTr="00A41632">
        <w:trPr>
          <w:trHeight w:val="276"/>
          <w:jc w:val="center"/>
        </w:trPr>
        <w:tc>
          <w:tcPr>
            <w:tcW w:w="955" w:type="dxa"/>
            <w:tcBorders>
              <w:top w:val="nil"/>
              <w:left w:val="single" w:sz="8" w:space="0" w:color="auto"/>
              <w:bottom w:val="nil"/>
              <w:right w:val="nil"/>
            </w:tcBorders>
            <w:noWrap/>
            <w:vAlign w:val="center"/>
            <w:hideMark/>
          </w:tcPr>
          <w:p w14:paraId="6007AF50"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1DD8135"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49B28C5F" w14:textId="77777777" w:rsidR="00F3536C" w:rsidRPr="00A4272B" w:rsidRDefault="00F3536C" w:rsidP="00A41632">
            <w:pPr>
              <w:rPr>
                <w:color w:val="000000"/>
                <w:sz w:val="14"/>
                <w:szCs w:val="14"/>
                <w:lang w:val="en-US"/>
              </w:rPr>
            </w:pPr>
            <w:r w:rsidRPr="00A4272B">
              <w:rPr>
                <w:color w:val="000000"/>
                <w:sz w:val="14"/>
                <w:szCs w:val="14"/>
                <w:lang w:val="en-US"/>
              </w:rPr>
              <w:t>Abrolhos Island</w:t>
            </w:r>
          </w:p>
        </w:tc>
        <w:tc>
          <w:tcPr>
            <w:tcW w:w="998" w:type="dxa"/>
            <w:noWrap/>
            <w:vAlign w:val="center"/>
            <w:hideMark/>
          </w:tcPr>
          <w:p w14:paraId="61BFE23D" w14:textId="77777777" w:rsidR="00F3536C" w:rsidRPr="00A4272B" w:rsidRDefault="00F3536C" w:rsidP="00A41632">
            <w:pPr>
              <w:jc w:val="center"/>
              <w:rPr>
                <w:color w:val="000000"/>
                <w:sz w:val="14"/>
                <w:szCs w:val="14"/>
                <w:lang w:val="en-US"/>
              </w:rPr>
            </w:pPr>
            <w:r w:rsidRPr="00A4272B">
              <w:rPr>
                <w:color w:val="000000"/>
                <w:sz w:val="14"/>
                <w:szCs w:val="14"/>
                <w:lang w:val="en-US"/>
              </w:rPr>
              <w:t>1</w:t>
            </w:r>
          </w:p>
        </w:tc>
        <w:tc>
          <w:tcPr>
            <w:tcW w:w="1342" w:type="dxa"/>
            <w:noWrap/>
            <w:vAlign w:val="center"/>
            <w:hideMark/>
          </w:tcPr>
          <w:p w14:paraId="1957342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179590C" w14:textId="77777777" w:rsidR="00F3536C" w:rsidRPr="00A4272B" w:rsidRDefault="00F3536C" w:rsidP="00A41632">
            <w:pPr>
              <w:jc w:val="right"/>
              <w:rPr>
                <w:color w:val="000000"/>
                <w:sz w:val="14"/>
                <w:szCs w:val="14"/>
                <w:lang w:val="en-US"/>
              </w:rPr>
            </w:pPr>
            <w:r w:rsidRPr="00A4272B">
              <w:rPr>
                <w:color w:val="000000"/>
                <w:sz w:val="14"/>
                <w:szCs w:val="14"/>
                <w:lang w:val="en-US"/>
              </w:rPr>
              <w:t>-17.968317</w:t>
            </w:r>
          </w:p>
        </w:tc>
        <w:tc>
          <w:tcPr>
            <w:tcW w:w="998" w:type="dxa"/>
            <w:noWrap/>
            <w:vAlign w:val="center"/>
            <w:hideMark/>
          </w:tcPr>
          <w:p w14:paraId="6759EBC3" w14:textId="77777777" w:rsidR="00F3536C" w:rsidRPr="00A4272B" w:rsidRDefault="00F3536C" w:rsidP="00A41632">
            <w:pPr>
              <w:jc w:val="right"/>
              <w:rPr>
                <w:color w:val="000000"/>
                <w:sz w:val="14"/>
                <w:szCs w:val="14"/>
                <w:lang w:val="en-US"/>
              </w:rPr>
            </w:pPr>
            <w:r w:rsidRPr="00A4272B">
              <w:rPr>
                <w:color w:val="000000"/>
                <w:sz w:val="14"/>
                <w:szCs w:val="14"/>
                <w:lang w:val="en-US"/>
              </w:rPr>
              <w:t>-38.684444</w:t>
            </w:r>
          </w:p>
        </w:tc>
        <w:tc>
          <w:tcPr>
            <w:tcW w:w="859" w:type="dxa"/>
            <w:tcBorders>
              <w:top w:val="nil"/>
              <w:left w:val="nil"/>
              <w:bottom w:val="nil"/>
              <w:right w:val="single" w:sz="8" w:space="0" w:color="auto"/>
            </w:tcBorders>
            <w:noWrap/>
            <w:vAlign w:val="center"/>
            <w:hideMark/>
          </w:tcPr>
          <w:p w14:paraId="7FB67FD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753397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ECF71E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7517A3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BC98A8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DD4705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9E70ABB"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78BF7573" w14:textId="77777777" w:rsidTr="00A41632">
        <w:trPr>
          <w:trHeight w:val="276"/>
          <w:jc w:val="center"/>
        </w:trPr>
        <w:tc>
          <w:tcPr>
            <w:tcW w:w="955" w:type="dxa"/>
            <w:tcBorders>
              <w:top w:val="nil"/>
              <w:left w:val="single" w:sz="8" w:space="0" w:color="auto"/>
              <w:bottom w:val="nil"/>
              <w:right w:val="nil"/>
            </w:tcBorders>
            <w:noWrap/>
            <w:vAlign w:val="center"/>
            <w:hideMark/>
          </w:tcPr>
          <w:p w14:paraId="28ACDD31"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AAE5986"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5DAD3069" w14:textId="77777777" w:rsidR="00F3536C" w:rsidRPr="00A4272B" w:rsidRDefault="00F3536C" w:rsidP="00A41632">
            <w:pPr>
              <w:rPr>
                <w:color w:val="000000"/>
                <w:sz w:val="14"/>
                <w:szCs w:val="14"/>
                <w:lang w:val="en-US"/>
              </w:rPr>
            </w:pPr>
            <w:r w:rsidRPr="00A4272B">
              <w:rPr>
                <w:color w:val="000000"/>
                <w:sz w:val="14"/>
                <w:szCs w:val="14"/>
                <w:lang w:val="en-US"/>
              </w:rPr>
              <w:t>Araraquara, SP</w:t>
            </w:r>
          </w:p>
        </w:tc>
        <w:tc>
          <w:tcPr>
            <w:tcW w:w="998" w:type="dxa"/>
            <w:noWrap/>
            <w:vAlign w:val="center"/>
            <w:hideMark/>
          </w:tcPr>
          <w:p w14:paraId="582717F7" w14:textId="77777777" w:rsidR="00F3536C" w:rsidRPr="00A4272B" w:rsidRDefault="00F3536C" w:rsidP="00A41632">
            <w:pPr>
              <w:jc w:val="center"/>
              <w:rPr>
                <w:color w:val="000000"/>
                <w:sz w:val="14"/>
                <w:szCs w:val="14"/>
                <w:lang w:val="en-US"/>
              </w:rPr>
            </w:pPr>
            <w:r w:rsidRPr="00A4272B">
              <w:rPr>
                <w:color w:val="000000"/>
                <w:sz w:val="14"/>
                <w:szCs w:val="14"/>
                <w:lang w:val="en-US"/>
              </w:rPr>
              <w:t>31</w:t>
            </w:r>
          </w:p>
        </w:tc>
        <w:tc>
          <w:tcPr>
            <w:tcW w:w="1342" w:type="dxa"/>
            <w:noWrap/>
            <w:vAlign w:val="center"/>
            <w:hideMark/>
          </w:tcPr>
          <w:p w14:paraId="6ECF472E" w14:textId="77777777" w:rsidR="00F3536C" w:rsidRPr="00A4272B" w:rsidRDefault="00F3536C" w:rsidP="00A41632">
            <w:pPr>
              <w:jc w:val="center"/>
              <w:rPr>
                <w:color w:val="000000"/>
                <w:sz w:val="14"/>
                <w:szCs w:val="14"/>
                <w:lang w:val="en-US"/>
              </w:rPr>
            </w:pPr>
            <w:r w:rsidRPr="00A4272B">
              <w:rPr>
                <w:color w:val="000000"/>
                <w:sz w:val="14"/>
                <w:szCs w:val="14"/>
                <w:lang w:val="en-US"/>
              </w:rPr>
              <w:t>Urban / Agricultural</w:t>
            </w:r>
          </w:p>
        </w:tc>
        <w:tc>
          <w:tcPr>
            <w:tcW w:w="900" w:type="dxa"/>
            <w:noWrap/>
            <w:vAlign w:val="center"/>
            <w:hideMark/>
          </w:tcPr>
          <w:p w14:paraId="20EA917F" w14:textId="77777777" w:rsidR="00F3536C" w:rsidRPr="00A4272B" w:rsidRDefault="00F3536C" w:rsidP="00A41632">
            <w:pPr>
              <w:jc w:val="right"/>
              <w:rPr>
                <w:color w:val="000000"/>
                <w:sz w:val="14"/>
                <w:szCs w:val="14"/>
                <w:lang w:val="en-US"/>
              </w:rPr>
            </w:pPr>
            <w:r w:rsidRPr="00A4272B">
              <w:rPr>
                <w:color w:val="000000"/>
                <w:sz w:val="14"/>
                <w:szCs w:val="14"/>
                <w:lang w:val="en-US"/>
              </w:rPr>
              <w:t>-21.791944</w:t>
            </w:r>
          </w:p>
        </w:tc>
        <w:tc>
          <w:tcPr>
            <w:tcW w:w="998" w:type="dxa"/>
            <w:noWrap/>
            <w:vAlign w:val="center"/>
            <w:hideMark/>
          </w:tcPr>
          <w:p w14:paraId="61DC6A42" w14:textId="77777777" w:rsidR="00F3536C" w:rsidRPr="00A4272B" w:rsidRDefault="00F3536C" w:rsidP="00A41632">
            <w:pPr>
              <w:jc w:val="right"/>
              <w:rPr>
                <w:color w:val="000000"/>
                <w:sz w:val="14"/>
                <w:szCs w:val="14"/>
                <w:lang w:val="en-US"/>
              </w:rPr>
            </w:pPr>
            <w:r w:rsidRPr="00A4272B">
              <w:rPr>
                <w:color w:val="000000"/>
                <w:sz w:val="14"/>
                <w:szCs w:val="14"/>
                <w:lang w:val="en-US"/>
              </w:rPr>
              <w:t>-48.181111</w:t>
            </w:r>
          </w:p>
        </w:tc>
        <w:tc>
          <w:tcPr>
            <w:tcW w:w="859" w:type="dxa"/>
            <w:tcBorders>
              <w:top w:val="nil"/>
              <w:left w:val="nil"/>
              <w:bottom w:val="nil"/>
              <w:right w:val="single" w:sz="8" w:space="0" w:color="auto"/>
            </w:tcBorders>
            <w:noWrap/>
            <w:vAlign w:val="center"/>
            <w:hideMark/>
          </w:tcPr>
          <w:p w14:paraId="5FE55DD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D4EB2B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F2BD320"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F4F642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3C19A0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53F26C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2BEB1FF"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2B0F0D5D" w14:textId="77777777" w:rsidTr="00A41632">
        <w:trPr>
          <w:trHeight w:val="276"/>
          <w:jc w:val="center"/>
        </w:trPr>
        <w:tc>
          <w:tcPr>
            <w:tcW w:w="955" w:type="dxa"/>
            <w:tcBorders>
              <w:top w:val="nil"/>
              <w:left w:val="single" w:sz="8" w:space="0" w:color="auto"/>
              <w:bottom w:val="nil"/>
              <w:right w:val="nil"/>
            </w:tcBorders>
            <w:noWrap/>
            <w:vAlign w:val="center"/>
            <w:hideMark/>
          </w:tcPr>
          <w:p w14:paraId="6409B99B"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42260D3"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5E95F9D" w14:textId="77777777" w:rsidR="00F3536C" w:rsidRPr="00A4272B" w:rsidRDefault="00F3536C" w:rsidP="00A41632">
            <w:pPr>
              <w:rPr>
                <w:color w:val="000000"/>
                <w:sz w:val="14"/>
                <w:szCs w:val="14"/>
                <w:lang w:val="en-US"/>
              </w:rPr>
            </w:pPr>
            <w:r w:rsidRPr="00A4272B">
              <w:rPr>
                <w:color w:val="000000"/>
                <w:sz w:val="14"/>
                <w:szCs w:val="14"/>
                <w:lang w:val="en-US"/>
              </w:rPr>
              <w:t>Barretos, SP</w:t>
            </w:r>
          </w:p>
        </w:tc>
        <w:tc>
          <w:tcPr>
            <w:tcW w:w="998" w:type="dxa"/>
            <w:noWrap/>
            <w:vAlign w:val="center"/>
            <w:hideMark/>
          </w:tcPr>
          <w:p w14:paraId="3505BF29" w14:textId="77777777" w:rsidR="00F3536C" w:rsidRPr="00A4272B" w:rsidRDefault="00F3536C" w:rsidP="00A41632">
            <w:pPr>
              <w:jc w:val="center"/>
              <w:rPr>
                <w:color w:val="000000"/>
                <w:sz w:val="14"/>
                <w:szCs w:val="14"/>
                <w:lang w:val="en-US"/>
              </w:rPr>
            </w:pPr>
            <w:r w:rsidRPr="00A4272B">
              <w:rPr>
                <w:color w:val="000000"/>
                <w:sz w:val="14"/>
                <w:szCs w:val="14"/>
                <w:lang w:val="en-US"/>
              </w:rPr>
              <w:t>65</w:t>
            </w:r>
          </w:p>
        </w:tc>
        <w:tc>
          <w:tcPr>
            <w:tcW w:w="1342" w:type="dxa"/>
            <w:noWrap/>
            <w:vAlign w:val="center"/>
            <w:hideMark/>
          </w:tcPr>
          <w:p w14:paraId="3883596B"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220A2953" w14:textId="77777777" w:rsidR="00F3536C" w:rsidRPr="00A4272B" w:rsidRDefault="00F3536C" w:rsidP="00A41632">
            <w:pPr>
              <w:jc w:val="right"/>
              <w:rPr>
                <w:color w:val="000000"/>
                <w:sz w:val="14"/>
                <w:szCs w:val="14"/>
                <w:lang w:val="en-US"/>
              </w:rPr>
            </w:pPr>
            <w:r w:rsidRPr="00A4272B">
              <w:rPr>
                <w:color w:val="000000"/>
                <w:sz w:val="14"/>
                <w:szCs w:val="14"/>
                <w:lang w:val="en-US"/>
              </w:rPr>
              <w:t>-20.572461</w:t>
            </w:r>
          </w:p>
        </w:tc>
        <w:tc>
          <w:tcPr>
            <w:tcW w:w="998" w:type="dxa"/>
            <w:noWrap/>
            <w:vAlign w:val="center"/>
            <w:hideMark/>
          </w:tcPr>
          <w:p w14:paraId="7AE02B9E" w14:textId="77777777" w:rsidR="00F3536C" w:rsidRPr="00A4272B" w:rsidRDefault="00F3536C" w:rsidP="00A41632">
            <w:pPr>
              <w:jc w:val="right"/>
              <w:rPr>
                <w:color w:val="000000"/>
                <w:sz w:val="14"/>
                <w:szCs w:val="14"/>
                <w:lang w:val="en-US"/>
              </w:rPr>
            </w:pPr>
            <w:r w:rsidRPr="00A4272B">
              <w:rPr>
                <w:color w:val="000000"/>
                <w:sz w:val="14"/>
                <w:szCs w:val="14"/>
                <w:lang w:val="en-US"/>
              </w:rPr>
              <w:t>-48.574167</w:t>
            </w:r>
          </w:p>
        </w:tc>
        <w:tc>
          <w:tcPr>
            <w:tcW w:w="859" w:type="dxa"/>
            <w:tcBorders>
              <w:top w:val="nil"/>
              <w:left w:val="nil"/>
              <w:bottom w:val="nil"/>
              <w:right w:val="single" w:sz="8" w:space="0" w:color="auto"/>
            </w:tcBorders>
            <w:noWrap/>
            <w:vAlign w:val="center"/>
            <w:hideMark/>
          </w:tcPr>
          <w:p w14:paraId="04F63DC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5AC5B4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0375D4E"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7036C5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9608BA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7D9EF5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EBFB1A6"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4B1154DC" w14:textId="77777777" w:rsidTr="00A41632">
        <w:trPr>
          <w:trHeight w:val="276"/>
          <w:jc w:val="center"/>
        </w:trPr>
        <w:tc>
          <w:tcPr>
            <w:tcW w:w="955" w:type="dxa"/>
            <w:tcBorders>
              <w:top w:val="nil"/>
              <w:left w:val="single" w:sz="8" w:space="0" w:color="auto"/>
              <w:bottom w:val="nil"/>
              <w:right w:val="nil"/>
            </w:tcBorders>
            <w:noWrap/>
            <w:vAlign w:val="center"/>
            <w:hideMark/>
          </w:tcPr>
          <w:p w14:paraId="7B807D60"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B56CEDA"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C4A4828" w14:textId="77777777" w:rsidR="00F3536C" w:rsidRPr="00A4272B" w:rsidRDefault="00F3536C" w:rsidP="00A41632">
            <w:pPr>
              <w:rPr>
                <w:color w:val="000000"/>
                <w:sz w:val="14"/>
                <w:szCs w:val="14"/>
                <w:lang w:val="en-US"/>
              </w:rPr>
            </w:pPr>
            <w:r w:rsidRPr="00A4272B">
              <w:rPr>
                <w:color w:val="000000"/>
                <w:sz w:val="14"/>
                <w:szCs w:val="14"/>
                <w:lang w:val="en-US"/>
              </w:rPr>
              <w:t>Belém, PA</w:t>
            </w:r>
          </w:p>
        </w:tc>
        <w:tc>
          <w:tcPr>
            <w:tcW w:w="998" w:type="dxa"/>
            <w:noWrap/>
            <w:vAlign w:val="center"/>
            <w:hideMark/>
          </w:tcPr>
          <w:p w14:paraId="68BEDA88" w14:textId="77777777" w:rsidR="00F3536C" w:rsidRPr="00A4272B" w:rsidRDefault="00F3536C" w:rsidP="00A41632">
            <w:pPr>
              <w:jc w:val="center"/>
              <w:rPr>
                <w:color w:val="000000"/>
                <w:sz w:val="14"/>
                <w:szCs w:val="14"/>
                <w:lang w:val="en-US"/>
              </w:rPr>
            </w:pPr>
            <w:r w:rsidRPr="00A4272B">
              <w:rPr>
                <w:color w:val="000000"/>
                <w:sz w:val="14"/>
                <w:szCs w:val="14"/>
                <w:lang w:val="en-US"/>
              </w:rPr>
              <w:t>18</w:t>
            </w:r>
          </w:p>
        </w:tc>
        <w:tc>
          <w:tcPr>
            <w:tcW w:w="1342" w:type="dxa"/>
            <w:noWrap/>
            <w:vAlign w:val="center"/>
            <w:hideMark/>
          </w:tcPr>
          <w:p w14:paraId="7CD26F7D"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300C17AE" w14:textId="77777777" w:rsidR="00F3536C" w:rsidRPr="00A4272B" w:rsidRDefault="00F3536C" w:rsidP="00A41632">
            <w:pPr>
              <w:jc w:val="right"/>
              <w:rPr>
                <w:color w:val="000000"/>
                <w:sz w:val="14"/>
                <w:szCs w:val="14"/>
                <w:lang w:val="en-US"/>
              </w:rPr>
            </w:pPr>
            <w:r w:rsidRPr="00A4272B">
              <w:rPr>
                <w:color w:val="000000"/>
                <w:sz w:val="14"/>
                <w:szCs w:val="14"/>
                <w:lang w:val="en-US"/>
              </w:rPr>
              <w:t>-1.474158</w:t>
            </w:r>
          </w:p>
        </w:tc>
        <w:tc>
          <w:tcPr>
            <w:tcW w:w="998" w:type="dxa"/>
            <w:noWrap/>
            <w:vAlign w:val="center"/>
            <w:hideMark/>
          </w:tcPr>
          <w:p w14:paraId="5AF53F0F" w14:textId="77777777" w:rsidR="00F3536C" w:rsidRPr="00A4272B" w:rsidRDefault="00F3536C" w:rsidP="00A41632">
            <w:pPr>
              <w:jc w:val="right"/>
              <w:rPr>
                <w:color w:val="000000"/>
                <w:sz w:val="14"/>
                <w:szCs w:val="14"/>
                <w:lang w:val="en-US"/>
              </w:rPr>
            </w:pPr>
            <w:r w:rsidRPr="00A4272B">
              <w:rPr>
                <w:color w:val="000000"/>
                <w:sz w:val="14"/>
                <w:szCs w:val="14"/>
                <w:lang w:val="en-US"/>
              </w:rPr>
              <w:t>-48.458333</w:t>
            </w:r>
          </w:p>
        </w:tc>
        <w:tc>
          <w:tcPr>
            <w:tcW w:w="859" w:type="dxa"/>
            <w:tcBorders>
              <w:top w:val="nil"/>
              <w:left w:val="nil"/>
              <w:bottom w:val="nil"/>
              <w:right w:val="single" w:sz="8" w:space="0" w:color="auto"/>
            </w:tcBorders>
            <w:noWrap/>
            <w:vAlign w:val="center"/>
            <w:hideMark/>
          </w:tcPr>
          <w:p w14:paraId="0D80FBE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84D153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033338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74C680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93FD84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1588EF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D720AB3"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65D4AD0C" w14:textId="77777777" w:rsidTr="00A41632">
        <w:trPr>
          <w:trHeight w:val="276"/>
          <w:jc w:val="center"/>
        </w:trPr>
        <w:tc>
          <w:tcPr>
            <w:tcW w:w="955" w:type="dxa"/>
            <w:tcBorders>
              <w:top w:val="nil"/>
              <w:left w:val="single" w:sz="8" w:space="0" w:color="auto"/>
              <w:bottom w:val="nil"/>
              <w:right w:val="nil"/>
            </w:tcBorders>
            <w:noWrap/>
            <w:vAlign w:val="center"/>
            <w:hideMark/>
          </w:tcPr>
          <w:p w14:paraId="72F1620C"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314B564E"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323AB033" w14:textId="77777777" w:rsidR="00F3536C" w:rsidRPr="00A4272B" w:rsidRDefault="00F3536C" w:rsidP="00A41632">
            <w:pPr>
              <w:rPr>
                <w:color w:val="000000"/>
                <w:sz w:val="14"/>
                <w:szCs w:val="14"/>
                <w:lang w:val="en-US"/>
              </w:rPr>
            </w:pPr>
            <w:r w:rsidRPr="00A4272B">
              <w:rPr>
                <w:color w:val="000000"/>
                <w:sz w:val="14"/>
                <w:szCs w:val="14"/>
                <w:lang w:val="en-US"/>
              </w:rPr>
              <w:t>Botanical Garden, POA, RS</w:t>
            </w:r>
          </w:p>
        </w:tc>
        <w:tc>
          <w:tcPr>
            <w:tcW w:w="998" w:type="dxa"/>
            <w:noWrap/>
            <w:vAlign w:val="center"/>
            <w:hideMark/>
          </w:tcPr>
          <w:p w14:paraId="10866168" w14:textId="77777777" w:rsidR="00F3536C" w:rsidRPr="00A4272B" w:rsidRDefault="00F3536C" w:rsidP="00A41632">
            <w:pPr>
              <w:jc w:val="center"/>
              <w:rPr>
                <w:color w:val="000000"/>
                <w:sz w:val="14"/>
                <w:szCs w:val="14"/>
                <w:lang w:val="en-US"/>
              </w:rPr>
            </w:pPr>
            <w:r w:rsidRPr="00A4272B">
              <w:rPr>
                <w:color w:val="000000"/>
                <w:sz w:val="14"/>
                <w:szCs w:val="14"/>
                <w:lang w:val="en-US"/>
              </w:rPr>
              <w:t>72</w:t>
            </w:r>
          </w:p>
        </w:tc>
        <w:tc>
          <w:tcPr>
            <w:tcW w:w="1342" w:type="dxa"/>
            <w:noWrap/>
            <w:vAlign w:val="center"/>
            <w:hideMark/>
          </w:tcPr>
          <w:p w14:paraId="0E539432"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37690B98" w14:textId="77777777" w:rsidR="00F3536C" w:rsidRPr="00A4272B" w:rsidRDefault="00F3536C" w:rsidP="00A41632">
            <w:pPr>
              <w:jc w:val="right"/>
              <w:rPr>
                <w:color w:val="000000"/>
                <w:sz w:val="14"/>
                <w:szCs w:val="14"/>
                <w:lang w:val="en-US"/>
              </w:rPr>
            </w:pPr>
            <w:r w:rsidRPr="00A4272B">
              <w:rPr>
                <w:color w:val="000000"/>
                <w:sz w:val="14"/>
                <w:szCs w:val="14"/>
                <w:lang w:val="en-US"/>
              </w:rPr>
              <w:t>-30.053686</w:t>
            </w:r>
          </w:p>
        </w:tc>
        <w:tc>
          <w:tcPr>
            <w:tcW w:w="998" w:type="dxa"/>
            <w:noWrap/>
            <w:vAlign w:val="center"/>
            <w:hideMark/>
          </w:tcPr>
          <w:p w14:paraId="53EEA05B" w14:textId="77777777" w:rsidR="00F3536C" w:rsidRPr="00A4272B" w:rsidRDefault="00F3536C" w:rsidP="00A41632">
            <w:pPr>
              <w:jc w:val="right"/>
              <w:rPr>
                <w:color w:val="000000"/>
                <w:sz w:val="14"/>
                <w:szCs w:val="14"/>
                <w:lang w:val="en-US"/>
              </w:rPr>
            </w:pPr>
            <w:r w:rsidRPr="00A4272B">
              <w:rPr>
                <w:color w:val="000000"/>
                <w:sz w:val="14"/>
                <w:szCs w:val="14"/>
                <w:lang w:val="en-US"/>
              </w:rPr>
              <w:t>-51.174722</w:t>
            </w:r>
          </w:p>
        </w:tc>
        <w:tc>
          <w:tcPr>
            <w:tcW w:w="859" w:type="dxa"/>
            <w:tcBorders>
              <w:top w:val="nil"/>
              <w:left w:val="nil"/>
              <w:bottom w:val="nil"/>
              <w:right w:val="single" w:sz="8" w:space="0" w:color="auto"/>
            </w:tcBorders>
            <w:noWrap/>
            <w:vAlign w:val="center"/>
            <w:hideMark/>
          </w:tcPr>
          <w:p w14:paraId="048AB09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7A5F336"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47054B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46E616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99C328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84ADA5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AA6A353"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6C483973" w14:textId="77777777" w:rsidTr="00A41632">
        <w:trPr>
          <w:trHeight w:val="276"/>
          <w:jc w:val="center"/>
        </w:trPr>
        <w:tc>
          <w:tcPr>
            <w:tcW w:w="955" w:type="dxa"/>
            <w:tcBorders>
              <w:top w:val="nil"/>
              <w:left w:val="single" w:sz="8" w:space="0" w:color="auto"/>
              <w:bottom w:val="nil"/>
              <w:right w:val="nil"/>
            </w:tcBorders>
            <w:noWrap/>
            <w:vAlign w:val="center"/>
            <w:hideMark/>
          </w:tcPr>
          <w:p w14:paraId="2AFF95FA"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A2971E3"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302D1AE" w14:textId="77777777" w:rsidR="00F3536C" w:rsidRPr="00A4272B" w:rsidRDefault="00F3536C" w:rsidP="00A41632">
            <w:pPr>
              <w:rPr>
                <w:color w:val="000000"/>
                <w:sz w:val="14"/>
                <w:szCs w:val="14"/>
                <w:lang w:val="en-US"/>
              </w:rPr>
            </w:pPr>
            <w:r w:rsidRPr="00A4272B">
              <w:rPr>
                <w:color w:val="000000"/>
                <w:sz w:val="14"/>
                <w:szCs w:val="14"/>
                <w:lang w:val="en-US"/>
              </w:rPr>
              <w:t>CETESB, SP</w:t>
            </w:r>
          </w:p>
        </w:tc>
        <w:tc>
          <w:tcPr>
            <w:tcW w:w="998" w:type="dxa"/>
            <w:noWrap/>
            <w:vAlign w:val="center"/>
            <w:hideMark/>
          </w:tcPr>
          <w:p w14:paraId="6E32CD3C" w14:textId="77777777" w:rsidR="00F3536C" w:rsidRPr="00A4272B" w:rsidRDefault="00F3536C" w:rsidP="00A41632">
            <w:pPr>
              <w:jc w:val="center"/>
              <w:rPr>
                <w:color w:val="000000"/>
                <w:sz w:val="14"/>
                <w:szCs w:val="14"/>
                <w:lang w:val="en-US"/>
              </w:rPr>
            </w:pPr>
            <w:r w:rsidRPr="00A4272B">
              <w:rPr>
                <w:color w:val="000000"/>
                <w:sz w:val="14"/>
                <w:szCs w:val="14"/>
                <w:lang w:val="en-US"/>
              </w:rPr>
              <w:t>2</w:t>
            </w:r>
          </w:p>
        </w:tc>
        <w:tc>
          <w:tcPr>
            <w:tcW w:w="1342" w:type="dxa"/>
            <w:noWrap/>
            <w:vAlign w:val="center"/>
            <w:hideMark/>
          </w:tcPr>
          <w:p w14:paraId="2DF86C83"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2E679EDB" w14:textId="77777777" w:rsidR="00F3536C" w:rsidRPr="00A4272B" w:rsidRDefault="00F3536C" w:rsidP="00A41632">
            <w:pPr>
              <w:jc w:val="right"/>
              <w:rPr>
                <w:color w:val="000000"/>
                <w:sz w:val="14"/>
                <w:szCs w:val="14"/>
                <w:lang w:val="en-US"/>
              </w:rPr>
            </w:pPr>
            <w:r w:rsidRPr="00A4272B">
              <w:rPr>
                <w:color w:val="000000"/>
                <w:sz w:val="14"/>
                <w:szCs w:val="14"/>
                <w:lang w:val="en-US"/>
              </w:rPr>
              <w:t>-23.561097</w:t>
            </w:r>
          </w:p>
        </w:tc>
        <w:tc>
          <w:tcPr>
            <w:tcW w:w="998" w:type="dxa"/>
            <w:noWrap/>
            <w:vAlign w:val="center"/>
            <w:hideMark/>
          </w:tcPr>
          <w:p w14:paraId="5845F30D" w14:textId="77777777" w:rsidR="00F3536C" w:rsidRPr="00A4272B" w:rsidRDefault="00F3536C" w:rsidP="00A41632">
            <w:pPr>
              <w:jc w:val="right"/>
              <w:rPr>
                <w:color w:val="000000"/>
                <w:sz w:val="14"/>
                <w:szCs w:val="14"/>
                <w:lang w:val="en-US"/>
              </w:rPr>
            </w:pPr>
            <w:r w:rsidRPr="00A4272B">
              <w:rPr>
                <w:color w:val="000000"/>
                <w:sz w:val="14"/>
                <w:szCs w:val="14"/>
                <w:lang w:val="en-US"/>
              </w:rPr>
              <w:t>-46.701389</w:t>
            </w:r>
          </w:p>
        </w:tc>
        <w:tc>
          <w:tcPr>
            <w:tcW w:w="859" w:type="dxa"/>
            <w:tcBorders>
              <w:top w:val="nil"/>
              <w:left w:val="nil"/>
              <w:bottom w:val="nil"/>
              <w:right w:val="single" w:sz="8" w:space="0" w:color="auto"/>
            </w:tcBorders>
            <w:noWrap/>
            <w:vAlign w:val="center"/>
            <w:hideMark/>
          </w:tcPr>
          <w:p w14:paraId="0E8A1C1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364FE3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47A607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5D3D48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A8D1F5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2F79CA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04182EC"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28D3C70D" w14:textId="77777777" w:rsidTr="00A41632">
        <w:trPr>
          <w:trHeight w:val="276"/>
          <w:jc w:val="center"/>
        </w:trPr>
        <w:tc>
          <w:tcPr>
            <w:tcW w:w="955" w:type="dxa"/>
            <w:tcBorders>
              <w:top w:val="nil"/>
              <w:left w:val="single" w:sz="8" w:space="0" w:color="auto"/>
              <w:bottom w:val="nil"/>
              <w:right w:val="nil"/>
            </w:tcBorders>
            <w:noWrap/>
            <w:vAlign w:val="center"/>
            <w:hideMark/>
          </w:tcPr>
          <w:p w14:paraId="29D0E6F1"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4E387EA5"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685F6AA3" w14:textId="77777777" w:rsidR="00F3536C" w:rsidRPr="00A4272B" w:rsidRDefault="00F3536C" w:rsidP="00A41632">
            <w:pPr>
              <w:rPr>
                <w:color w:val="000000"/>
                <w:sz w:val="14"/>
                <w:szCs w:val="14"/>
                <w:lang w:val="en-US"/>
              </w:rPr>
            </w:pPr>
            <w:r w:rsidRPr="00A4272B">
              <w:rPr>
                <w:color w:val="000000"/>
                <w:sz w:val="14"/>
                <w:szCs w:val="14"/>
                <w:lang w:val="en-US"/>
              </w:rPr>
              <w:t>Chapada dos Veadeiros, GO</w:t>
            </w:r>
          </w:p>
        </w:tc>
        <w:tc>
          <w:tcPr>
            <w:tcW w:w="998" w:type="dxa"/>
            <w:noWrap/>
            <w:vAlign w:val="center"/>
            <w:hideMark/>
          </w:tcPr>
          <w:p w14:paraId="2F8AE23B" w14:textId="77777777" w:rsidR="00F3536C" w:rsidRPr="00A4272B" w:rsidRDefault="00F3536C" w:rsidP="00A41632">
            <w:pPr>
              <w:jc w:val="center"/>
              <w:rPr>
                <w:color w:val="000000"/>
                <w:sz w:val="14"/>
                <w:szCs w:val="14"/>
                <w:lang w:val="en-US"/>
              </w:rPr>
            </w:pPr>
            <w:r w:rsidRPr="00A4272B">
              <w:rPr>
                <w:color w:val="000000"/>
                <w:sz w:val="14"/>
                <w:szCs w:val="14"/>
                <w:lang w:val="en-US"/>
              </w:rPr>
              <w:t>3</w:t>
            </w:r>
          </w:p>
        </w:tc>
        <w:tc>
          <w:tcPr>
            <w:tcW w:w="1342" w:type="dxa"/>
            <w:noWrap/>
            <w:vAlign w:val="center"/>
            <w:hideMark/>
          </w:tcPr>
          <w:p w14:paraId="7E15C44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418BA22" w14:textId="77777777" w:rsidR="00F3536C" w:rsidRPr="00A4272B" w:rsidRDefault="00F3536C" w:rsidP="00A41632">
            <w:pPr>
              <w:jc w:val="right"/>
              <w:rPr>
                <w:color w:val="000000"/>
                <w:sz w:val="14"/>
                <w:szCs w:val="14"/>
                <w:lang w:val="en-US"/>
              </w:rPr>
            </w:pPr>
            <w:r w:rsidRPr="00A4272B">
              <w:rPr>
                <w:color w:val="000000"/>
                <w:sz w:val="14"/>
                <w:szCs w:val="14"/>
                <w:lang w:val="en-US"/>
              </w:rPr>
              <w:t>-14.066708</w:t>
            </w:r>
          </w:p>
        </w:tc>
        <w:tc>
          <w:tcPr>
            <w:tcW w:w="998" w:type="dxa"/>
            <w:noWrap/>
            <w:vAlign w:val="center"/>
            <w:hideMark/>
          </w:tcPr>
          <w:p w14:paraId="63A95D13" w14:textId="77777777" w:rsidR="00F3536C" w:rsidRPr="00A4272B" w:rsidRDefault="00F3536C" w:rsidP="00A41632">
            <w:pPr>
              <w:jc w:val="right"/>
              <w:rPr>
                <w:color w:val="000000"/>
                <w:sz w:val="14"/>
                <w:szCs w:val="14"/>
                <w:lang w:val="en-US"/>
              </w:rPr>
            </w:pPr>
            <w:r w:rsidRPr="00A4272B">
              <w:rPr>
                <w:color w:val="000000"/>
                <w:sz w:val="14"/>
                <w:szCs w:val="14"/>
                <w:lang w:val="en-US"/>
              </w:rPr>
              <w:t>-47.461389</w:t>
            </w:r>
          </w:p>
        </w:tc>
        <w:tc>
          <w:tcPr>
            <w:tcW w:w="859" w:type="dxa"/>
            <w:tcBorders>
              <w:top w:val="nil"/>
              <w:left w:val="nil"/>
              <w:bottom w:val="nil"/>
              <w:right w:val="single" w:sz="8" w:space="0" w:color="auto"/>
            </w:tcBorders>
            <w:noWrap/>
            <w:vAlign w:val="center"/>
            <w:hideMark/>
          </w:tcPr>
          <w:p w14:paraId="7364A0F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680996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E8A8ECA"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494AB0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6722EF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580AA7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419B223"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06453B2F" w14:textId="77777777" w:rsidTr="00A41632">
        <w:trPr>
          <w:trHeight w:val="276"/>
          <w:jc w:val="center"/>
        </w:trPr>
        <w:tc>
          <w:tcPr>
            <w:tcW w:w="955" w:type="dxa"/>
            <w:tcBorders>
              <w:top w:val="nil"/>
              <w:left w:val="single" w:sz="8" w:space="0" w:color="auto"/>
              <w:bottom w:val="nil"/>
              <w:right w:val="nil"/>
            </w:tcBorders>
            <w:noWrap/>
            <w:vAlign w:val="center"/>
            <w:hideMark/>
          </w:tcPr>
          <w:p w14:paraId="5F880B7F"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12DF5CF"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5B3BC48A" w14:textId="77777777" w:rsidR="00F3536C" w:rsidRPr="00A4272B" w:rsidRDefault="00F3536C" w:rsidP="00A41632">
            <w:pPr>
              <w:rPr>
                <w:color w:val="000000"/>
                <w:sz w:val="14"/>
                <w:szCs w:val="14"/>
                <w:lang w:val="en-US"/>
              </w:rPr>
            </w:pPr>
            <w:r w:rsidRPr="00A4272B">
              <w:rPr>
                <w:color w:val="000000"/>
                <w:sz w:val="14"/>
                <w:szCs w:val="14"/>
                <w:lang w:val="en-US"/>
              </w:rPr>
              <w:t>Cristalino State Park, MT</w:t>
            </w:r>
          </w:p>
        </w:tc>
        <w:tc>
          <w:tcPr>
            <w:tcW w:w="998" w:type="dxa"/>
            <w:noWrap/>
            <w:vAlign w:val="center"/>
            <w:hideMark/>
          </w:tcPr>
          <w:p w14:paraId="1EEFC0C5" w14:textId="77777777" w:rsidR="00F3536C" w:rsidRPr="00A4272B" w:rsidRDefault="00F3536C" w:rsidP="00A41632">
            <w:pPr>
              <w:jc w:val="center"/>
              <w:rPr>
                <w:color w:val="000000"/>
                <w:sz w:val="14"/>
                <w:szCs w:val="14"/>
                <w:lang w:val="en-US"/>
              </w:rPr>
            </w:pPr>
            <w:r w:rsidRPr="00A4272B">
              <w:rPr>
                <w:color w:val="000000"/>
                <w:sz w:val="14"/>
                <w:szCs w:val="14"/>
                <w:lang w:val="en-US"/>
              </w:rPr>
              <w:t>14</w:t>
            </w:r>
          </w:p>
        </w:tc>
        <w:tc>
          <w:tcPr>
            <w:tcW w:w="1342" w:type="dxa"/>
            <w:noWrap/>
            <w:vAlign w:val="center"/>
            <w:hideMark/>
          </w:tcPr>
          <w:p w14:paraId="6EC3145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CEF3D98" w14:textId="77777777" w:rsidR="00F3536C" w:rsidRPr="00A4272B" w:rsidRDefault="00F3536C" w:rsidP="00A41632">
            <w:pPr>
              <w:jc w:val="right"/>
              <w:rPr>
                <w:color w:val="000000"/>
                <w:sz w:val="14"/>
                <w:szCs w:val="14"/>
                <w:lang w:val="en-US"/>
              </w:rPr>
            </w:pPr>
            <w:r w:rsidRPr="00A4272B">
              <w:rPr>
                <w:color w:val="000000"/>
                <w:sz w:val="14"/>
                <w:szCs w:val="14"/>
                <w:lang w:val="en-US"/>
              </w:rPr>
              <w:t>-9.597813</w:t>
            </w:r>
          </w:p>
        </w:tc>
        <w:tc>
          <w:tcPr>
            <w:tcW w:w="998" w:type="dxa"/>
            <w:noWrap/>
            <w:vAlign w:val="center"/>
            <w:hideMark/>
          </w:tcPr>
          <w:p w14:paraId="111AC5DD" w14:textId="77777777" w:rsidR="00F3536C" w:rsidRPr="00A4272B" w:rsidRDefault="00F3536C" w:rsidP="00A41632">
            <w:pPr>
              <w:jc w:val="right"/>
              <w:rPr>
                <w:color w:val="000000"/>
                <w:sz w:val="14"/>
                <w:szCs w:val="14"/>
                <w:lang w:val="en-US"/>
              </w:rPr>
            </w:pPr>
            <w:r w:rsidRPr="00A4272B">
              <w:rPr>
                <w:color w:val="000000"/>
                <w:sz w:val="14"/>
                <w:szCs w:val="14"/>
                <w:lang w:val="en-US"/>
              </w:rPr>
              <w:t>-55.932222</w:t>
            </w:r>
          </w:p>
        </w:tc>
        <w:tc>
          <w:tcPr>
            <w:tcW w:w="859" w:type="dxa"/>
            <w:tcBorders>
              <w:top w:val="nil"/>
              <w:left w:val="nil"/>
              <w:bottom w:val="nil"/>
              <w:right w:val="single" w:sz="8" w:space="0" w:color="auto"/>
            </w:tcBorders>
            <w:noWrap/>
            <w:vAlign w:val="center"/>
            <w:hideMark/>
          </w:tcPr>
          <w:p w14:paraId="4B257A5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7D41BC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F3A5A8A"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CB0314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E5F662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CDDEB1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88F8DF2"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0554D5B8" w14:textId="77777777" w:rsidTr="00A41632">
        <w:trPr>
          <w:trHeight w:val="276"/>
          <w:jc w:val="center"/>
        </w:trPr>
        <w:tc>
          <w:tcPr>
            <w:tcW w:w="955" w:type="dxa"/>
            <w:tcBorders>
              <w:top w:val="nil"/>
              <w:left w:val="single" w:sz="8" w:space="0" w:color="auto"/>
              <w:bottom w:val="nil"/>
              <w:right w:val="nil"/>
            </w:tcBorders>
            <w:noWrap/>
            <w:vAlign w:val="center"/>
            <w:hideMark/>
          </w:tcPr>
          <w:p w14:paraId="28FC2B61"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D18EFA4"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70AE6AC0" w14:textId="77777777" w:rsidR="00F3536C" w:rsidRPr="00A4272B" w:rsidRDefault="00F3536C" w:rsidP="00A41632">
            <w:pPr>
              <w:rPr>
                <w:color w:val="000000"/>
                <w:sz w:val="14"/>
                <w:szCs w:val="14"/>
                <w:lang w:val="en-US"/>
              </w:rPr>
            </w:pPr>
            <w:r w:rsidRPr="00A4272B">
              <w:rPr>
                <w:color w:val="000000"/>
                <w:sz w:val="14"/>
                <w:szCs w:val="14"/>
                <w:lang w:val="en-US"/>
              </w:rPr>
              <w:t>Curitiba, PR</w:t>
            </w:r>
          </w:p>
        </w:tc>
        <w:tc>
          <w:tcPr>
            <w:tcW w:w="998" w:type="dxa"/>
            <w:noWrap/>
            <w:vAlign w:val="center"/>
            <w:hideMark/>
          </w:tcPr>
          <w:p w14:paraId="6E423179" w14:textId="77777777" w:rsidR="00F3536C" w:rsidRPr="00A4272B" w:rsidRDefault="00F3536C" w:rsidP="00A41632">
            <w:pPr>
              <w:jc w:val="center"/>
              <w:rPr>
                <w:color w:val="000000"/>
                <w:sz w:val="14"/>
                <w:szCs w:val="14"/>
                <w:lang w:val="en-US"/>
              </w:rPr>
            </w:pPr>
            <w:r w:rsidRPr="00A4272B">
              <w:rPr>
                <w:color w:val="000000"/>
                <w:sz w:val="14"/>
                <w:szCs w:val="14"/>
                <w:lang w:val="en-US"/>
              </w:rPr>
              <w:t>4</w:t>
            </w:r>
          </w:p>
        </w:tc>
        <w:tc>
          <w:tcPr>
            <w:tcW w:w="1342" w:type="dxa"/>
            <w:noWrap/>
            <w:vAlign w:val="center"/>
            <w:hideMark/>
          </w:tcPr>
          <w:p w14:paraId="7C70D42F"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0F88F834" w14:textId="77777777" w:rsidR="00F3536C" w:rsidRPr="00A4272B" w:rsidRDefault="00F3536C" w:rsidP="00A41632">
            <w:pPr>
              <w:jc w:val="right"/>
              <w:rPr>
                <w:color w:val="000000"/>
                <w:sz w:val="14"/>
                <w:szCs w:val="14"/>
                <w:lang w:val="en-US"/>
              </w:rPr>
            </w:pPr>
            <w:r w:rsidRPr="00A4272B">
              <w:rPr>
                <w:color w:val="000000"/>
                <w:sz w:val="14"/>
                <w:szCs w:val="14"/>
                <w:lang w:val="en-US"/>
              </w:rPr>
              <w:t>-25.449750</w:t>
            </w:r>
          </w:p>
        </w:tc>
        <w:tc>
          <w:tcPr>
            <w:tcW w:w="998" w:type="dxa"/>
            <w:noWrap/>
            <w:vAlign w:val="center"/>
            <w:hideMark/>
          </w:tcPr>
          <w:p w14:paraId="14A69060" w14:textId="77777777" w:rsidR="00F3536C" w:rsidRPr="00A4272B" w:rsidRDefault="00F3536C" w:rsidP="00A41632">
            <w:pPr>
              <w:jc w:val="right"/>
              <w:rPr>
                <w:color w:val="000000"/>
                <w:sz w:val="14"/>
                <w:szCs w:val="14"/>
                <w:lang w:val="en-US"/>
              </w:rPr>
            </w:pPr>
            <w:r w:rsidRPr="00A4272B">
              <w:rPr>
                <w:color w:val="000000"/>
                <w:sz w:val="14"/>
                <w:szCs w:val="14"/>
                <w:lang w:val="en-US"/>
              </w:rPr>
              <w:t>-49.234167</w:t>
            </w:r>
          </w:p>
        </w:tc>
        <w:tc>
          <w:tcPr>
            <w:tcW w:w="859" w:type="dxa"/>
            <w:tcBorders>
              <w:top w:val="nil"/>
              <w:left w:val="nil"/>
              <w:bottom w:val="nil"/>
              <w:right w:val="single" w:sz="8" w:space="0" w:color="auto"/>
            </w:tcBorders>
            <w:noWrap/>
            <w:vAlign w:val="center"/>
            <w:hideMark/>
          </w:tcPr>
          <w:p w14:paraId="54FD702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9C4EB6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2888B3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B5195E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3F1498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A9E0B1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C1B7B45"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0632D313" w14:textId="77777777" w:rsidTr="00A41632">
        <w:trPr>
          <w:trHeight w:val="276"/>
          <w:jc w:val="center"/>
        </w:trPr>
        <w:tc>
          <w:tcPr>
            <w:tcW w:w="955" w:type="dxa"/>
            <w:tcBorders>
              <w:top w:val="nil"/>
              <w:left w:val="single" w:sz="8" w:space="0" w:color="auto"/>
              <w:bottom w:val="nil"/>
              <w:right w:val="nil"/>
            </w:tcBorders>
            <w:noWrap/>
            <w:vAlign w:val="center"/>
            <w:hideMark/>
          </w:tcPr>
          <w:p w14:paraId="2297AA8B"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F7660E7"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6B703F8E" w14:textId="77777777" w:rsidR="00F3536C" w:rsidRPr="00A4272B" w:rsidRDefault="00F3536C" w:rsidP="00A41632">
            <w:pPr>
              <w:rPr>
                <w:color w:val="000000"/>
                <w:sz w:val="14"/>
                <w:szCs w:val="14"/>
                <w:lang w:val="en-US"/>
              </w:rPr>
            </w:pPr>
            <w:r w:rsidRPr="00A4272B">
              <w:rPr>
                <w:color w:val="000000"/>
                <w:sz w:val="14"/>
                <w:szCs w:val="14"/>
                <w:lang w:val="en-US"/>
              </w:rPr>
              <w:t>Diamantino, GO</w:t>
            </w:r>
          </w:p>
        </w:tc>
        <w:tc>
          <w:tcPr>
            <w:tcW w:w="998" w:type="dxa"/>
            <w:noWrap/>
            <w:vAlign w:val="center"/>
            <w:hideMark/>
          </w:tcPr>
          <w:p w14:paraId="4C4308EC" w14:textId="77777777" w:rsidR="00F3536C" w:rsidRPr="00A4272B" w:rsidRDefault="00F3536C" w:rsidP="00A41632">
            <w:pPr>
              <w:jc w:val="center"/>
              <w:rPr>
                <w:color w:val="000000"/>
                <w:sz w:val="14"/>
                <w:szCs w:val="14"/>
                <w:lang w:val="en-US"/>
              </w:rPr>
            </w:pPr>
            <w:r w:rsidRPr="00A4272B">
              <w:rPr>
                <w:color w:val="000000"/>
                <w:sz w:val="14"/>
                <w:szCs w:val="14"/>
                <w:lang w:val="en-US"/>
              </w:rPr>
              <w:t>5</w:t>
            </w:r>
          </w:p>
        </w:tc>
        <w:tc>
          <w:tcPr>
            <w:tcW w:w="1342" w:type="dxa"/>
            <w:noWrap/>
            <w:vAlign w:val="center"/>
            <w:hideMark/>
          </w:tcPr>
          <w:p w14:paraId="42BA1396" w14:textId="77777777" w:rsidR="00F3536C" w:rsidRPr="00A4272B" w:rsidRDefault="00F3536C" w:rsidP="00A41632">
            <w:pPr>
              <w:jc w:val="center"/>
              <w:rPr>
                <w:color w:val="000000"/>
                <w:sz w:val="14"/>
                <w:szCs w:val="14"/>
                <w:lang w:val="en-US"/>
              </w:rPr>
            </w:pPr>
            <w:r w:rsidRPr="00A4272B">
              <w:rPr>
                <w:color w:val="000000"/>
                <w:sz w:val="14"/>
                <w:szCs w:val="14"/>
                <w:lang w:val="en-US"/>
              </w:rPr>
              <w:t>Agricultural</w:t>
            </w:r>
          </w:p>
        </w:tc>
        <w:tc>
          <w:tcPr>
            <w:tcW w:w="900" w:type="dxa"/>
            <w:noWrap/>
            <w:vAlign w:val="center"/>
            <w:hideMark/>
          </w:tcPr>
          <w:p w14:paraId="778E30C3" w14:textId="77777777" w:rsidR="00F3536C" w:rsidRPr="00A4272B" w:rsidRDefault="00F3536C" w:rsidP="00A41632">
            <w:pPr>
              <w:jc w:val="right"/>
              <w:rPr>
                <w:color w:val="000000"/>
                <w:sz w:val="14"/>
                <w:szCs w:val="14"/>
                <w:lang w:val="en-US"/>
              </w:rPr>
            </w:pPr>
            <w:r w:rsidRPr="00A4272B">
              <w:rPr>
                <w:color w:val="000000"/>
                <w:sz w:val="14"/>
                <w:szCs w:val="14"/>
                <w:lang w:val="en-US"/>
              </w:rPr>
              <w:t>-14.129678</w:t>
            </w:r>
          </w:p>
        </w:tc>
        <w:tc>
          <w:tcPr>
            <w:tcW w:w="998" w:type="dxa"/>
            <w:noWrap/>
            <w:vAlign w:val="center"/>
            <w:hideMark/>
          </w:tcPr>
          <w:p w14:paraId="24F1AFCA" w14:textId="77777777" w:rsidR="00F3536C" w:rsidRPr="00A4272B" w:rsidRDefault="00F3536C" w:rsidP="00A41632">
            <w:pPr>
              <w:jc w:val="right"/>
              <w:rPr>
                <w:color w:val="000000"/>
                <w:sz w:val="14"/>
                <w:szCs w:val="14"/>
                <w:lang w:val="en-US"/>
              </w:rPr>
            </w:pPr>
            <w:r w:rsidRPr="00A4272B">
              <w:rPr>
                <w:color w:val="000000"/>
                <w:sz w:val="14"/>
                <w:szCs w:val="14"/>
                <w:lang w:val="en-US"/>
              </w:rPr>
              <w:t>-57.656111</w:t>
            </w:r>
          </w:p>
        </w:tc>
        <w:tc>
          <w:tcPr>
            <w:tcW w:w="859" w:type="dxa"/>
            <w:tcBorders>
              <w:top w:val="nil"/>
              <w:left w:val="nil"/>
              <w:bottom w:val="nil"/>
              <w:right w:val="single" w:sz="8" w:space="0" w:color="auto"/>
            </w:tcBorders>
            <w:noWrap/>
            <w:vAlign w:val="center"/>
            <w:hideMark/>
          </w:tcPr>
          <w:p w14:paraId="66F1911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C587F8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A21BCF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0B5AC51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447E52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52E4B2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C04FB8B"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3802B8BD" w14:textId="77777777" w:rsidTr="00A41632">
        <w:trPr>
          <w:trHeight w:val="276"/>
          <w:jc w:val="center"/>
        </w:trPr>
        <w:tc>
          <w:tcPr>
            <w:tcW w:w="955" w:type="dxa"/>
            <w:tcBorders>
              <w:top w:val="nil"/>
              <w:left w:val="single" w:sz="8" w:space="0" w:color="auto"/>
              <w:bottom w:val="nil"/>
              <w:right w:val="nil"/>
            </w:tcBorders>
            <w:noWrap/>
            <w:vAlign w:val="center"/>
            <w:hideMark/>
          </w:tcPr>
          <w:p w14:paraId="66D82FA1"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EA82861"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6421D280" w14:textId="77777777" w:rsidR="00F3536C" w:rsidRPr="00A4272B" w:rsidRDefault="00F3536C" w:rsidP="00A41632">
            <w:pPr>
              <w:rPr>
                <w:color w:val="000000"/>
                <w:sz w:val="14"/>
                <w:szCs w:val="14"/>
                <w:lang w:val="en-US"/>
              </w:rPr>
            </w:pPr>
            <w:r w:rsidRPr="00A4272B">
              <w:rPr>
                <w:color w:val="000000"/>
                <w:sz w:val="14"/>
                <w:szCs w:val="14"/>
                <w:lang w:val="en-US"/>
              </w:rPr>
              <w:t>Fortaleza, CE</w:t>
            </w:r>
          </w:p>
        </w:tc>
        <w:tc>
          <w:tcPr>
            <w:tcW w:w="998" w:type="dxa"/>
            <w:noWrap/>
            <w:vAlign w:val="center"/>
            <w:hideMark/>
          </w:tcPr>
          <w:p w14:paraId="00955A5C" w14:textId="77777777" w:rsidR="00F3536C" w:rsidRPr="00A4272B" w:rsidRDefault="00F3536C" w:rsidP="00A41632">
            <w:pPr>
              <w:jc w:val="center"/>
              <w:rPr>
                <w:color w:val="000000"/>
                <w:sz w:val="14"/>
                <w:szCs w:val="14"/>
                <w:lang w:val="en-US"/>
              </w:rPr>
            </w:pPr>
            <w:r w:rsidRPr="00A4272B">
              <w:rPr>
                <w:color w:val="000000"/>
                <w:sz w:val="14"/>
                <w:szCs w:val="14"/>
                <w:lang w:val="en-US"/>
              </w:rPr>
              <w:t>8</w:t>
            </w:r>
          </w:p>
        </w:tc>
        <w:tc>
          <w:tcPr>
            <w:tcW w:w="1342" w:type="dxa"/>
            <w:noWrap/>
            <w:vAlign w:val="center"/>
            <w:hideMark/>
          </w:tcPr>
          <w:p w14:paraId="7CB83770"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4233B07C" w14:textId="77777777" w:rsidR="00F3536C" w:rsidRPr="00A4272B" w:rsidRDefault="00F3536C" w:rsidP="00A41632">
            <w:pPr>
              <w:jc w:val="right"/>
              <w:rPr>
                <w:color w:val="000000"/>
                <w:sz w:val="14"/>
                <w:szCs w:val="14"/>
                <w:lang w:val="en-US"/>
              </w:rPr>
            </w:pPr>
            <w:r w:rsidRPr="00A4272B">
              <w:rPr>
                <w:color w:val="000000"/>
                <w:sz w:val="14"/>
                <w:szCs w:val="14"/>
                <w:lang w:val="en-US"/>
              </w:rPr>
              <w:t>-3.744817</w:t>
            </w:r>
          </w:p>
        </w:tc>
        <w:tc>
          <w:tcPr>
            <w:tcW w:w="998" w:type="dxa"/>
            <w:noWrap/>
            <w:vAlign w:val="center"/>
            <w:hideMark/>
          </w:tcPr>
          <w:p w14:paraId="54066089" w14:textId="77777777" w:rsidR="00F3536C" w:rsidRPr="00A4272B" w:rsidRDefault="00F3536C" w:rsidP="00A41632">
            <w:pPr>
              <w:jc w:val="right"/>
              <w:rPr>
                <w:color w:val="000000"/>
                <w:sz w:val="14"/>
                <w:szCs w:val="14"/>
                <w:lang w:val="en-US"/>
              </w:rPr>
            </w:pPr>
            <w:r w:rsidRPr="00A4272B">
              <w:rPr>
                <w:color w:val="000000"/>
                <w:sz w:val="14"/>
                <w:szCs w:val="14"/>
                <w:lang w:val="en-US"/>
              </w:rPr>
              <w:t>-38.573889</w:t>
            </w:r>
          </w:p>
        </w:tc>
        <w:tc>
          <w:tcPr>
            <w:tcW w:w="859" w:type="dxa"/>
            <w:tcBorders>
              <w:top w:val="nil"/>
              <w:left w:val="nil"/>
              <w:bottom w:val="nil"/>
              <w:right w:val="single" w:sz="8" w:space="0" w:color="auto"/>
            </w:tcBorders>
            <w:noWrap/>
            <w:vAlign w:val="center"/>
            <w:hideMark/>
          </w:tcPr>
          <w:p w14:paraId="13B2394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74CBDB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616527F"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1679D2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F04411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1423FD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596DF55"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42E9930E" w14:textId="77777777" w:rsidTr="00A41632">
        <w:trPr>
          <w:trHeight w:val="276"/>
          <w:jc w:val="center"/>
        </w:trPr>
        <w:tc>
          <w:tcPr>
            <w:tcW w:w="955" w:type="dxa"/>
            <w:tcBorders>
              <w:top w:val="nil"/>
              <w:left w:val="single" w:sz="8" w:space="0" w:color="auto"/>
              <w:bottom w:val="nil"/>
              <w:right w:val="nil"/>
            </w:tcBorders>
            <w:noWrap/>
            <w:vAlign w:val="center"/>
            <w:hideMark/>
          </w:tcPr>
          <w:p w14:paraId="5B76040C"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598634F2"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0CAA1A09" w14:textId="77777777" w:rsidR="00F3536C" w:rsidRPr="00A4272B" w:rsidRDefault="00F3536C" w:rsidP="00A41632">
            <w:pPr>
              <w:rPr>
                <w:color w:val="000000"/>
                <w:sz w:val="14"/>
                <w:szCs w:val="14"/>
                <w:lang w:val="en-US"/>
              </w:rPr>
            </w:pPr>
            <w:r w:rsidRPr="00A4272B">
              <w:rPr>
                <w:color w:val="000000"/>
                <w:sz w:val="14"/>
                <w:szCs w:val="14"/>
                <w:lang w:val="en-US"/>
              </w:rPr>
              <w:t>Iguaçu National Park, PR</w:t>
            </w:r>
          </w:p>
        </w:tc>
        <w:tc>
          <w:tcPr>
            <w:tcW w:w="998" w:type="dxa"/>
            <w:noWrap/>
            <w:vAlign w:val="center"/>
            <w:hideMark/>
          </w:tcPr>
          <w:p w14:paraId="74B570E1" w14:textId="77777777" w:rsidR="00F3536C" w:rsidRPr="00A4272B" w:rsidRDefault="00F3536C" w:rsidP="00A41632">
            <w:pPr>
              <w:jc w:val="center"/>
              <w:rPr>
                <w:color w:val="000000"/>
                <w:sz w:val="14"/>
                <w:szCs w:val="14"/>
                <w:lang w:val="en-US"/>
              </w:rPr>
            </w:pPr>
            <w:r w:rsidRPr="00A4272B">
              <w:rPr>
                <w:color w:val="000000"/>
                <w:sz w:val="14"/>
                <w:szCs w:val="14"/>
                <w:lang w:val="en-US"/>
              </w:rPr>
              <w:t>41</w:t>
            </w:r>
          </w:p>
        </w:tc>
        <w:tc>
          <w:tcPr>
            <w:tcW w:w="1342" w:type="dxa"/>
            <w:noWrap/>
            <w:vAlign w:val="center"/>
            <w:hideMark/>
          </w:tcPr>
          <w:p w14:paraId="6FB86EF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1868E25" w14:textId="77777777" w:rsidR="00F3536C" w:rsidRPr="00A4272B" w:rsidRDefault="00F3536C" w:rsidP="00A41632">
            <w:pPr>
              <w:jc w:val="right"/>
              <w:rPr>
                <w:color w:val="000000"/>
                <w:sz w:val="14"/>
                <w:szCs w:val="14"/>
                <w:lang w:val="en-US"/>
              </w:rPr>
            </w:pPr>
            <w:r w:rsidRPr="00A4272B">
              <w:rPr>
                <w:color w:val="000000"/>
                <w:sz w:val="14"/>
                <w:szCs w:val="14"/>
                <w:lang w:val="en-US"/>
              </w:rPr>
              <w:t>-25.626736</w:t>
            </w:r>
          </w:p>
        </w:tc>
        <w:tc>
          <w:tcPr>
            <w:tcW w:w="998" w:type="dxa"/>
            <w:noWrap/>
            <w:vAlign w:val="center"/>
            <w:hideMark/>
          </w:tcPr>
          <w:p w14:paraId="7207D7C3" w14:textId="77777777" w:rsidR="00F3536C" w:rsidRPr="00A4272B" w:rsidRDefault="00F3536C" w:rsidP="00A41632">
            <w:pPr>
              <w:jc w:val="right"/>
              <w:rPr>
                <w:color w:val="000000"/>
                <w:sz w:val="14"/>
                <w:szCs w:val="14"/>
                <w:lang w:val="en-US"/>
              </w:rPr>
            </w:pPr>
            <w:r w:rsidRPr="00A4272B">
              <w:rPr>
                <w:color w:val="000000"/>
                <w:sz w:val="14"/>
                <w:szCs w:val="14"/>
                <w:lang w:val="en-US"/>
              </w:rPr>
              <w:t>-54.478611</w:t>
            </w:r>
          </w:p>
        </w:tc>
        <w:tc>
          <w:tcPr>
            <w:tcW w:w="859" w:type="dxa"/>
            <w:tcBorders>
              <w:top w:val="nil"/>
              <w:left w:val="nil"/>
              <w:bottom w:val="nil"/>
              <w:right w:val="single" w:sz="8" w:space="0" w:color="auto"/>
            </w:tcBorders>
            <w:noWrap/>
            <w:vAlign w:val="center"/>
            <w:hideMark/>
          </w:tcPr>
          <w:p w14:paraId="31ED482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6F4F03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DB0E3E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623A7B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0E654C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F4E1CF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2BB34E8"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219EA80A" w14:textId="77777777" w:rsidTr="00A41632">
        <w:trPr>
          <w:trHeight w:val="276"/>
          <w:jc w:val="center"/>
        </w:trPr>
        <w:tc>
          <w:tcPr>
            <w:tcW w:w="955" w:type="dxa"/>
            <w:tcBorders>
              <w:top w:val="nil"/>
              <w:left w:val="single" w:sz="8" w:space="0" w:color="auto"/>
              <w:bottom w:val="nil"/>
              <w:right w:val="nil"/>
            </w:tcBorders>
            <w:noWrap/>
            <w:vAlign w:val="center"/>
            <w:hideMark/>
          </w:tcPr>
          <w:p w14:paraId="15BB53B5"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4E871581"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2F50CC08" w14:textId="77777777" w:rsidR="00F3536C" w:rsidRPr="00A4272B" w:rsidRDefault="00F3536C" w:rsidP="00A41632">
            <w:pPr>
              <w:rPr>
                <w:color w:val="000000"/>
                <w:sz w:val="14"/>
                <w:szCs w:val="14"/>
                <w:lang w:val="en-US"/>
              </w:rPr>
            </w:pPr>
            <w:r w:rsidRPr="00A4272B">
              <w:rPr>
                <w:color w:val="000000"/>
                <w:sz w:val="14"/>
                <w:szCs w:val="14"/>
                <w:lang w:val="en-US"/>
              </w:rPr>
              <w:t>Itatiaia National Park, RJ</w:t>
            </w:r>
          </w:p>
        </w:tc>
        <w:tc>
          <w:tcPr>
            <w:tcW w:w="998" w:type="dxa"/>
            <w:noWrap/>
            <w:vAlign w:val="center"/>
            <w:hideMark/>
          </w:tcPr>
          <w:p w14:paraId="49B02466" w14:textId="77777777" w:rsidR="00F3536C" w:rsidRPr="00A4272B" w:rsidRDefault="00F3536C" w:rsidP="00A41632">
            <w:pPr>
              <w:jc w:val="center"/>
              <w:rPr>
                <w:color w:val="000000"/>
                <w:sz w:val="14"/>
                <w:szCs w:val="14"/>
                <w:lang w:val="en-US"/>
              </w:rPr>
            </w:pPr>
            <w:r w:rsidRPr="00A4272B">
              <w:rPr>
                <w:color w:val="000000"/>
                <w:sz w:val="14"/>
                <w:szCs w:val="14"/>
                <w:lang w:val="en-US"/>
              </w:rPr>
              <w:t>43</w:t>
            </w:r>
          </w:p>
        </w:tc>
        <w:tc>
          <w:tcPr>
            <w:tcW w:w="1342" w:type="dxa"/>
            <w:noWrap/>
            <w:vAlign w:val="center"/>
            <w:hideMark/>
          </w:tcPr>
          <w:p w14:paraId="0571409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4C6902E" w14:textId="77777777" w:rsidR="00F3536C" w:rsidRPr="00A4272B" w:rsidRDefault="00F3536C" w:rsidP="00A41632">
            <w:pPr>
              <w:jc w:val="right"/>
              <w:rPr>
                <w:color w:val="000000"/>
                <w:sz w:val="14"/>
                <w:szCs w:val="14"/>
                <w:lang w:val="en-US"/>
              </w:rPr>
            </w:pPr>
            <w:r w:rsidRPr="00A4272B">
              <w:rPr>
                <w:color w:val="000000"/>
                <w:sz w:val="14"/>
                <w:szCs w:val="14"/>
                <w:lang w:val="en-US"/>
              </w:rPr>
              <w:t>-22.385833</w:t>
            </w:r>
          </w:p>
        </w:tc>
        <w:tc>
          <w:tcPr>
            <w:tcW w:w="998" w:type="dxa"/>
            <w:noWrap/>
            <w:vAlign w:val="center"/>
            <w:hideMark/>
          </w:tcPr>
          <w:p w14:paraId="30961392" w14:textId="77777777" w:rsidR="00F3536C" w:rsidRPr="00A4272B" w:rsidRDefault="00F3536C" w:rsidP="00A41632">
            <w:pPr>
              <w:jc w:val="right"/>
              <w:rPr>
                <w:color w:val="000000"/>
                <w:sz w:val="14"/>
                <w:szCs w:val="14"/>
                <w:lang w:val="en-US"/>
              </w:rPr>
            </w:pPr>
            <w:r w:rsidRPr="00A4272B">
              <w:rPr>
                <w:color w:val="000000"/>
                <w:sz w:val="14"/>
                <w:szCs w:val="14"/>
                <w:lang w:val="en-US"/>
              </w:rPr>
              <w:t>-44.678889</w:t>
            </w:r>
          </w:p>
        </w:tc>
        <w:tc>
          <w:tcPr>
            <w:tcW w:w="859" w:type="dxa"/>
            <w:tcBorders>
              <w:top w:val="nil"/>
              <w:left w:val="nil"/>
              <w:bottom w:val="nil"/>
              <w:right w:val="single" w:sz="8" w:space="0" w:color="auto"/>
            </w:tcBorders>
            <w:noWrap/>
            <w:vAlign w:val="center"/>
            <w:hideMark/>
          </w:tcPr>
          <w:p w14:paraId="0879A03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D04C94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BA9A9F0"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6E9488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E907C6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8020E1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1E3F79B"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14B8393E" w14:textId="77777777" w:rsidTr="00A41632">
        <w:trPr>
          <w:trHeight w:val="276"/>
          <w:jc w:val="center"/>
        </w:trPr>
        <w:tc>
          <w:tcPr>
            <w:tcW w:w="955" w:type="dxa"/>
            <w:tcBorders>
              <w:top w:val="nil"/>
              <w:left w:val="single" w:sz="8" w:space="0" w:color="auto"/>
              <w:bottom w:val="nil"/>
              <w:right w:val="nil"/>
            </w:tcBorders>
            <w:noWrap/>
            <w:vAlign w:val="center"/>
            <w:hideMark/>
          </w:tcPr>
          <w:p w14:paraId="5EA139FC"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A3A6BC9"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5E45E5CB" w14:textId="77777777" w:rsidR="00F3536C" w:rsidRPr="00A4272B" w:rsidRDefault="00F3536C" w:rsidP="00A41632">
            <w:pPr>
              <w:rPr>
                <w:color w:val="000000"/>
                <w:sz w:val="14"/>
                <w:szCs w:val="14"/>
                <w:lang w:val="en-US"/>
              </w:rPr>
            </w:pPr>
            <w:r w:rsidRPr="00A4272B">
              <w:rPr>
                <w:color w:val="000000"/>
                <w:sz w:val="14"/>
                <w:szCs w:val="14"/>
                <w:lang w:val="en-US"/>
              </w:rPr>
              <w:t>Limeira, SP</w:t>
            </w:r>
          </w:p>
        </w:tc>
        <w:tc>
          <w:tcPr>
            <w:tcW w:w="998" w:type="dxa"/>
            <w:noWrap/>
            <w:vAlign w:val="center"/>
            <w:hideMark/>
          </w:tcPr>
          <w:p w14:paraId="3A8D8C8A" w14:textId="77777777" w:rsidR="00F3536C" w:rsidRPr="00A4272B" w:rsidRDefault="00F3536C" w:rsidP="00A41632">
            <w:pPr>
              <w:jc w:val="center"/>
              <w:rPr>
                <w:color w:val="000000"/>
                <w:sz w:val="14"/>
                <w:szCs w:val="14"/>
                <w:lang w:val="en-US"/>
              </w:rPr>
            </w:pPr>
            <w:r w:rsidRPr="00A4272B">
              <w:rPr>
                <w:color w:val="000000"/>
                <w:sz w:val="14"/>
                <w:szCs w:val="14"/>
                <w:lang w:val="en-US"/>
              </w:rPr>
              <w:t>44</w:t>
            </w:r>
          </w:p>
        </w:tc>
        <w:tc>
          <w:tcPr>
            <w:tcW w:w="1342" w:type="dxa"/>
            <w:noWrap/>
            <w:vAlign w:val="center"/>
            <w:hideMark/>
          </w:tcPr>
          <w:p w14:paraId="63556445"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5DF4989C" w14:textId="77777777" w:rsidR="00F3536C" w:rsidRPr="00A4272B" w:rsidRDefault="00F3536C" w:rsidP="00A41632">
            <w:pPr>
              <w:jc w:val="right"/>
              <w:rPr>
                <w:color w:val="000000"/>
                <w:sz w:val="14"/>
                <w:szCs w:val="14"/>
                <w:lang w:val="en-US"/>
              </w:rPr>
            </w:pPr>
            <w:r w:rsidRPr="00A4272B">
              <w:rPr>
                <w:color w:val="000000"/>
                <w:sz w:val="14"/>
                <w:szCs w:val="14"/>
                <w:lang w:val="en-US"/>
              </w:rPr>
              <w:t>-22.562233</w:t>
            </w:r>
          </w:p>
        </w:tc>
        <w:tc>
          <w:tcPr>
            <w:tcW w:w="998" w:type="dxa"/>
            <w:noWrap/>
            <w:vAlign w:val="center"/>
            <w:hideMark/>
          </w:tcPr>
          <w:p w14:paraId="0B8F87F2" w14:textId="77777777" w:rsidR="00F3536C" w:rsidRPr="00A4272B" w:rsidRDefault="00F3536C" w:rsidP="00A41632">
            <w:pPr>
              <w:jc w:val="right"/>
              <w:rPr>
                <w:color w:val="000000"/>
                <w:sz w:val="14"/>
                <w:szCs w:val="14"/>
                <w:lang w:val="en-US"/>
              </w:rPr>
            </w:pPr>
            <w:r w:rsidRPr="00A4272B">
              <w:rPr>
                <w:color w:val="000000"/>
                <w:sz w:val="14"/>
                <w:szCs w:val="14"/>
                <w:lang w:val="en-US"/>
              </w:rPr>
              <w:t>-47.422222</w:t>
            </w:r>
          </w:p>
        </w:tc>
        <w:tc>
          <w:tcPr>
            <w:tcW w:w="859" w:type="dxa"/>
            <w:tcBorders>
              <w:top w:val="nil"/>
              <w:left w:val="nil"/>
              <w:bottom w:val="nil"/>
              <w:right w:val="single" w:sz="8" w:space="0" w:color="auto"/>
            </w:tcBorders>
            <w:noWrap/>
            <w:vAlign w:val="center"/>
            <w:hideMark/>
          </w:tcPr>
          <w:p w14:paraId="1C5EF84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2677977"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6AB6A2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09141C3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38A028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08FCB8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77F2B97" w14:textId="77777777" w:rsidR="00F3536C" w:rsidRPr="00A4272B" w:rsidRDefault="00F3536C" w:rsidP="00A41632">
            <w:pPr>
              <w:jc w:val="center"/>
              <w:rPr>
                <w:sz w:val="14"/>
                <w:szCs w:val="14"/>
                <w:lang w:val="en-US"/>
              </w:rPr>
            </w:pPr>
            <w:r w:rsidRPr="00A4272B">
              <w:rPr>
                <w:sz w:val="14"/>
                <w:szCs w:val="14"/>
                <w:lang w:val="en-US"/>
              </w:rPr>
              <w:t>2015</w:t>
            </w:r>
          </w:p>
        </w:tc>
      </w:tr>
      <w:tr w:rsidR="00F3536C" w:rsidRPr="00A4272B" w14:paraId="193A61DF" w14:textId="77777777" w:rsidTr="00A41632">
        <w:trPr>
          <w:trHeight w:val="276"/>
          <w:jc w:val="center"/>
        </w:trPr>
        <w:tc>
          <w:tcPr>
            <w:tcW w:w="955" w:type="dxa"/>
            <w:tcBorders>
              <w:top w:val="nil"/>
              <w:left w:val="single" w:sz="8" w:space="0" w:color="auto"/>
              <w:bottom w:val="nil"/>
              <w:right w:val="nil"/>
            </w:tcBorders>
            <w:noWrap/>
            <w:vAlign w:val="center"/>
            <w:hideMark/>
          </w:tcPr>
          <w:p w14:paraId="7A78BCE3"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4F3479B"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040EB198" w14:textId="77777777" w:rsidR="00F3536C" w:rsidRPr="00A4272B" w:rsidRDefault="00F3536C" w:rsidP="00A41632">
            <w:pPr>
              <w:rPr>
                <w:color w:val="000000"/>
                <w:sz w:val="14"/>
                <w:szCs w:val="14"/>
                <w:lang w:val="en-US"/>
              </w:rPr>
            </w:pPr>
            <w:r w:rsidRPr="00A4272B">
              <w:rPr>
                <w:color w:val="000000"/>
                <w:sz w:val="14"/>
                <w:szCs w:val="14"/>
                <w:lang w:val="en-US"/>
              </w:rPr>
              <w:t>Manaus, AM</w:t>
            </w:r>
          </w:p>
        </w:tc>
        <w:tc>
          <w:tcPr>
            <w:tcW w:w="998" w:type="dxa"/>
            <w:noWrap/>
            <w:vAlign w:val="center"/>
            <w:hideMark/>
          </w:tcPr>
          <w:p w14:paraId="42BFD51B" w14:textId="77777777" w:rsidR="00F3536C" w:rsidRPr="00A4272B" w:rsidRDefault="00F3536C" w:rsidP="00A41632">
            <w:pPr>
              <w:jc w:val="center"/>
              <w:rPr>
                <w:color w:val="000000"/>
                <w:sz w:val="14"/>
                <w:szCs w:val="14"/>
                <w:lang w:val="en-US"/>
              </w:rPr>
            </w:pPr>
            <w:r w:rsidRPr="00A4272B">
              <w:rPr>
                <w:color w:val="000000"/>
                <w:sz w:val="14"/>
                <w:szCs w:val="14"/>
                <w:lang w:val="en-US"/>
              </w:rPr>
              <w:t>10</w:t>
            </w:r>
          </w:p>
        </w:tc>
        <w:tc>
          <w:tcPr>
            <w:tcW w:w="1342" w:type="dxa"/>
            <w:noWrap/>
            <w:vAlign w:val="center"/>
            <w:hideMark/>
          </w:tcPr>
          <w:p w14:paraId="545F523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7E0CC0F" w14:textId="77777777" w:rsidR="00F3536C" w:rsidRPr="00A4272B" w:rsidRDefault="00F3536C" w:rsidP="00A41632">
            <w:pPr>
              <w:jc w:val="right"/>
              <w:rPr>
                <w:color w:val="000000"/>
                <w:sz w:val="14"/>
                <w:szCs w:val="14"/>
                <w:lang w:val="en-US"/>
              </w:rPr>
            </w:pPr>
            <w:r w:rsidRPr="00A4272B">
              <w:rPr>
                <w:color w:val="000000"/>
                <w:sz w:val="14"/>
                <w:szCs w:val="14"/>
                <w:lang w:val="en-US"/>
              </w:rPr>
              <w:t>-2.594611</w:t>
            </w:r>
          </w:p>
        </w:tc>
        <w:tc>
          <w:tcPr>
            <w:tcW w:w="998" w:type="dxa"/>
            <w:noWrap/>
            <w:vAlign w:val="center"/>
            <w:hideMark/>
          </w:tcPr>
          <w:p w14:paraId="3601465F" w14:textId="77777777" w:rsidR="00F3536C" w:rsidRPr="00A4272B" w:rsidRDefault="00F3536C" w:rsidP="00A41632">
            <w:pPr>
              <w:jc w:val="right"/>
              <w:rPr>
                <w:color w:val="000000"/>
                <w:sz w:val="14"/>
                <w:szCs w:val="14"/>
                <w:lang w:val="en-US"/>
              </w:rPr>
            </w:pPr>
            <w:r w:rsidRPr="00A4272B">
              <w:rPr>
                <w:color w:val="000000"/>
                <w:sz w:val="14"/>
                <w:szCs w:val="14"/>
                <w:lang w:val="en-US"/>
              </w:rPr>
              <w:t>-60.209220</w:t>
            </w:r>
          </w:p>
        </w:tc>
        <w:tc>
          <w:tcPr>
            <w:tcW w:w="859" w:type="dxa"/>
            <w:tcBorders>
              <w:top w:val="nil"/>
              <w:left w:val="nil"/>
              <w:bottom w:val="nil"/>
              <w:right w:val="single" w:sz="8" w:space="0" w:color="auto"/>
            </w:tcBorders>
            <w:noWrap/>
            <w:vAlign w:val="center"/>
            <w:hideMark/>
          </w:tcPr>
          <w:p w14:paraId="69F58C1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C0B550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9CA844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941663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CFC392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32A7FB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07164F3"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6397816B" w14:textId="77777777" w:rsidTr="00A41632">
        <w:trPr>
          <w:trHeight w:val="276"/>
          <w:jc w:val="center"/>
        </w:trPr>
        <w:tc>
          <w:tcPr>
            <w:tcW w:w="955" w:type="dxa"/>
            <w:tcBorders>
              <w:top w:val="nil"/>
              <w:left w:val="single" w:sz="8" w:space="0" w:color="auto"/>
              <w:bottom w:val="nil"/>
              <w:right w:val="nil"/>
            </w:tcBorders>
            <w:noWrap/>
            <w:vAlign w:val="center"/>
            <w:hideMark/>
          </w:tcPr>
          <w:p w14:paraId="6FC96633"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1C62B518"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1CA0DA6" w14:textId="77777777" w:rsidR="00F3536C" w:rsidRPr="00A4272B" w:rsidRDefault="00F3536C" w:rsidP="00A41632">
            <w:pPr>
              <w:rPr>
                <w:color w:val="000000"/>
                <w:sz w:val="14"/>
                <w:szCs w:val="14"/>
                <w:lang w:val="en-US"/>
              </w:rPr>
            </w:pPr>
            <w:r w:rsidRPr="00A4272B">
              <w:rPr>
                <w:color w:val="000000"/>
                <w:sz w:val="14"/>
                <w:szCs w:val="14"/>
                <w:lang w:val="en-US"/>
              </w:rPr>
              <w:t>Moeda, MG</w:t>
            </w:r>
          </w:p>
        </w:tc>
        <w:tc>
          <w:tcPr>
            <w:tcW w:w="998" w:type="dxa"/>
            <w:noWrap/>
            <w:vAlign w:val="center"/>
            <w:hideMark/>
          </w:tcPr>
          <w:p w14:paraId="0F7A4810" w14:textId="77777777" w:rsidR="00F3536C" w:rsidRPr="00A4272B" w:rsidRDefault="00F3536C" w:rsidP="00A41632">
            <w:pPr>
              <w:jc w:val="center"/>
              <w:rPr>
                <w:color w:val="000000"/>
                <w:sz w:val="14"/>
                <w:szCs w:val="14"/>
                <w:lang w:val="en-US"/>
              </w:rPr>
            </w:pPr>
            <w:r w:rsidRPr="00A4272B">
              <w:rPr>
                <w:color w:val="000000"/>
                <w:sz w:val="14"/>
                <w:szCs w:val="14"/>
                <w:lang w:val="en-US"/>
              </w:rPr>
              <w:t>68</w:t>
            </w:r>
          </w:p>
        </w:tc>
        <w:tc>
          <w:tcPr>
            <w:tcW w:w="1342" w:type="dxa"/>
            <w:noWrap/>
            <w:vAlign w:val="center"/>
            <w:hideMark/>
          </w:tcPr>
          <w:p w14:paraId="612B4E7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556E6ECB" w14:textId="77777777" w:rsidR="00F3536C" w:rsidRPr="00A4272B" w:rsidRDefault="00F3536C" w:rsidP="00A41632">
            <w:pPr>
              <w:jc w:val="right"/>
              <w:rPr>
                <w:color w:val="000000"/>
                <w:sz w:val="14"/>
                <w:szCs w:val="14"/>
                <w:lang w:val="en-US"/>
              </w:rPr>
            </w:pPr>
            <w:r w:rsidRPr="00A4272B">
              <w:rPr>
                <w:color w:val="000000"/>
                <w:sz w:val="14"/>
                <w:szCs w:val="14"/>
                <w:lang w:val="en-US"/>
              </w:rPr>
              <w:t>-20.352322</w:t>
            </w:r>
          </w:p>
        </w:tc>
        <w:tc>
          <w:tcPr>
            <w:tcW w:w="998" w:type="dxa"/>
            <w:noWrap/>
            <w:vAlign w:val="center"/>
            <w:hideMark/>
          </w:tcPr>
          <w:p w14:paraId="089D3EBC" w14:textId="77777777" w:rsidR="00F3536C" w:rsidRPr="00A4272B" w:rsidRDefault="00F3536C" w:rsidP="00A41632">
            <w:pPr>
              <w:jc w:val="right"/>
              <w:rPr>
                <w:color w:val="000000"/>
                <w:sz w:val="14"/>
                <w:szCs w:val="14"/>
                <w:lang w:val="en-US"/>
              </w:rPr>
            </w:pPr>
            <w:r w:rsidRPr="00A4272B">
              <w:rPr>
                <w:color w:val="000000"/>
                <w:sz w:val="14"/>
                <w:szCs w:val="14"/>
                <w:lang w:val="en-US"/>
              </w:rPr>
              <w:t>-43.952500</w:t>
            </w:r>
          </w:p>
        </w:tc>
        <w:tc>
          <w:tcPr>
            <w:tcW w:w="859" w:type="dxa"/>
            <w:tcBorders>
              <w:top w:val="nil"/>
              <w:left w:val="nil"/>
              <w:bottom w:val="nil"/>
              <w:right w:val="single" w:sz="8" w:space="0" w:color="auto"/>
            </w:tcBorders>
            <w:noWrap/>
            <w:vAlign w:val="center"/>
            <w:hideMark/>
          </w:tcPr>
          <w:p w14:paraId="137C75B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8BD730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6F3BE0D"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FCEA3A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56940F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1ED406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5CBB97B"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50044AA8" w14:textId="77777777" w:rsidTr="00A41632">
        <w:trPr>
          <w:trHeight w:val="276"/>
          <w:jc w:val="center"/>
        </w:trPr>
        <w:tc>
          <w:tcPr>
            <w:tcW w:w="955" w:type="dxa"/>
            <w:tcBorders>
              <w:top w:val="nil"/>
              <w:left w:val="single" w:sz="8" w:space="0" w:color="auto"/>
              <w:bottom w:val="nil"/>
              <w:right w:val="nil"/>
            </w:tcBorders>
            <w:noWrap/>
            <w:vAlign w:val="center"/>
            <w:hideMark/>
          </w:tcPr>
          <w:p w14:paraId="464CC8A0" w14:textId="77777777" w:rsidR="00F3536C" w:rsidRPr="00A4272B" w:rsidRDefault="00F3536C" w:rsidP="00A41632">
            <w:pPr>
              <w:rPr>
                <w:color w:val="000000"/>
                <w:sz w:val="14"/>
                <w:szCs w:val="14"/>
                <w:lang w:val="en-US"/>
              </w:rPr>
            </w:pPr>
            <w:r w:rsidRPr="00A4272B">
              <w:rPr>
                <w:color w:val="000000"/>
                <w:sz w:val="14"/>
                <w:szCs w:val="14"/>
                <w:lang w:val="en-US"/>
              </w:rPr>
              <w:lastRenderedPageBreak/>
              <w:t>LAPAN</w:t>
            </w:r>
          </w:p>
        </w:tc>
        <w:tc>
          <w:tcPr>
            <w:tcW w:w="1391" w:type="dxa"/>
            <w:noWrap/>
            <w:vAlign w:val="center"/>
            <w:hideMark/>
          </w:tcPr>
          <w:p w14:paraId="0AB98B67"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0B25A9C4" w14:textId="77777777" w:rsidR="00F3536C" w:rsidRPr="00A4272B" w:rsidRDefault="00F3536C" w:rsidP="00A41632">
            <w:pPr>
              <w:rPr>
                <w:color w:val="000000"/>
                <w:sz w:val="14"/>
                <w:szCs w:val="14"/>
                <w:lang w:val="en-US"/>
              </w:rPr>
            </w:pPr>
            <w:r w:rsidRPr="00A4272B">
              <w:rPr>
                <w:color w:val="000000"/>
                <w:sz w:val="14"/>
                <w:szCs w:val="14"/>
                <w:lang w:val="en-US"/>
              </w:rPr>
              <w:t>Nova Nazaré. MT</w:t>
            </w:r>
          </w:p>
        </w:tc>
        <w:tc>
          <w:tcPr>
            <w:tcW w:w="998" w:type="dxa"/>
            <w:noWrap/>
            <w:vAlign w:val="center"/>
            <w:hideMark/>
          </w:tcPr>
          <w:p w14:paraId="3EEE724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5CA32931"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7A70325C" w14:textId="77777777" w:rsidR="00F3536C" w:rsidRPr="00A4272B" w:rsidRDefault="00F3536C" w:rsidP="00A41632">
            <w:pPr>
              <w:jc w:val="right"/>
              <w:rPr>
                <w:color w:val="000000"/>
                <w:sz w:val="14"/>
                <w:szCs w:val="14"/>
                <w:lang w:val="en-US"/>
              </w:rPr>
            </w:pPr>
            <w:r w:rsidRPr="00A4272B">
              <w:rPr>
                <w:color w:val="000000"/>
                <w:sz w:val="14"/>
                <w:szCs w:val="14"/>
                <w:lang w:val="en-US"/>
              </w:rPr>
              <w:t>-13.958611</w:t>
            </w:r>
          </w:p>
        </w:tc>
        <w:tc>
          <w:tcPr>
            <w:tcW w:w="998" w:type="dxa"/>
            <w:noWrap/>
            <w:vAlign w:val="center"/>
            <w:hideMark/>
          </w:tcPr>
          <w:p w14:paraId="3D48F366" w14:textId="77777777" w:rsidR="00F3536C" w:rsidRPr="00A4272B" w:rsidRDefault="00F3536C" w:rsidP="00A41632">
            <w:pPr>
              <w:jc w:val="right"/>
              <w:rPr>
                <w:color w:val="000000"/>
                <w:sz w:val="14"/>
                <w:szCs w:val="14"/>
                <w:lang w:val="en-US"/>
              </w:rPr>
            </w:pPr>
            <w:r w:rsidRPr="00A4272B">
              <w:rPr>
                <w:color w:val="000000"/>
                <w:sz w:val="14"/>
                <w:szCs w:val="14"/>
                <w:lang w:val="en-US"/>
              </w:rPr>
              <w:t>-51.776944</w:t>
            </w:r>
          </w:p>
        </w:tc>
        <w:tc>
          <w:tcPr>
            <w:tcW w:w="859" w:type="dxa"/>
            <w:tcBorders>
              <w:top w:val="nil"/>
              <w:left w:val="nil"/>
              <w:bottom w:val="nil"/>
              <w:right w:val="single" w:sz="8" w:space="0" w:color="auto"/>
            </w:tcBorders>
            <w:noWrap/>
            <w:vAlign w:val="center"/>
            <w:hideMark/>
          </w:tcPr>
          <w:p w14:paraId="32AE733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985B7D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9EA0D1E"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3060E3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A5C376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EC6926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2EB82C2"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0D7052E1" w14:textId="77777777" w:rsidTr="00A41632">
        <w:trPr>
          <w:trHeight w:val="276"/>
          <w:jc w:val="center"/>
        </w:trPr>
        <w:tc>
          <w:tcPr>
            <w:tcW w:w="955" w:type="dxa"/>
            <w:tcBorders>
              <w:top w:val="nil"/>
              <w:left w:val="single" w:sz="8" w:space="0" w:color="auto"/>
              <w:bottom w:val="nil"/>
              <w:right w:val="nil"/>
            </w:tcBorders>
            <w:noWrap/>
            <w:vAlign w:val="center"/>
            <w:hideMark/>
          </w:tcPr>
          <w:p w14:paraId="4FB0E460"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50360C71"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44883586" w14:textId="77777777" w:rsidR="00F3536C" w:rsidRPr="00A4272B" w:rsidRDefault="00F3536C" w:rsidP="00A41632">
            <w:pPr>
              <w:rPr>
                <w:color w:val="000000"/>
                <w:sz w:val="14"/>
                <w:szCs w:val="14"/>
                <w:lang w:val="en-US"/>
              </w:rPr>
            </w:pPr>
            <w:r w:rsidRPr="00A4272B">
              <w:rPr>
                <w:color w:val="000000"/>
                <w:sz w:val="14"/>
                <w:szCs w:val="14"/>
                <w:lang w:val="en-US"/>
              </w:rPr>
              <w:t>Pico do Jaraguá, SP</w:t>
            </w:r>
          </w:p>
        </w:tc>
        <w:tc>
          <w:tcPr>
            <w:tcW w:w="998" w:type="dxa"/>
            <w:noWrap/>
            <w:vAlign w:val="center"/>
            <w:hideMark/>
          </w:tcPr>
          <w:p w14:paraId="387A33CA" w14:textId="77777777" w:rsidR="00F3536C" w:rsidRPr="00A4272B" w:rsidRDefault="00F3536C" w:rsidP="00A41632">
            <w:pPr>
              <w:jc w:val="center"/>
              <w:rPr>
                <w:color w:val="000000"/>
                <w:sz w:val="14"/>
                <w:szCs w:val="14"/>
                <w:lang w:val="en-US"/>
              </w:rPr>
            </w:pPr>
            <w:r w:rsidRPr="00A4272B">
              <w:rPr>
                <w:color w:val="000000"/>
                <w:sz w:val="14"/>
                <w:szCs w:val="14"/>
                <w:lang w:val="en-US"/>
              </w:rPr>
              <w:t>49</w:t>
            </w:r>
          </w:p>
        </w:tc>
        <w:tc>
          <w:tcPr>
            <w:tcW w:w="1342" w:type="dxa"/>
            <w:noWrap/>
            <w:vAlign w:val="center"/>
            <w:hideMark/>
          </w:tcPr>
          <w:p w14:paraId="4321AB9E" w14:textId="77777777" w:rsidR="00F3536C" w:rsidRPr="00A4272B" w:rsidRDefault="00F3536C" w:rsidP="00A41632">
            <w:pPr>
              <w:jc w:val="center"/>
              <w:rPr>
                <w:color w:val="000000"/>
                <w:sz w:val="14"/>
                <w:szCs w:val="14"/>
                <w:lang w:val="en-US"/>
              </w:rPr>
            </w:pPr>
            <w:r w:rsidRPr="00A4272B">
              <w:rPr>
                <w:color w:val="000000"/>
                <w:sz w:val="14"/>
                <w:szCs w:val="14"/>
                <w:lang w:val="en-US"/>
              </w:rPr>
              <w:t>Suburban / Remote</w:t>
            </w:r>
          </w:p>
        </w:tc>
        <w:tc>
          <w:tcPr>
            <w:tcW w:w="900" w:type="dxa"/>
            <w:noWrap/>
            <w:vAlign w:val="center"/>
            <w:hideMark/>
          </w:tcPr>
          <w:p w14:paraId="7DC1A110" w14:textId="77777777" w:rsidR="00F3536C" w:rsidRPr="00A4272B" w:rsidRDefault="00F3536C" w:rsidP="00A41632">
            <w:pPr>
              <w:jc w:val="right"/>
              <w:rPr>
                <w:color w:val="000000"/>
                <w:sz w:val="14"/>
                <w:szCs w:val="14"/>
                <w:lang w:val="en-US"/>
              </w:rPr>
            </w:pPr>
            <w:r w:rsidRPr="00A4272B">
              <w:rPr>
                <w:color w:val="000000"/>
                <w:sz w:val="14"/>
                <w:szCs w:val="14"/>
                <w:lang w:val="en-US"/>
              </w:rPr>
              <w:t>-23.456314</w:t>
            </w:r>
          </w:p>
        </w:tc>
        <w:tc>
          <w:tcPr>
            <w:tcW w:w="998" w:type="dxa"/>
            <w:noWrap/>
            <w:vAlign w:val="center"/>
            <w:hideMark/>
          </w:tcPr>
          <w:p w14:paraId="084CECC2" w14:textId="77777777" w:rsidR="00F3536C" w:rsidRPr="00A4272B" w:rsidRDefault="00F3536C" w:rsidP="00A41632">
            <w:pPr>
              <w:jc w:val="right"/>
              <w:rPr>
                <w:color w:val="000000"/>
                <w:sz w:val="14"/>
                <w:szCs w:val="14"/>
                <w:lang w:val="en-US"/>
              </w:rPr>
            </w:pPr>
            <w:r w:rsidRPr="00A4272B">
              <w:rPr>
                <w:color w:val="000000"/>
                <w:sz w:val="14"/>
                <w:szCs w:val="14"/>
                <w:lang w:val="en-US"/>
              </w:rPr>
              <w:t>-46.766111</w:t>
            </w:r>
          </w:p>
        </w:tc>
        <w:tc>
          <w:tcPr>
            <w:tcW w:w="859" w:type="dxa"/>
            <w:tcBorders>
              <w:top w:val="nil"/>
              <w:left w:val="nil"/>
              <w:bottom w:val="nil"/>
              <w:right w:val="single" w:sz="8" w:space="0" w:color="auto"/>
            </w:tcBorders>
            <w:noWrap/>
            <w:vAlign w:val="center"/>
            <w:hideMark/>
          </w:tcPr>
          <w:p w14:paraId="0A23916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18D64A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85BEEED"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9E9EF2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E87E11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DD20A7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DE74C8B"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1329863B" w14:textId="77777777" w:rsidTr="00A41632">
        <w:trPr>
          <w:trHeight w:val="276"/>
          <w:jc w:val="center"/>
        </w:trPr>
        <w:tc>
          <w:tcPr>
            <w:tcW w:w="955" w:type="dxa"/>
            <w:tcBorders>
              <w:top w:val="nil"/>
              <w:left w:val="single" w:sz="8" w:space="0" w:color="auto"/>
              <w:bottom w:val="nil"/>
              <w:right w:val="nil"/>
            </w:tcBorders>
            <w:noWrap/>
            <w:vAlign w:val="center"/>
            <w:hideMark/>
          </w:tcPr>
          <w:p w14:paraId="2928482C"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9658FF0"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84F9666" w14:textId="77777777" w:rsidR="00F3536C" w:rsidRPr="00A4272B" w:rsidRDefault="00F3536C" w:rsidP="00A41632">
            <w:pPr>
              <w:rPr>
                <w:color w:val="000000"/>
                <w:sz w:val="14"/>
                <w:szCs w:val="14"/>
                <w:lang w:val="en-US"/>
              </w:rPr>
            </w:pPr>
            <w:r w:rsidRPr="00A4272B">
              <w:rPr>
                <w:color w:val="000000"/>
                <w:sz w:val="14"/>
                <w:szCs w:val="14"/>
                <w:lang w:val="en-US"/>
              </w:rPr>
              <w:t>Porto Alegre, RS</w:t>
            </w:r>
          </w:p>
        </w:tc>
        <w:tc>
          <w:tcPr>
            <w:tcW w:w="998" w:type="dxa"/>
            <w:noWrap/>
            <w:vAlign w:val="center"/>
            <w:hideMark/>
          </w:tcPr>
          <w:p w14:paraId="404980F9" w14:textId="77777777" w:rsidR="00F3536C" w:rsidRPr="00A4272B" w:rsidRDefault="00F3536C" w:rsidP="00A41632">
            <w:pPr>
              <w:jc w:val="center"/>
              <w:rPr>
                <w:color w:val="000000"/>
                <w:sz w:val="14"/>
                <w:szCs w:val="14"/>
                <w:lang w:val="en-US"/>
              </w:rPr>
            </w:pPr>
            <w:r w:rsidRPr="00A4272B">
              <w:rPr>
                <w:color w:val="000000"/>
                <w:sz w:val="14"/>
                <w:szCs w:val="14"/>
                <w:lang w:val="en-US"/>
              </w:rPr>
              <w:t>11</w:t>
            </w:r>
          </w:p>
        </w:tc>
        <w:tc>
          <w:tcPr>
            <w:tcW w:w="1342" w:type="dxa"/>
            <w:noWrap/>
            <w:vAlign w:val="center"/>
            <w:hideMark/>
          </w:tcPr>
          <w:p w14:paraId="5EE5B9F4"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2E1BBC41" w14:textId="77777777" w:rsidR="00F3536C" w:rsidRPr="00A4272B" w:rsidRDefault="00F3536C" w:rsidP="00A41632">
            <w:pPr>
              <w:jc w:val="right"/>
              <w:rPr>
                <w:color w:val="000000"/>
                <w:sz w:val="14"/>
                <w:szCs w:val="14"/>
                <w:lang w:val="en-US"/>
              </w:rPr>
            </w:pPr>
            <w:r w:rsidRPr="00A4272B">
              <w:rPr>
                <w:color w:val="000000"/>
                <w:sz w:val="14"/>
                <w:szCs w:val="14"/>
                <w:lang w:val="en-US"/>
              </w:rPr>
              <w:t>-30.034553</w:t>
            </w:r>
          </w:p>
        </w:tc>
        <w:tc>
          <w:tcPr>
            <w:tcW w:w="998" w:type="dxa"/>
            <w:noWrap/>
            <w:vAlign w:val="center"/>
            <w:hideMark/>
          </w:tcPr>
          <w:p w14:paraId="7911D1B1" w14:textId="77777777" w:rsidR="00F3536C" w:rsidRPr="00A4272B" w:rsidRDefault="00F3536C" w:rsidP="00A41632">
            <w:pPr>
              <w:jc w:val="right"/>
              <w:rPr>
                <w:color w:val="000000"/>
                <w:sz w:val="14"/>
                <w:szCs w:val="14"/>
                <w:lang w:val="en-US"/>
              </w:rPr>
            </w:pPr>
            <w:r w:rsidRPr="00A4272B">
              <w:rPr>
                <w:color w:val="000000"/>
                <w:sz w:val="14"/>
                <w:szCs w:val="14"/>
                <w:lang w:val="en-US"/>
              </w:rPr>
              <w:t>-51.233333</w:t>
            </w:r>
          </w:p>
        </w:tc>
        <w:tc>
          <w:tcPr>
            <w:tcW w:w="859" w:type="dxa"/>
            <w:tcBorders>
              <w:top w:val="nil"/>
              <w:left w:val="nil"/>
              <w:bottom w:val="nil"/>
              <w:right w:val="single" w:sz="8" w:space="0" w:color="auto"/>
            </w:tcBorders>
            <w:noWrap/>
            <w:vAlign w:val="center"/>
            <w:hideMark/>
          </w:tcPr>
          <w:p w14:paraId="3BA6697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A28BEF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831ECAF"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E51B3D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F6D16C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370F717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6818DCB"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782ECAFA" w14:textId="77777777" w:rsidTr="00A41632">
        <w:trPr>
          <w:trHeight w:val="276"/>
          <w:jc w:val="center"/>
        </w:trPr>
        <w:tc>
          <w:tcPr>
            <w:tcW w:w="955" w:type="dxa"/>
            <w:tcBorders>
              <w:top w:val="nil"/>
              <w:left w:val="single" w:sz="8" w:space="0" w:color="auto"/>
              <w:bottom w:val="nil"/>
              <w:right w:val="nil"/>
            </w:tcBorders>
            <w:noWrap/>
            <w:vAlign w:val="center"/>
            <w:hideMark/>
          </w:tcPr>
          <w:p w14:paraId="3B0F44F9"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53D5DF7E"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4EEBD936" w14:textId="77777777" w:rsidR="00F3536C" w:rsidRPr="00A4272B" w:rsidRDefault="00F3536C" w:rsidP="00A41632">
            <w:pPr>
              <w:rPr>
                <w:color w:val="000000"/>
                <w:sz w:val="14"/>
                <w:szCs w:val="14"/>
                <w:lang w:val="en-US"/>
              </w:rPr>
            </w:pPr>
            <w:r w:rsidRPr="00A4272B">
              <w:rPr>
                <w:color w:val="000000"/>
                <w:sz w:val="14"/>
                <w:szCs w:val="14"/>
                <w:lang w:val="en-US"/>
              </w:rPr>
              <w:t>Porto Velho, RO</w:t>
            </w:r>
          </w:p>
        </w:tc>
        <w:tc>
          <w:tcPr>
            <w:tcW w:w="998" w:type="dxa"/>
            <w:noWrap/>
            <w:vAlign w:val="center"/>
            <w:hideMark/>
          </w:tcPr>
          <w:p w14:paraId="48F8D0CC" w14:textId="77777777" w:rsidR="00F3536C" w:rsidRPr="00A4272B" w:rsidRDefault="00F3536C" w:rsidP="00A41632">
            <w:pPr>
              <w:jc w:val="center"/>
              <w:rPr>
                <w:color w:val="000000"/>
                <w:sz w:val="14"/>
                <w:szCs w:val="14"/>
                <w:lang w:val="en-US"/>
              </w:rPr>
            </w:pPr>
            <w:r w:rsidRPr="00A4272B">
              <w:rPr>
                <w:color w:val="000000"/>
                <w:sz w:val="14"/>
                <w:szCs w:val="14"/>
                <w:lang w:val="en-US"/>
              </w:rPr>
              <w:t>20</w:t>
            </w:r>
          </w:p>
        </w:tc>
        <w:tc>
          <w:tcPr>
            <w:tcW w:w="1342" w:type="dxa"/>
            <w:noWrap/>
            <w:vAlign w:val="center"/>
            <w:hideMark/>
          </w:tcPr>
          <w:p w14:paraId="0C6EF655"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17ECD4A7" w14:textId="77777777" w:rsidR="00F3536C" w:rsidRPr="00A4272B" w:rsidRDefault="00F3536C" w:rsidP="00A41632">
            <w:pPr>
              <w:jc w:val="right"/>
              <w:rPr>
                <w:color w:val="000000"/>
                <w:sz w:val="14"/>
                <w:szCs w:val="14"/>
                <w:lang w:val="en-US"/>
              </w:rPr>
            </w:pPr>
            <w:r w:rsidRPr="00A4272B">
              <w:rPr>
                <w:color w:val="000000"/>
                <w:sz w:val="14"/>
                <w:szCs w:val="14"/>
                <w:lang w:val="en-US"/>
              </w:rPr>
              <w:t>-8.836186</w:t>
            </w:r>
          </w:p>
        </w:tc>
        <w:tc>
          <w:tcPr>
            <w:tcW w:w="998" w:type="dxa"/>
            <w:noWrap/>
            <w:vAlign w:val="center"/>
            <w:hideMark/>
          </w:tcPr>
          <w:p w14:paraId="73A6BFDD" w14:textId="77777777" w:rsidR="00F3536C" w:rsidRPr="00A4272B" w:rsidRDefault="00F3536C" w:rsidP="00A41632">
            <w:pPr>
              <w:jc w:val="right"/>
              <w:rPr>
                <w:color w:val="000000"/>
                <w:sz w:val="14"/>
                <w:szCs w:val="14"/>
                <w:lang w:val="en-US"/>
              </w:rPr>
            </w:pPr>
            <w:r w:rsidRPr="00A4272B">
              <w:rPr>
                <w:color w:val="000000"/>
                <w:sz w:val="14"/>
                <w:szCs w:val="14"/>
                <w:lang w:val="en-US"/>
              </w:rPr>
              <w:t>-63.938889</w:t>
            </w:r>
          </w:p>
        </w:tc>
        <w:tc>
          <w:tcPr>
            <w:tcW w:w="859" w:type="dxa"/>
            <w:tcBorders>
              <w:top w:val="nil"/>
              <w:left w:val="nil"/>
              <w:bottom w:val="nil"/>
              <w:right w:val="single" w:sz="8" w:space="0" w:color="auto"/>
            </w:tcBorders>
            <w:noWrap/>
            <w:vAlign w:val="center"/>
            <w:hideMark/>
          </w:tcPr>
          <w:p w14:paraId="5F1B802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D0FAC7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D58EEDC"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7D0314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8FF7C5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C50C4E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19FBD52"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7864B418" w14:textId="77777777" w:rsidTr="00A41632">
        <w:trPr>
          <w:trHeight w:val="276"/>
          <w:jc w:val="center"/>
        </w:trPr>
        <w:tc>
          <w:tcPr>
            <w:tcW w:w="955" w:type="dxa"/>
            <w:tcBorders>
              <w:top w:val="nil"/>
              <w:left w:val="single" w:sz="8" w:space="0" w:color="auto"/>
              <w:bottom w:val="nil"/>
              <w:right w:val="nil"/>
            </w:tcBorders>
            <w:noWrap/>
            <w:vAlign w:val="center"/>
            <w:hideMark/>
          </w:tcPr>
          <w:p w14:paraId="362DD102"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16B7FAB1"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2B191E49" w14:textId="77777777" w:rsidR="00F3536C" w:rsidRPr="00A4272B" w:rsidRDefault="00F3536C" w:rsidP="00A41632">
            <w:pPr>
              <w:rPr>
                <w:color w:val="000000"/>
                <w:sz w:val="14"/>
                <w:szCs w:val="14"/>
                <w:lang w:val="en-US"/>
              </w:rPr>
            </w:pPr>
            <w:r w:rsidRPr="00A4272B">
              <w:rPr>
                <w:color w:val="000000"/>
                <w:sz w:val="14"/>
                <w:szCs w:val="14"/>
                <w:lang w:val="en-US"/>
              </w:rPr>
              <w:t>Puruzinho, AM / Puruzinho Lake</w:t>
            </w:r>
          </w:p>
        </w:tc>
        <w:tc>
          <w:tcPr>
            <w:tcW w:w="998" w:type="dxa"/>
            <w:noWrap/>
            <w:vAlign w:val="center"/>
            <w:hideMark/>
          </w:tcPr>
          <w:p w14:paraId="7DABA305" w14:textId="77777777" w:rsidR="00F3536C" w:rsidRPr="00A4272B" w:rsidRDefault="00F3536C" w:rsidP="00A41632">
            <w:pPr>
              <w:jc w:val="center"/>
              <w:rPr>
                <w:color w:val="000000"/>
                <w:sz w:val="14"/>
                <w:szCs w:val="14"/>
                <w:lang w:val="en-US"/>
              </w:rPr>
            </w:pPr>
            <w:r w:rsidRPr="00A4272B">
              <w:rPr>
                <w:color w:val="000000"/>
                <w:sz w:val="14"/>
                <w:szCs w:val="14"/>
                <w:lang w:val="en-US"/>
              </w:rPr>
              <w:t>12</w:t>
            </w:r>
          </w:p>
        </w:tc>
        <w:tc>
          <w:tcPr>
            <w:tcW w:w="1342" w:type="dxa"/>
            <w:noWrap/>
            <w:vAlign w:val="center"/>
            <w:hideMark/>
          </w:tcPr>
          <w:p w14:paraId="3C99E21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76845091" w14:textId="77777777" w:rsidR="00F3536C" w:rsidRPr="00A4272B" w:rsidRDefault="00F3536C" w:rsidP="00A41632">
            <w:pPr>
              <w:jc w:val="right"/>
              <w:rPr>
                <w:color w:val="000000"/>
                <w:sz w:val="14"/>
                <w:szCs w:val="14"/>
                <w:lang w:val="en-US"/>
              </w:rPr>
            </w:pPr>
            <w:r w:rsidRPr="00A4272B">
              <w:rPr>
                <w:color w:val="000000"/>
                <w:sz w:val="14"/>
                <w:szCs w:val="14"/>
                <w:lang w:val="en-US"/>
              </w:rPr>
              <w:t>-7.370556</w:t>
            </w:r>
          </w:p>
        </w:tc>
        <w:tc>
          <w:tcPr>
            <w:tcW w:w="998" w:type="dxa"/>
            <w:noWrap/>
            <w:vAlign w:val="center"/>
            <w:hideMark/>
          </w:tcPr>
          <w:p w14:paraId="4D13C94E" w14:textId="77777777" w:rsidR="00F3536C" w:rsidRPr="00A4272B" w:rsidRDefault="00F3536C" w:rsidP="00A41632">
            <w:pPr>
              <w:jc w:val="right"/>
              <w:rPr>
                <w:color w:val="000000"/>
                <w:sz w:val="14"/>
                <w:szCs w:val="14"/>
                <w:lang w:val="en-US"/>
              </w:rPr>
            </w:pPr>
            <w:r w:rsidRPr="00A4272B">
              <w:rPr>
                <w:color w:val="000000"/>
                <w:sz w:val="14"/>
                <w:szCs w:val="14"/>
                <w:lang w:val="en-US"/>
              </w:rPr>
              <w:t>-63.059440</w:t>
            </w:r>
          </w:p>
        </w:tc>
        <w:tc>
          <w:tcPr>
            <w:tcW w:w="859" w:type="dxa"/>
            <w:tcBorders>
              <w:top w:val="nil"/>
              <w:left w:val="nil"/>
              <w:bottom w:val="nil"/>
              <w:right w:val="single" w:sz="8" w:space="0" w:color="auto"/>
            </w:tcBorders>
            <w:noWrap/>
            <w:vAlign w:val="center"/>
            <w:hideMark/>
          </w:tcPr>
          <w:p w14:paraId="0B1E8E4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E45049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8CD398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4246D0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478350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2966AC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F8B91CA"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1CD5ED29" w14:textId="77777777" w:rsidTr="00A41632">
        <w:trPr>
          <w:trHeight w:val="276"/>
          <w:jc w:val="center"/>
        </w:trPr>
        <w:tc>
          <w:tcPr>
            <w:tcW w:w="955" w:type="dxa"/>
            <w:tcBorders>
              <w:top w:val="nil"/>
              <w:left w:val="single" w:sz="8" w:space="0" w:color="auto"/>
              <w:bottom w:val="nil"/>
              <w:right w:val="nil"/>
            </w:tcBorders>
            <w:noWrap/>
            <w:vAlign w:val="center"/>
            <w:hideMark/>
          </w:tcPr>
          <w:p w14:paraId="4A5DE206"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EB4C9D6"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48AFDF6C" w14:textId="77777777" w:rsidR="00F3536C" w:rsidRPr="00A4272B" w:rsidRDefault="00F3536C" w:rsidP="00A41632">
            <w:pPr>
              <w:rPr>
                <w:color w:val="000000"/>
                <w:sz w:val="14"/>
                <w:szCs w:val="14"/>
                <w:lang w:val="en-US"/>
              </w:rPr>
            </w:pPr>
            <w:r w:rsidRPr="00A4272B">
              <w:rPr>
                <w:color w:val="000000"/>
                <w:sz w:val="14"/>
                <w:szCs w:val="14"/>
                <w:lang w:val="en-US"/>
              </w:rPr>
              <w:t>Recife, PE</w:t>
            </w:r>
          </w:p>
        </w:tc>
        <w:tc>
          <w:tcPr>
            <w:tcW w:w="998" w:type="dxa"/>
            <w:noWrap/>
            <w:vAlign w:val="center"/>
            <w:hideMark/>
          </w:tcPr>
          <w:p w14:paraId="1E1B136B" w14:textId="77777777" w:rsidR="00F3536C" w:rsidRPr="00A4272B" w:rsidRDefault="00F3536C" w:rsidP="00A41632">
            <w:pPr>
              <w:jc w:val="center"/>
              <w:rPr>
                <w:color w:val="000000"/>
                <w:sz w:val="14"/>
                <w:szCs w:val="14"/>
                <w:lang w:val="en-US"/>
              </w:rPr>
            </w:pPr>
            <w:r w:rsidRPr="00A4272B">
              <w:rPr>
                <w:color w:val="000000"/>
                <w:sz w:val="14"/>
                <w:szCs w:val="14"/>
                <w:lang w:val="en-US"/>
              </w:rPr>
              <w:t>13</w:t>
            </w:r>
          </w:p>
        </w:tc>
        <w:tc>
          <w:tcPr>
            <w:tcW w:w="1342" w:type="dxa"/>
            <w:noWrap/>
            <w:vAlign w:val="center"/>
            <w:hideMark/>
          </w:tcPr>
          <w:p w14:paraId="0FC4B9E7"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091C9815" w14:textId="77777777" w:rsidR="00F3536C" w:rsidRPr="00A4272B" w:rsidRDefault="00F3536C" w:rsidP="00A41632">
            <w:pPr>
              <w:jc w:val="right"/>
              <w:rPr>
                <w:color w:val="000000"/>
                <w:sz w:val="14"/>
                <w:szCs w:val="14"/>
                <w:lang w:val="en-US"/>
              </w:rPr>
            </w:pPr>
            <w:r w:rsidRPr="00A4272B">
              <w:rPr>
                <w:color w:val="000000"/>
                <w:sz w:val="14"/>
                <w:szCs w:val="14"/>
                <w:lang w:val="en-US"/>
              </w:rPr>
              <w:t>-8.052883</w:t>
            </w:r>
          </w:p>
        </w:tc>
        <w:tc>
          <w:tcPr>
            <w:tcW w:w="998" w:type="dxa"/>
            <w:noWrap/>
            <w:vAlign w:val="center"/>
            <w:hideMark/>
          </w:tcPr>
          <w:p w14:paraId="290303D8" w14:textId="77777777" w:rsidR="00F3536C" w:rsidRPr="00A4272B" w:rsidRDefault="00F3536C" w:rsidP="00A41632">
            <w:pPr>
              <w:jc w:val="right"/>
              <w:rPr>
                <w:color w:val="000000"/>
                <w:sz w:val="14"/>
                <w:szCs w:val="14"/>
                <w:lang w:val="en-US"/>
              </w:rPr>
            </w:pPr>
            <w:r w:rsidRPr="00A4272B">
              <w:rPr>
                <w:color w:val="000000"/>
                <w:sz w:val="14"/>
                <w:szCs w:val="14"/>
                <w:lang w:val="en-US"/>
              </w:rPr>
              <w:t>-34.950000</w:t>
            </w:r>
          </w:p>
        </w:tc>
        <w:tc>
          <w:tcPr>
            <w:tcW w:w="859" w:type="dxa"/>
            <w:tcBorders>
              <w:top w:val="nil"/>
              <w:left w:val="nil"/>
              <w:bottom w:val="nil"/>
              <w:right w:val="single" w:sz="8" w:space="0" w:color="auto"/>
            </w:tcBorders>
            <w:noWrap/>
            <w:vAlign w:val="center"/>
            <w:hideMark/>
          </w:tcPr>
          <w:p w14:paraId="73B7415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853B36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E17353D"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B623A6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2685C9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8B3C89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4243A1B"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7E283E1B" w14:textId="77777777" w:rsidTr="00A41632">
        <w:trPr>
          <w:trHeight w:val="276"/>
          <w:jc w:val="center"/>
        </w:trPr>
        <w:tc>
          <w:tcPr>
            <w:tcW w:w="955" w:type="dxa"/>
            <w:tcBorders>
              <w:top w:val="nil"/>
              <w:left w:val="single" w:sz="8" w:space="0" w:color="auto"/>
              <w:bottom w:val="nil"/>
              <w:right w:val="nil"/>
            </w:tcBorders>
            <w:noWrap/>
            <w:vAlign w:val="center"/>
            <w:hideMark/>
          </w:tcPr>
          <w:p w14:paraId="55F7FF15"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601A385"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27EAE575" w14:textId="77777777" w:rsidR="00F3536C" w:rsidRPr="00A4272B" w:rsidRDefault="00F3536C" w:rsidP="00A41632">
            <w:pPr>
              <w:rPr>
                <w:color w:val="000000"/>
                <w:sz w:val="14"/>
                <w:szCs w:val="14"/>
                <w:lang w:val="en-US"/>
              </w:rPr>
            </w:pPr>
            <w:r w:rsidRPr="00A4272B">
              <w:rPr>
                <w:color w:val="000000"/>
                <w:sz w:val="14"/>
                <w:szCs w:val="14"/>
                <w:lang w:val="en-US"/>
              </w:rPr>
              <w:t>Rio de Janeiro, RJ</w:t>
            </w:r>
          </w:p>
        </w:tc>
        <w:tc>
          <w:tcPr>
            <w:tcW w:w="998" w:type="dxa"/>
            <w:noWrap/>
            <w:vAlign w:val="center"/>
            <w:hideMark/>
          </w:tcPr>
          <w:p w14:paraId="79717F8F" w14:textId="77777777" w:rsidR="00F3536C" w:rsidRPr="00A4272B" w:rsidRDefault="00F3536C" w:rsidP="00A41632">
            <w:pPr>
              <w:jc w:val="center"/>
              <w:rPr>
                <w:color w:val="000000"/>
                <w:sz w:val="14"/>
                <w:szCs w:val="14"/>
                <w:lang w:val="en-US"/>
              </w:rPr>
            </w:pPr>
            <w:r w:rsidRPr="00A4272B">
              <w:rPr>
                <w:color w:val="000000"/>
                <w:sz w:val="14"/>
                <w:szCs w:val="14"/>
                <w:lang w:val="en-US"/>
              </w:rPr>
              <w:t>7</w:t>
            </w:r>
          </w:p>
        </w:tc>
        <w:tc>
          <w:tcPr>
            <w:tcW w:w="1342" w:type="dxa"/>
            <w:noWrap/>
            <w:vAlign w:val="center"/>
            <w:hideMark/>
          </w:tcPr>
          <w:p w14:paraId="12378AC9"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77D401FB" w14:textId="77777777" w:rsidR="00F3536C" w:rsidRPr="00A4272B" w:rsidRDefault="00F3536C" w:rsidP="00A41632">
            <w:pPr>
              <w:jc w:val="right"/>
              <w:rPr>
                <w:color w:val="000000"/>
                <w:sz w:val="14"/>
                <w:szCs w:val="14"/>
                <w:lang w:val="en-US"/>
              </w:rPr>
            </w:pPr>
            <w:r w:rsidRPr="00A4272B">
              <w:rPr>
                <w:color w:val="000000"/>
                <w:sz w:val="14"/>
                <w:szCs w:val="14"/>
                <w:lang w:val="en-US"/>
              </w:rPr>
              <w:t>-22.878533</w:t>
            </w:r>
          </w:p>
        </w:tc>
        <w:tc>
          <w:tcPr>
            <w:tcW w:w="998" w:type="dxa"/>
            <w:noWrap/>
            <w:vAlign w:val="center"/>
            <w:hideMark/>
          </w:tcPr>
          <w:p w14:paraId="1B5CE688" w14:textId="77777777" w:rsidR="00F3536C" w:rsidRPr="00A4272B" w:rsidRDefault="00F3536C" w:rsidP="00A41632">
            <w:pPr>
              <w:jc w:val="right"/>
              <w:rPr>
                <w:color w:val="000000"/>
                <w:sz w:val="14"/>
                <w:szCs w:val="14"/>
                <w:lang w:val="en-US"/>
              </w:rPr>
            </w:pPr>
            <w:r w:rsidRPr="00A4272B">
              <w:rPr>
                <w:color w:val="000000"/>
                <w:sz w:val="14"/>
                <w:szCs w:val="14"/>
                <w:lang w:val="en-US"/>
              </w:rPr>
              <w:t>-43.246111</w:t>
            </w:r>
          </w:p>
        </w:tc>
        <w:tc>
          <w:tcPr>
            <w:tcW w:w="859" w:type="dxa"/>
            <w:tcBorders>
              <w:top w:val="nil"/>
              <w:left w:val="nil"/>
              <w:bottom w:val="nil"/>
              <w:right w:val="single" w:sz="8" w:space="0" w:color="auto"/>
            </w:tcBorders>
            <w:noWrap/>
            <w:vAlign w:val="center"/>
            <w:hideMark/>
          </w:tcPr>
          <w:p w14:paraId="5604BC0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EAF5E5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8C2459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FF43E2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800E33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51888C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944C437"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346CDF25" w14:textId="77777777" w:rsidTr="00A41632">
        <w:trPr>
          <w:trHeight w:val="276"/>
          <w:jc w:val="center"/>
        </w:trPr>
        <w:tc>
          <w:tcPr>
            <w:tcW w:w="955" w:type="dxa"/>
            <w:tcBorders>
              <w:top w:val="nil"/>
              <w:left w:val="single" w:sz="8" w:space="0" w:color="auto"/>
              <w:bottom w:val="nil"/>
              <w:right w:val="nil"/>
            </w:tcBorders>
            <w:noWrap/>
            <w:vAlign w:val="center"/>
            <w:hideMark/>
          </w:tcPr>
          <w:p w14:paraId="68E380A0"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7ACA6CD6"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42BE5177" w14:textId="77777777" w:rsidR="00F3536C" w:rsidRPr="00A4272B" w:rsidRDefault="00F3536C" w:rsidP="00A41632">
            <w:pPr>
              <w:rPr>
                <w:color w:val="000000"/>
                <w:sz w:val="14"/>
                <w:szCs w:val="14"/>
                <w:lang w:val="en-US"/>
              </w:rPr>
            </w:pPr>
            <w:r w:rsidRPr="00A4272B">
              <w:rPr>
                <w:color w:val="000000"/>
                <w:sz w:val="14"/>
                <w:szCs w:val="14"/>
                <w:lang w:val="en-US"/>
              </w:rPr>
              <w:t>Rio Grande, RS</w:t>
            </w:r>
          </w:p>
        </w:tc>
        <w:tc>
          <w:tcPr>
            <w:tcW w:w="998" w:type="dxa"/>
            <w:noWrap/>
            <w:vAlign w:val="center"/>
            <w:hideMark/>
          </w:tcPr>
          <w:p w14:paraId="1A4828A9" w14:textId="77777777" w:rsidR="00F3536C" w:rsidRPr="00A4272B" w:rsidRDefault="00F3536C" w:rsidP="00A41632">
            <w:pPr>
              <w:jc w:val="center"/>
              <w:rPr>
                <w:color w:val="000000"/>
                <w:sz w:val="14"/>
                <w:szCs w:val="14"/>
                <w:lang w:val="en-US"/>
              </w:rPr>
            </w:pPr>
            <w:r w:rsidRPr="00A4272B">
              <w:rPr>
                <w:color w:val="000000"/>
                <w:sz w:val="14"/>
                <w:szCs w:val="14"/>
                <w:lang w:val="en-US"/>
              </w:rPr>
              <w:t>9</w:t>
            </w:r>
          </w:p>
        </w:tc>
        <w:tc>
          <w:tcPr>
            <w:tcW w:w="1342" w:type="dxa"/>
            <w:noWrap/>
            <w:vAlign w:val="center"/>
            <w:hideMark/>
          </w:tcPr>
          <w:p w14:paraId="5D4C9A7C"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5ECF5EA3" w14:textId="77777777" w:rsidR="00F3536C" w:rsidRPr="00A4272B" w:rsidRDefault="00F3536C" w:rsidP="00A41632">
            <w:pPr>
              <w:jc w:val="right"/>
              <w:rPr>
                <w:color w:val="000000"/>
                <w:sz w:val="14"/>
                <w:szCs w:val="14"/>
                <w:lang w:val="en-US"/>
              </w:rPr>
            </w:pPr>
            <w:r w:rsidRPr="00A4272B">
              <w:rPr>
                <w:color w:val="000000"/>
                <w:sz w:val="14"/>
                <w:szCs w:val="14"/>
                <w:lang w:val="en-US"/>
              </w:rPr>
              <w:t>-32.068906</w:t>
            </w:r>
          </w:p>
        </w:tc>
        <w:tc>
          <w:tcPr>
            <w:tcW w:w="998" w:type="dxa"/>
            <w:noWrap/>
            <w:vAlign w:val="center"/>
            <w:hideMark/>
          </w:tcPr>
          <w:p w14:paraId="546E7A04" w14:textId="77777777" w:rsidR="00F3536C" w:rsidRPr="00A4272B" w:rsidRDefault="00F3536C" w:rsidP="00A41632">
            <w:pPr>
              <w:jc w:val="right"/>
              <w:rPr>
                <w:color w:val="000000"/>
                <w:sz w:val="14"/>
                <w:szCs w:val="14"/>
                <w:lang w:val="en-US"/>
              </w:rPr>
            </w:pPr>
            <w:r w:rsidRPr="00A4272B">
              <w:rPr>
                <w:color w:val="000000"/>
                <w:sz w:val="14"/>
                <w:szCs w:val="14"/>
                <w:lang w:val="en-US"/>
              </w:rPr>
              <w:t>-52.161389</w:t>
            </w:r>
          </w:p>
        </w:tc>
        <w:tc>
          <w:tcPr>
            <w:tcW w:w="859" w:type="dxa"/>
            <w:tcBorders>
              <w:top w:val="nil"/>
              <w:left w:val="nil"/>
              <w:bottom w:val="nil"/>
              <w:right w:val="single" w:sz="8" w:space="0" w:color="auto"/>
            </w:tcBorders>
            <w:noWrap/>
            <w:vAlign w:val="center"/>
            <w:hideMark/>
          </w:tcPr>
          <w:p w14:paraId="2D4BCD6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01311F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6A47FF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FCD83F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A4C69C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082E96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9412D1F"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2B5CA343" w14:textId="77777777" w:rsidTr="00A41632">
        <w:trPr>
          <w:trHeight w:val="276"/>
          <w:jc w:val="center"/>
        </w:trPr>
        <w:tc>
          <w:tcPr>
            <w:tcW w:w="955" w:type="dxa"/>
            <w:tcBorders>
              <w:top w:val="nil"/>
              <w:left w:val="single" w:sz="8" w:space="0" w:color="auto"/>
              <w:bottom w:val="nil"/>
              <w:right w:val="nil"/>
            </w:tcBorders>
            <w:noWrap/>
            <w:vAlign w:val="center"/>
            <w:hideMark/>
          </w:tcPr>
          <w:p w14:paraId="4FB962F6"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16164D03"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7095372A" w14:textId="77777777" w:rsidR="00F3536C" w:rsidRPr="00A4272B" w:rsidRDefault="00F3536C" w:rsidP="00A41632">
            <w:pPr>
              <w:rPr>
                <w:color w:val="000000"/>
                <w:sz w:val="14"/>
                <w:szCs w:val="14"/>
                <w:lang w:val="en-US"/>
              </w:rPr>
            </w:pPr>
            <w:r w:rsidRPr="00A4272B">
              <w:rPr>
                <w:color w:val="000000"/>
                <w:sz w:val="14"/>
                <w:szCs w:val="14"/>
                <w:lang w:val="en-US"/>
              </w:rPr>
              <w:t>Rocas Atoll / Atol das Rocas</w:t>
            </w:r>
          </w:p>
        </w:tc>
        <w:tc>
          <w:tcPr>
            <w:tcW w:w="998" w:type="dxa"/>
            <w:noWrap/>
            <w:vAlign w:val="center"/>
            <w:hideMark/>
          </w:tcPr>
          <w:p w14:paraId="2772469D" w14:textId="77777777" w:rsidR="00F3536C" w:rsidRPr="00A4272B" w:rsidRDefault="00F3536C" w:rsidP="00A41632">
            <w:pPr>
              <w:jc w:val="center"/>
              <w:rPr>
                <w:color w:val="000000"/>
                <w:sz w:val="14"/>
                <w:szCs w:val="14"/>
                <w:lang w:val="en-US"/>
              </w:rPr>
            </w:pPr>
            <w:r w:rsidRPr="00A4272B">
              <w:rPr>
                <w:color w:val="000000"/>
                <w:sz w:val="14"/>
                <w:szCs w:val="14"/>
                <w:lang w:val="en-US"/>
              </w:rPr>
              <w:t>32</w:t>
            </w:r>
          </w:p>
        </w:tc>
        <w:tc>
          <w:tcPr>
            <w:tcW w:w="1342" w:type="dxa"/>
            <w:noWrap/>
            <w:vAlign w:val="center"/>
            <w:hideMark/>
          </w:tcPr>
          <w:p w14:paraId="660BAE5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92CB12C" w14:textId="77777777" w:rsidR="00F3536C" w:rsidRPr="00A4272B" w:rsidRDefault="00F3536C" w:rsidP="00A41632">
            <w:pPr>
              <w:jc w:val="right"/>
              <w:rPr>
                <w:color w:val="000000"/>
                <w:sz w:val="14"/>
                <w:szCs w:val="14"/>
                <w:lang w:val="en-US"/>
              </w:rPr>
            </w:pPr>
            <w:r w:rsidRPr="00A4272B">
              <w:rPr>
                <w:color w:val="000000"/>
                <w:sz w:val="14"/>
                <w:szCs w:val="14"/>
                <w:lang w:val="en-US"/>
              </w:rPr>
              <w:t>-3.856417</w:t>
            </w:r>
          </w:p>
        </w:tc>
        <w:tc>
          <w:tcPr>
            <w:tcW w:w="998" w:type="dxa"/>
            <w:noWrap/>
            <w:vAlign w:val="center"/>
            <w:hideMark/>
          </w:tcPr>
          <w:p w14:paraId="7295D633" w14:textId="77777777" w:rsidR="00F3536C" w:rsidRPr="00A4272B" w:rsidRDefault="00F3536C" w:rsidP="00A41632">
            <w:pPr>
              <w:jc w:val="right"/>
              <w:rPr>
                <w:color w:val="000000"/>
                <w:sz w:val="14"/>
                <w:szCs w:val="14"/>
                <w:lang w:val="en-US"/>
              </w:rPr>
            </w:pPr>
            <w:r w:rsidRPr="00A4272B">
              <w:rPr>
                <w:color w:val="000000"/>
                <w:sz w:val="14"/>
                <w:szCs w:val="14"/>
                <w:lang w:val="en-US"/>
              </w:rPr>
              <w:t>-33.817420</w:t>
            </w:r>
          </w:p>
        </w:tc>
        <w:tc>
          <w:tcPr>
            <w:tcW w:w="859" w:type="dxa"/>
            <w:tcBorders>
              <w:top w:val="nil"/>
              <w:left w:val="nil"/>
              <w:bottom w:val="nil"/>
              <w:right w:val="single" w:sz="8" w:space="0" w:color="auto"/>
            </w:tcBorders>
            <w:noWrap/>
            <w:vAlign w:val="center"/>
            <w:hideMark/>
          </w:tcPr>
          <w:p w14:paraId="79474DF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F873594"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11F4CCD"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8D22CB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20B277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0F549F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D240EE8"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15C97850" w14:textId="77777777" w:rsidTr="00A41632">
        <w:trPr>
          <w:trHeight w:val="276"/>
          <w:jc w:val="center"/>
        </w:trPr>
        <w:tc>
          <w:tcPr>
            <w:tcW w:w="955" w:type="dxa"/>
            <w:tcBorders>
              <w:top w:val="nil"/>
              <w:left w:val="single" w:sz="8" w:space="0" w:color="auto"/>
              <w:bottom w:val="nil"/>
              <w:right w:val="nil"/>
            </w:tcBorders>
            <w:noWrap/>
            <w:vAlign w:val="center"/>
            <w:hideMark/>
          </w:tcPr>
          <w:p w14:paraId="1BF01809"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4D6CAD0"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F2F7A96" w14:textId="77777777" w:rsidR="00F3536C" w:rsidRPr="00A4272B" w:rsidRDefault="00F3536C" w:rsidP="00A41632">
            <w:pPr>
              <w:rPr>
                <w:color w:val="000000"/>
                <w:sz w:val="14"/>
                <w:szCs w:val="14"/>
                <w:lang w:val="en-US"/>
              </w:rPr>
            </w:pPr>
            <w:r w:rsidRPr="00A4272B">
              <w:rPr>
                <w:color w:val="000000"/>
                <w:sz w:val="14"/>
                <w:szCs w:val="14"/>
                <w:lang w:val="en-US"/>
              </w:rPr>
              <w:t>São José dos Ausentes, RS</w:t>
            </w:r>
          </w:p>
        </w:tc>
        <w:tc>
          <w:tcPr>
            <w:tcW w:w="998" w:type="dxa"/>
            <w:noWrap/>
            <w:vAlign w:val="center"/>
            <w:hideMark/>
          </w:tcPr>
          <w:p w14:paraId="7B7E8AFB" w14:textId="77777777" w:rsidR="00F3536C" w:rsidRPr="00A4272B" w:rsidRDefault="00F3536C" w:rsidP="00A41632">
            <w:pPr>
              <w:jc w:val="center"/>
              <w:rPr>
                <w:color w:val="000000"/>
                <w:sz w:val="14"/>
                <w:szCs w:val="14"/>
                <w:lang w:val="en-US"/>
              </w:rPr>
            </w:pPr>
            <w:r w:rsidRPr="00A4272B">
              <w:rPr>
                <w:color w:val="000000"/>
                <w:sz w:val="14"/>
                <w:szCs w:val="14"/>
                <w:lang w:val="en-US"/>
              </w:rPr>
              <w:t>16</w:t>
            </w:r>
          </w:p>
        </w:tc>
        <w:tc>
          <w:tcPr>
            <w:tcW w:w="1342" w:type="dxa"/>
            <w:noWrap/>
            <w:vAlign w:val="center"/>
            <w:hideMark/>
          </w:tcPr>
          <w:p w14:paraId="40A6ABC1" w14:textId="77777777" w:rsidR="00F3536C" w:rsidRPr="00A4272B" w:rsidRDefault="00F3536C" w:rsidP="00A41632">
            <w:pPr>
              <w:jc w:val="center"/>
              <w:rPr>
                <w:color w:val="000000"/>
                <w:sz w:val="14"/>
                <w:szCs w:val="14"/>
                <w:lang w:val="en-US"/>
              </w:rPr>
            </w:pPr>
            <w:r w:rsidRPr="00A4272B">
              <w:rPr>
                <w:color w:val="000000"/>
                <w:sz w:val="14"/>
                <w:szCs w:val="14"/>
                <w:lang w:val="en-US"/>
              </w:rPr>
              <w:t>Remote</w:t>
            </w:r>
          </w:p>
        </w:tc>
        <w:tc>
          <w:tcPr>
            <w:tcW w:w="900" w:type="dxa"/>
            <w:noWrap/>
            <w:vAlign w:val="center"/>
            <w:hideMark/>
          </w:tcPr>
          <w:p w14:paraId="5517EC98" w14:textId="77777777" w:rsidR="00F3536C" w:rsidRPr="00A4272B" w:rsidRDefault="00F3536C" w:rsidP="00A41632">
            <w:pPr>
              <w:jc w:val="right"/>
              <w:rPr>
                <w:color w:val="000000"/>
                <w:sz w:val="14"/>
                <w:szCs w:val="14"/>
                <w:lang w:val="en-US"/>
              </w:rPr>
            </w:pPr>
            <w:r w:rsidRPr="00A4272B">
              <w:rPr>
                <w:color w:val="000000"/>
                <w:sz w:val="14"/>
                <w:szCs w:val="14"/>
                <w:lang w:val="en-US"/>
              </w:rPr>
              <w:t>-28.594170</w:t>
            </w:r>
          </w:p>
        </w:tc>
        <w:tc>
          <w:tcPr>
            <w:tcW w:w="998" w:type="dxa"/>
            <w:noWrap/>
            <w:vAlign w:val="center"/>
            <w:hideMark/>
          </w:tcPr>
          <w:p w14:paraId="11DC6920" w14:textId="77777777" w:rsidR="00F3536C" w:rsidRPr="00A4272B" w:rsidRDefault="00F3536C" w:rsidP="00A41632">
            <w:pPr>
              <w:jc w:val="right"/>
              <w:rPr>
                <w:color w:val="000000"/>
                <w:sz w:val="14"/>
                <w:szCs w:val="14"/>
                <w:lang w:val="en-US"/>
              </w:rPr>
            </w:pPr>
            <w:r w:rsidRPr="00A4272B">
              <w:rPr>
                <w:color w:val="000000"/>
                <w:sz w:val="14"/>
                <w:szCs w:val="14"/>
                <w:lang w:val="en-US"/>
              </w:rPr>
              <w:t>-49.818590</w:t>
            </w:r>
          </w:p>
        </w:tc>
        <w:tc>
          <w:tcPr>
            <w:tcW w:w="859" w:type="dxa"/>
            <w:tcBorders>
              <w:top w:val="nil"/>
              <w:left w:val="nil"/>
              <w:bottom w:val="nil"/>
              <w:right w:val="single" w:sz="8" w:space="0" w:color="auto"/>
            </w:tcBorders>
            <w:noWrap/>
            <w:vAlign w:val="center"/>
            <w:hideMark/>
          </w:tcPr>
          <w:p w14:paraId="4FB9A54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007490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28A358A"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B34C35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23733D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ACC279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5173141"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41265E8C" w14:textId="77777777" w:rsidTr="00F006B1">
        <w:trPr>
          <w:trHeight w:val="276"/>
          <w:jc w:val="center"/>
        </w:trPr>
        <w:tc>
          <w:tcPr>
            <w:tcW w:w="955" w:type="dxa"/>
            <w:tcBorders>
              <w:top w:val="nil"/>
              <w:left w:val="single" w:sz="8" w:space="0" w:color="auto"/>
              <w:right w:val="nil"/>
            </w:tcBorders>
            <w:noWrap/>
            <w:vAlign w:val="center"/>
            <w:hideMark/>
          </w:tcPr>
          <w:p w14:paraId="6D19458A"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7D8DACF9"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3F31D7C0" w14:textId="77777777" w:rsidR="00F3536C" w:rsidRPr="00A4272B" w:rsidRDefault="00F3536C" w:rsidP="00A41632">
            <w:pPr>
              <w:rPr>
                <w:color w:val="000000"/>
                <w:sz w:val="14"/>
                <w:szCs w:val="14"/>
                <w:lang w:val="en-US"/>
              </w:rPr>
            </w:pPr>
            <w:r w:rsidRPr="00A4272B">
              <w:rPr>
                <w:color w:val="000000"/>
                <w:sz w:val="14"/>
                <w:szCs w:val="14"/>
                <w:lang w:val="en-US"/>
              </w:rPr>
              <w:t>São Luis do Maranhão, MA</w:t>
            </w:r>
          </w:p>
        </w:tc>
        <w:tc>
          <w:tcPr>
            <w:tcW w:w="998" w:type="dxa"/>
            <w:noWrap/>
            <w:vAlign w:val="center"/>
            <w:hideMark/>
          </w:tcPr>
          <w:p w14:paraId="762EAE00" w14:textId="77777777" w:rsidR="00F3536C" w:rsidRPr="00A4272B" w:rsidRDefault="00F3536C" w:rsidP="00A41632">
            <w:pPr>
              <w:jc w:val="center"/>
              <w:rPr>
                <w:color w:val="000000"/>
                <w:sz w:val="14"/>
                <w:szCs w:val="14"/>
                <w:lang w:val="en-US"/>
              </w:rPr>
            </w:pPr>
            <w:r w:rsidRPr="00A4272B">
              <w:rPr>
                <w:color w:val="000000"/>
                <w:sz w:val="14"/>
                <w:szCs w:val="14"/>
                <w:lang w:val="en-US"/>
              </w:rPr>
              <w:t>17</w:t>
            </w:r>
          </w:p>
        </w:tc>
        <w:tc>
          <w:tcPr>
            <w:tcW w:w="1342" w:type="dxa"/>
            <w:noWrap/>
            <w:vAlign w:val="center"/>
            <w:hideMark/>
          </w:tcPr>
          <w:p w14:paraId="77D61A40"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6BBA0AF3" w14:textId="77777777" w:rsidR="00F3536C" w:rsidRPr="00A4272B" w:rsidRDefault="00F3536C" w:rsidP="00A41632">
            <w:pPr>
              <w:jc w:val="right"/>
              <w:rPr>
                <w:color w:val="000000"/>
                <w:sz w:val="14"/>
                <w:szCs w:val="14"/>
                <w:lang w:val="en-US"/>
              </w:rPr>
            </w:pPr>
            <w:r w:rsidRPr="00A4272B">
              <w:rPr>
                <w:color w:val="000000"/>
                <w:sz w:val="14"/>
                <w:szCs w:val="14"/>
                <w:lang w:val="en-US"/>
              </w:rPr>
              <w:t>-2.593833</w:t>
            </w:r>
          </w:p>
        </w:tc>
        <w:tc>
          <w:tcPr>
            <w:tcW w:w="998" w:type="dxa"/>
            <w:noWrap/>
            <w:vAlign w:val="center"/>
            <w:hideMark/>
          </w:tcPr>
          <w:p w14:paraId="5B42F64D" w14:textId="77777777" w:rsidR="00F3536C" w:rsidRPr="00A4272B" w:rsidRDefault="00F3536C" w:rsidP="00A41632">
            <w:pPr>
              <w:jc w:val="right"/>
              <w:rPr>
                <w:color w:val="000000"/>
                <w:sz w:val="14"/>
                <w:szCs w:val="14"/>
                <w:lang w:val="en-US"/>
              </w:rPr>
            </w:pPr>
            <w:r w:rsidRPr="00A4272B">
              <w:rPr>
                <w:color w:val="000000"/>
                <w:sz w:val="14"/>
                <w:szCs w:val="14"/>
                <w:lang w:val="en-US"/>
              </w:rPr>
              <w:t>-44.211111</w:t>
            </w:r>
          </w:p>
        </w:tc>
        <w:tc>
          <w:tcPr>
            <w:tcW w:w="859" w:type="dxa"/>
            <w:tcBorders>
              <w:top w:val="nil"/>
              <w:left w:val="nil"/>
              <w:right w:val="single" w:sz="8" w:space="0" w:color="auto"/>
            </w:tcBorders>
            <w:noWrap/>
            <w:vAlign w:val="center"/>
            <w:hideMark/>
          </w:tcPr>
          <w:p w14:paraId="32EFC2B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30D98AF"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BA73FE0"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A4A471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1E9651F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7D2457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right w:val="single" w:sz="8" w:space="0" w:color="auto"/>
            </w:tcBorders>
            <w:noWrap/>
            <w:vAlign w:val="center"/>
            <w:hideMark/>
          </w:tcPr>
          <w:p w14:paraId="28BEF76A"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37FAC2FA" w14:textId="77777777" w:rsidTr="00F006B1">
        <w:trPr>
          <w:trHeight w:val="276"/>
          <w:jc w:val="center"/>
        </w:trPr>
        <w:tc>
          <w:tcPr>
            <w:tcW w:w="955" w:type="dxa"/>
            <w:tcBorders>
              <w:top w:val="nil"/>
              <w:left w:val="single" w:sz="8" w:space="0" w:color="auto"/>
              <w:bottom w:val="single" w:sz="4" w:space="0" w:color="auto"/>
              <w:right w:val="nil"/>
            </w:tcBorders>
            <w:noWrap/>
            <w:vAlign w:val="center"/>
            <w:hideMark/>
          </w:tcPr>
          <w:p w14:paraId="7805EDCF"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tcBorders>
              <w:bottom w:val="single" w:sz="4" w:space="0" w:color="auto"/>
            </w:tcBorders>
            <w:noWrap/>
            <w:vAlign w:val="center"/>
            <w:hideMark/>
          </w:tcPr>
          <w:p w14:paraId="16810CF2"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tcBorders>
              <w:bottom w:val="single" w:sz="4" w:space="0" w:color="auto"/>
            </w:tcBorders>
            <w:noWrap/>
            <w:vAlign w:val="center"/>
            <w:hideMark/>
          </w:tcPr>
          <w:p w14:paraId="6FDA655F" w14:textId="77777777" w:rsidR="00F3536C" w:rsidRPr="00A4272B" w:rsidRDefault="00F3536C" w:rsidP="00A41632">
            <w:pPr>
              <w:rPr>
                <w:color w:val="000000"/>
                <w:sz w:val="14"/>
                <w:szCs w:val="14"/>
                <w:lang w:val="en-US"/>
              </w:rPr>
            </w:pPr>
            <w:r w:rsidRPr="00A4272B">
              <w:rPr>
                <w:color w:val="000000"/>
                <w:sz w:val="14"/>
                <w:szCs w:val="14"/>
                <w:lang w:val="en-US"/>
              </w:rPr>
              <w:t>São Pedro &amp; São Paulo Archipelago</w:t>
            </w:r>
          </w:p>
        </w:tc>
        <w:tc>
          <w:tcPr>
            <w:tcW w:w="998" w:type="dxa"/>
            <w:tcBorders>
              <w:bottom w:val="single" w:sz="4" w:space="0" w:color="auto"/>
            </w:tcBorders>
            <w:noWrap/>
            <w:vAlign w:val="center"/>
            <w:hideMark/>
          </w:tcPr>
          <w:p w14:paraId="286FD5F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bottom w:val="single" w:sz="4" w:space="0" w:color="auto"/>
            </w:tcBorders>
            <w:noWrap/>
            <w:vAlign w:val="center"/>
            <w:hideMark/>
          </w:tcPr>
          <w:p w14:paraId="6570204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tcBorders>
              <w:bottom w:val="single" w:sz="4" w:space="0" w:color="auto"/>
            </w:tcBorders>
            <w:noWrap/>
            <w:vAlign w:val="center"/>
            <w:hideMark/>
          </w:tcPr>
          <w:p w14:paraId="1993ECF6" w14:textId="77777777" w:rsidR="00F3536C" w:rsidRPr="00A4272B" w:rsidRDefault="00F3536C" w:rsidP="00A41632">
            <w:pPr>
              <w:jc w:val="right"/>
              <w:rPr>
                <w:color w:val="000000"/>
                <w:sz w:val="14"/>
                <w:szCs w:val="14"/>
                <w:lang w:val="en-US"/>
              </w:rPr>
            </w:pPr>
            <w:r w:rsidRPr="00A4272B">
              <w:rPr>
                <w:color w:val="000000"/>
                <w:sz w:val="14"/>
                <w:szCs w:val="14"/>
                <w:lang w:val="en-US"/>
              </w:rPr>
              <w:t>0.959203</w:t>
            </w:r>
          </w:p>
        </w:tc>
        <w:tc>
          <w:tcPr>
            <w:tcW w:w="998" w:type="dxa"/>
            <w:tcBorders>
              <w:bottom w:val="single" w:sz="4" w:space="0" w:color="auto"/>
            </w:tcBorders>
            <w:noWrap/>
            <w:vAlign w:val="center"/>
            <w:hideMark/>
          </w:tcPr>
          <w:p w14:paraId="5AF65BAD" w14:textId="77777777" w:rsidR="00F3536C" w:rsidRPr="00A4272B" w:rsidRDefault="00F3536C" w:rsidP="00A41632">
            <w:pPr>
              <w:jc w:val="right"/>
              <w:rPr>
                <w:color w:val="000000"/>
                <w:sz w:val="14"/>
                <w:szCs w:val="14"/>
                <w:lang w:val="en-US"/>
              </w:rPr>
            </w:pPr>
            <w:r w:rsidRPr="00A4272B">
              <w:rPr>
                <w:color w:val="000000"/>
                <w:sz w:val="14"/>
                <w:szCs w:val="14"/>
                <w:lang w:val="en-US"/>
              </w:rPr>
              <w:t>-29.352500</w:t>
            </w:r>
          </w:p>
        </w:tc>
        <w:tc>
          <w:tcPr>
            <w:tcW w:w="859" w:type="dxa"/>
            <w:tcBorders>
              <w:top w:val="nil"/>
              <w:left w:val="nil"/>
              <w:bottom w:val="single" w:sz="4" w:space="0" w:color="auto"/>
              <w:right w:val="single" w:sz="8" w:space="0" w:color="auto"/>
            </w:tcBorders>
            <w:noWrap/>
            <w:vAlign w:val="center"/>
            <w:hideMark/>
          </w:tcPr>
          <w:p w14:paraId="3827F28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bottom w:val="single" w:sz="4" w:space="0" w:color="auto"/>
            </w:tcBorders>
            <w:noWrap/>
            <w:vAlign w:val="center"/>
            <w:hideMark/>
          </w:tcPr>
          <w:p w14:paraId="6F9040D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bottom w:val="single" w:sz="4" w:space="0" w:color="auto"/>
            </w:tcBorders>
            <w:noWrap/>
            <w:vAlign w:val="center"/>
            <w:hideMark/>
          </w:tcPr>
          <w:p w14:paraId="0C1383F8"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bottom w:val="single" w:sz="4" w:space="0" w:color="auto"/>
            </w:tcBorders>
            <w:noWrap/>
            <w:vAlign w:val="center"/>
            <w:hideMark/>
          </w:tcPr>
          <w:p w14:paraId="63BA864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bottom w:val="single" w:sz="4" w:space="0" w:color="auto"/>
            </w:tcBorders>
            <w:noWrap/>
            <w:vAlign w:val="center"/>
            <w:hideMark/>
          </w:tcPr>
          <w:p w14:paraId="05BD383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bottom w:val="single" w:sz="4" w:space="0" w:color="auto"/>
            </w:tcBorders>
            <w:noWrap/>
            <w:vAlign w:val="center"/>
            <w:hideMark/>
          </w:tcPr>
          <w:p w14:paraId="47217BB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single" w:sz="4" w:space="0" w:color="auto"/>
              <w:right w:val="single" w:sz="8" w:space="0" w:color="auto"/>
            </w:tcBorders>
            <w:noWrap/>
            <w:vAlign w:val="center"/>
            <w:hideMark/>
          </w:tcPr>
          <w:p w14:paraId="6A93824D"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208DD657" w14:textId="77777777" w:rsidTr="00F006B1">
        <w:trPr>
          <w:trHeight w:val="276"/>
          <w:jc w:val="center"/>
        </w:trPr>
        <w:tc>
          <w:tcPr>
            <w:tcW w:w="955" w:type="dxa"/>
            <w:tcBorders>
              <w:top w:val="single" w:sz="4" w:space="0" w:color="auto"/>
              <w:left w:val="single" w:sz="8" w:space="0" w:color="auto"/>
              <w:bottom w:val="nil"/>
              <w:right w:val="nil"/>
            </w:tcBorders>
            <w:noWrap/>
            <w:vAlign w:val="center"/>
            <w:hideMark/>
          </w:tcPr>
          <w:p w14:paraId="2A16C617"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tcBorders>
              <w:top w:val="single" w:sz="4" w:space="0" w:color="auto"/>
            </w:tcBorders>
            <w:noWrap/>
            <w:vAlign w:val="center"/>
            <w:hideMark/>
          </w:tcPr>
          <w:p w14:paraId="46BA2EF5"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tcBorders>
              <w:top w:val="single" w:sz="4" w:space="0" w:color="auto"/>
            </w:tcBorders>
            <w:noWrap/>
            <w:vAlign w:val="center"/>
            <w:hideMark/>
          </w:tcPr>
          <w:p w14:paraId="6FA8353B" w14:textId="77777777" w:rsidR="00F3536C" w:rsidRPr="00A4272B" w:rsidRDefault="00F3536C" w:rsidP="00A41632">
            <w:pPr>
              <w:rPr>
                <w:color w:val="000000"/>
                <w:sz w:val="14"/>
                <w:szCs w:val="14"/>
                <w:lang w:val="en-US"/>
              </w:rPr>
            </w:pPr>
            <w:r w:rsidRPr="00A4272B">
              <w:rPr>
                <w:color w:val="000000"/>
                <w:sz w:val="14"/>
                <w:szCs w:val="14"/>
                <w:lang w:val="en-US"/>
              </w:rPr>
              <w:t>Souré, PA</w:t>
            </w:r>
          </w:p>
        </w:tc>
        <w:tc>
          <w:tcPr>
            <w:tcW w:w="998" w:type="dxa"/>
            <w:tcBorders>
              <w:top w:val="single" w:sz="4" w:space="0" w:color="auto"/>
            </w:tcBorders>
            <w:noWrap/>
            <w:vAlign w:val="center"/>
            <w:hideMark/>
          </w:tcPr>
          <w:p w14:paraId="230F1C8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tcBorders>
              <w:top w:val="single" w:sz="4" w:space="0" w:color="auto"/>
            </w:tcBorders>
            <w:noWrap/>
            <w:vAlign w:val="center"/>
            <w:hideMark/>
          </w:tcPr>
          <w:p w14:paraId="15C6703D"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tcBorders>
              <w:top w:val="single" w:sz="4" w:space="0" w:color="auto"/>
            </w:tcBorders>
            <w:noWrap/>
            <w:vAlign w:val="center"/>
            <w:hideMark/>
          </w:tcPr>
          <w:p w14:paraId="78CC9E09" w14:textId="77777777" w:rsidR="00F3536C" w:rsidRPr="00A4272B" w:rsidRDefault="00F3536C" w:rsidP="00A41632">
            <w:pPr>
              <w:jc w:val="right"/>
              <w:rPr>
                <w:color w:val="000000"/>
                <w:sz w:val="14"/>
                <w:szCs w:val="14"/>
                <w:lang w:val="en-US"/>
              </w:rPr>
            </w:pPr>
            <w:r w:rsidRPr="00A4272B">
              <w:rPr>
                <w:color w:val="000000"/>
                <w:sz w:val="14"/>
                <w:szCs w:val="14"/>
                <w:lang w:val="en-US"/>
              </w:rPr>
              <w:t>-0.695086</w:t>
            </w:r>
          </w:p>
        </w:tc>
        <w:tc>
          <w:tcPr>
            <w:tcW w:w="998" w:type="dxa"/>
            <w:tcBorders>
              <w:top w:val="single" w:sz="4" w:space="0" w:color="auto"/>
            </w:tcBorders>
            <w:noWrap/>
            <w:vAlign w:val="center"/>
            <w:hideMark/>
          </w:tcPr>
          <w:p w14:paraId="5CD7C338" w14:textId="77777777" w:rsidR="00F3536C" w:rsidRPr="00A4272B" w:rsidRDefault="00F3536C" w:rsidP="00A41632">
            <w:pPr>
              <w:jc w:val="right"/>
              <w:rPr>
                <w:color w:val="000000"/>
                <w:sz w:val="14"/>
                <w:szCs w:val="14"/>
                <w:lang w:val="en-US"/>
              </w:rPr>
            </w:pPr>
            <w:r w:rsidRPr="00A4272B">
              <w:rPr>
                <w:color w:val="000000"/>
                <w:sz w:val="14"/>
                <w:szCs w:val="14"/>
                <w:lang w:val="en-US"/>
              </w:rPr>
              <w:t>-48.496389</w:t>
            </w:r>
          </w:p>
        </w:tc>
        <w:tc>
          <w:tcPr>
            <w:tcW w:w="859" w:type="dxa"/>
            <w:tcBorders>
              <w:top w:val="single" w:sz="4" w:space="0" w:color="auto"/>
              <w:left w:val="nil"/>
              <w:bottom w:val="nil"/>
              <w:right w:val="single" w:sz="8" w:space="0" w:color="auto"/>
            </w:tcBorders>
            <w:noWrap/>
            <w:vAlign w:val="center"/>
            <w:hideMark/>
          </w:tcPr>
          <w:p w14:paraId="5C69103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single" w:sz="4" w:space="0" w:color="auto"/>
            </w:tcBorders>
            <w:noWrap/>
            <w:vAlign w:val="center"/>
            <w:hideMark/>
          </w:tcPr>
          <w:p w14:paraId="45A0C64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single" w:sz="4" w:space="0" w:color="auto"/>
            </w:tcBorders>
            <w:noWrap/>
            <w:vAlign w:val="center"/>
            <w:hideMark/>
          </w:tcPr>
          <w:p w14:paraId="43E394FE"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single" w:sz="4" w:space="0" w:color="auto"/>
            </w:tcBorders>
            <w:noWrap/>
            <w:vAlign w:val="center"/>
            <w:hideMark/>
          </w:tcPr>
          <w:p w14:paraId="0CD7B02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single" w:sz="4" w:space="0" w:color="auto"/>
            </w:tcBorders>
            <w:noWrap/>
            <w:vAlign w:val="center"/>
            <w:hideMark/>
          </w:tcPr>
          <w:p w14:paraId="498CFCB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top w:val="single" w:sz="4" w:space="0" w:color="auto"/>
            </w:tcBorders>
            <w:noWrap/>
            <w:vAlign w:val="center"/>
            <w:hideMark/>
          </w:tcPr>
          <w:p w14:paraId="40C7D5B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single" w:sz="4" w:space="0" w:color="auto"/>
              <w:left w:val="nil"/>
              <w:bottom w:val="nil"/>
              <w:right w:val="single" w:sz="8" w:space="0" w:color="auto"/>
            </w:tcBorders>
            <w:noWrap/>
            <w:vAlign w:val="center"/>
            <w:hideMark/>
          </w:tcPr>
          <w:p w14:paraId="4D5DBFA4"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52342E55" w14:textId="77777777" w:rsidTr="00A41632">
        <w:trPr>
          <w:trHeight w:val="276"/>
          <w:jc w:val="center"/>
        </w:trPr>
        <w:tc>
          <w:tcPr>
            <w:tcW w:w="955" w:type="dxa"/>
            <w:tcBorders>
              <w:top w:val="nil"/>
              <w:left w:val="single" w:sz="8" w:space="0" w:color="auto"/>
              <w:bottom w:val="nil"/>
              <w:right w:val="nil"/>
            </w:tcBorders>
            <w:noWrap/>
            <w:vAlign w:val="center"/>
            <w:hideMark/>
          </w:tcPr>
          <w:p w14:paraId="7C648053"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369BDD40"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483A5B6" w14:textId="77777777" w:rsidR="00F3536C" w:rsidRPr="00A4272B" w:rsidRDefault="00F3536C" w:rsidP="00A41632">
            <w:pPr>
              <w:rPr>
                <w:color w:val="000000"/>
                <w:sz w:val="14"/>
                <w:szCs w:val="14"/>
                <w:lang w:val="en-US"/>
              </w:rPr>
            </w:pPr>
            <w:r w:rsidRPr="00A4272B">
              <w:rPr>
                <w:color w:val="000000"/>
                <w:sz w:val="14"/>
                <w:szCs w:val="14"/>
                <w:lang w:val="en-US"/>
              </w:rPr>
              <w:t>Trindade Island</w:t>
            </w:r>
          </w:p>
        </w:tc>
        <w:tc>
          <w:tcPr>
            <w:tcW w:w="998" w:type="dxa"/>
            <w:noWrap/>
            <w:vAlign w:val="center"/>
            <w:hideMark/>
          </w:tcPr>
          <w:p w14:paraId="1978F935" w14:textId="77777777" w:rsidR="00F3536C" w:rsidRPr="00A4272B" w:rsidRDefault="00F3536C" w:rsidP="00A41632">
            <w:pPr>
              <w:jc w:val="center"/>
              <w:rPr>
                <w:color w:val="000000"/>
                <w:sz w:val="14"/>
                <w:szCs w:val="14"/>
                <w:lang w:val="en-US"/>
              </w:rPr>
            </w:pPr>
            <w:r w:rsidRPr="00A4272B">
              <w:rPr>
                <w:color w:val="000000"/>
                <w:sz w:val="14"/>
                <w:szCs w:val="14"/>
                <w:lang w:val="en-US"/>
              </w:rPr>
              <w:t>59</w:t>
            </w:r>
          </w:p>
        </w:tc>
        <w:tc>
          <w:tcPr>
            <w:tcW w:w="1342" w:type="dxa"/>
            <w:noWrap/>
            <w:vAlign w:val="center"/>
            <w:hideMark/>
          </w:tcPr>
          <w:p w14:paraId="50FD21A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A019EE6" w14:textId="77777777" w:rsidR="00F3536C" w:rsidRPr="00A4272B" w:rsidRDefault="00F3536C" w:rsidP="00A41632">
            <w:pPr>
              <w:jc w:val="right"/>
              <w:rPr>
                <w:color w:val="000000"/>
                <w:sz w:val="14"/>
                <w:szCs w:val="14"/>
                <w:lang w:val="en-US"/>
              </w:rPr>
            </w:pPr>
            <w:r w:rsidRPr="00A4272B">
              <w:rPr>
                <w:color w:val="000000"/>
                <w:sz w:val="14"/>
                <w:szCs w:val="14"/>
                <w:lang w:val="en-US"/>
              </w:rPr>
              <w:t>-20.508140</w:t>
            </w:r>
          </w:p>
        </w:tc>
        <w:tc>
          <w:tcPr>
            <w:tcW w:w="998" w:type="dxa"/>
            <w:noWrap/>
            <w:vAlign w:val="center"/>
            <w:hideMark/>
          </w:tcPr>
          <w:p w14:paraId="4B39A81C" w14:textId="77777777" w:rsidR="00F3536C" w:rsidRPr="00A4272B" w:rsidRDefault="00F3536C" w:rsidP="00A41632">
            <w:pPr>
              <w:jc w:val="right"/>
              <w:rPr>
                <w:color w:val="000000"/>
                <w:sz w:val="14"/>
                <w:szCs w:val="14"/>
                <w:lang w:val="en-US"/>
              </w:rPr>
            </w:pPr>
            <w:r w:rsidRPr="00A4272B">
              <w:rPr>
                <w:color w:val="000000"/>
                <w:sz w:val="14"/>
                <w:szCs w:val="14"/>
                <w:lang w:val="en-US"/>
              </w:rPr>
              <w:t>-29.312140</w:t>
            </w:r>
          </w:p>
        </w:tc>
        <w:tc>
          <w:tcPr>
            <w:tcW w:w="859" w:type="dxa"/>
            <w:tcBorders>
              <w:top w:val="nil"/>
              <w:left w:val="nil"/>
              <w:bottom w:val="nil"/>
              <w:right w:val="single" w:sz="8" w:space="0" w:color="auto"/>
            </w:tcBorders>
            <w:noWrap/>
            <w:vAlign w:val="center"/>
            <w:hideMark/>
          </w:tcPr>
          <w:p w14:paraId="7DF309B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FC9BA7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2903CF49"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233EBD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CEAE25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09FA9BB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E33BF06"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3355B9F1" w14:textId="77777777" w:rsidTr="00A41632">
        <w:trPr>
          <w:trHeight w:val="276"/>
          <w:jc w:val="center"/>
        </w:trPr>
        <w:tc>
          <w:tcPr>
            <w:tcW w:w="955" w:type="dxa"/>
            <w:tcBorders>
              <w:top w:val="nil"/>
              <w:left w:val="single" w:sz="8" w:space="0" w:color="auto"/>
              <w:bottom w:val="nil"/>
              <w:right w:val="nil"/>
            </w:tcBorders>
            <w:noWrap/>
            <w:vAlign w:val="center"/>
            <w:hideMark/>
          </w:tcPr>
          <w:p w14:paraId="36E2551C"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3E7F208" w14:textId="77777777" w:rsidR="00F3536C" w:rsidRPr="00A4272B" w:rsidRDefault="00F3536C" w:rsidP="00A41632">
            <w:pPr>
              <w:rPr>
                <w:color w:val="000000"/>
                <w:sz w:val="14"/>
                <w:szCs w:val="14"/>
                <w:lang w:val="en-US"/>
              </w:rPr>
            </w:pPr>
            <w:r w:rsidRPr="00A4272B">
              <w:rPr>
                <w:color w:val="000000"/>
                <w:sz w:val="14"/>
                <w:szCs w:val="14"/>
                <w:lang w:val="en-US"/>
              </w:rPr>
              <w:t>Brazil</w:t>
            </w:r>
          </w:p>
        </w:tc>
        <w:tc>
          <w:tcPr>
            <w:tcW w:w="2504" w:type="dxa"/>
            <w:noWrap/>
            <w:vAlign w:val="center"/>
            <w:hideMark/>
          </w:tcPr>
          <w:p w14:paraId="143CF51A" w14:textId="77777777" w:rsidR="00F3536C" w:rsidRPr="00A4272B" w:rsidRDefault="00F3536C" w:rsidP="00A41632">
            <w:pPr>
              <w:rPr>
                <w:color w:val="000000"/>
                <w:sz w:val="14"/>
                <w:szCs w:val="14"/>
                <w:lang w:val="en-US"/>
              </w:rPr>
            </w:pPr>
            <w:r w:rsidRPr="00A4272B">
              <w:rPr>
                <w:color w:val="000000"/>
                <w:sz w:val="14"/>
                <w:szCs w:val="14"/>
                <w:lang w:val="en-US"/>
              </w:rPr>
              <w:t>Vitória, ES</w:t>
            </w:r>
          </w:p>
        </w:tc>
        <w:tc>
          <w:tcPr>
            <w:tcW w:w="998" w:type="dxa"/>
            <w:noWrap/>
            <w:vAlign w:val="center"/>
            <w:hideMark/>
          </w:tcPr>
          <w:p w14:paraId="019391E8" w14:textId="77777777" w:rsidR="00F3536C" w:rsidRPr="00A4272B" w:rsidRDefault="00F3536C" w:rsidP="00A41632">
            <w:pPr>
              <w:jc w:val="center"/>
              <w:rPr>
                <w:color w:val="000000"/>
                <w:sz w:val="14"/>
                <w:szCs w:val="14"/>
                <w:lang w:val="en-US"/>
              </w:rPr>
            </w:pPr>
            <w:r w:rsidRPr="00A4272B">
              <w:rPr>
                <w:color w:val="000000"/>
                <w:sz w:val="14"/>
                <w:szCs w:val="14"/>
                <w:lang w:val="en-US"/>
              </w:rPr>
              <w:t>21</w:t>
            </w:r>
          </w:p>
        </w:tc>
        <w:tc>
          <w:tcPr>
            <w:tcW w:w="1342" w:type="dxa"/>
            <w:noWrap/>
            <w:vAlign w:val="center"/>
            <w:hideMark/>
          </w:tcPr>
          <w:p w14:paraId="1551323F"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670160DE" w14:textId="77777777" w:rsidR="00F3536C" w:rsidRPr="00A4272B" w:rsidRDefault="00F3536C" w:rsidP="00A41632">
            <w:pPr>
              <w:jc w:val="right"/>
              <w:rPr>
                <w:color w:val="000000"/>
                <w:sz w:val="14"/>
                <w:szCs w:val="14"/>
                <w:lang w:val="en-US"/>
              </w:rPr>
            </w:pPr>
            <w:r w:rsidRPr="00A4272B">
              <w:rPr>
                <w:color w:val="000000"/>
                <w:sz w:val="14"/>
                <w:szCs w:val="14"/>
                <w:lang w:val="en-US"/>
              </w:rPr>
              <w:t>-20.292603</w:t>
            </w:r>
          </w:p>
        </w:tc>
        <w:tc>
          <w:tcPr>
            <w:tcW w:w="998" w:type="dxa"/>
            <w:noWrap/>
            <w:vAlign w:val="center"/>
            <w:hideMark/>
          </w:tcPr>
          <w:p w14:paraId="3AEE2304" w14:textId="77777777" w:rsidR="00F3536C" w:rsidRPr="00A4272B" w:rsidRDefault="00F3536C" w:rsidP="00A41632">
            <w:pPr>
              <w:jc w:val="right"/>
              <w:rPr>
                <w:color w:val="000000"/>
                <w:sz w:val="14"/>
                <w:szCs w:val="14"/>
                <w:lang w:val="en-US"/>
              </w:rPr>
            </w:pPr>
            <w:r w:rsidRPr="00A4272B">
              <w:rPr>
                <w:color w:val="000000"/>
                <w:sz w:val="14"/>
                <w:szCs w:val="14"/>
                <w:lang w:val="en-US"/>
              </w:rPr>
              <w:t>-40.296111</w:t>
            </w:r>
          </w:p>
        </w:tc>
        <w:tc>
          <w:tcPr>
            <w:tcW w:w="859" w:type="dxa"/>
            <w:tcBorders>
              <w:top w:val="nil"/>
              <w:left w:val="nil"/>
              <w:bottom w:val="nil"/>
              <w:right w:val="single" w:sz="8" w:space="0" w:color="auto"/>
            </w:tcBorders>
            <w:noWrap/>
            <w:vAlign w:val="center"/>
            <w:hideMark/>
          </w:tcPr>
          <w:p w14:paraId="5CC2241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EEEBBA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7A1CBD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515A63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A972F4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4FE7F3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262CCC0"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347C23FF" w14:textId="77777777" w:rsidTr="00A41632">
        <w:trPr>
          <w:trHeight w:val="276"/>
          <w:jc w:val="center"/>
        </w:trPr>
        <w:tc>
          <w:tcPr>
            <w:tcW w:w="955" w:type="dxa"/>
            <w:tcBorders>
              <w:top w:val="nil"/>
              <w:left w:val="single" w:sz="8" w:space="0" w:color="auto"/>
              <w:bottom w:val="nil"/>
              <w:right w:val="nil"/>
            </w:tcBorders>
            <w:noWrap/>
            <w:vAlign w:val="center"/>
            <w:hideMark/>
          </w:tcPr>
          <w:p w14:paraId="7ACB245F"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5E3F37D6" w14:textId="77777777" w:rsidR="00F3536C" w:rsidRPr="00A4272B" w:rsidRDefault="00F3536C" w:rsidP="00A41632">
            <w:pPr>
              <w:rPr>
                <w:color w:val="000000"/>
                <w:sz w:val="14"/>
                <w:szCs w:val="14"/>
                <w:lang w:val="en-US"/>
              </w:rPr>
            </w:pPr>
            <w:r w:rsidRPr="00A4272B">
              <w:rPr>
                <w:color w:val="000000"/>
                <w:sz w:val="14"/>
                <w:szCs w:val="14"/>
                <w:lang w:val="en-US"/>
              </w:rPr>
              <w:t>Bolivia</w:t>
            </w:r>
          </w:p>
        </w:tc>
        <w:tc>
          <w:tcPr>
            <w:tcW w:w="2504" w:type="dxa"/>
            <w:noWrap/>
            <w:vAlign w:val="center"/>
            <w:hideMark/>
          </w:tcPr>
          <w:p w14:paraId="3A4DF92A" w14:textId="77777777" w:rsidR="00F3536C" w:rsidRPr="00A4272B" w:rsidRDefault="00F3536C" w:rsidP="00A41632">
            <w:pPr>
              <w:rPr>
                <w:color w:val="000000"/>
                <w:sz w:val="14"/>
                <w:szCs w:val="14"/>
                <w:lang w:val="en-US"/>
              </w:rPr>
            </w:pPr>
            <w:r w:rsidRPr="00A4272B">
              <w:rPr>
                <w:color w:val="000000"/>
                <w:sz w:val="14"/>
                <w:szCs w:val="14"/>
                <w:lang w:val="en-US"/>
              </w:rPr>
              <w:t>Chacaltaya</w:t>
            </w:r>
          </w:p>
        </w:tc>
        <w:tc>
          <w:tcPr>
            <w:tcW w:w="998" w:type="dxa"/>
            <w:noWrap/>
            <w:vAlign w:val="center"/>
            <w:hideMark/>
          </w:tcPr>
          <w:p w14:paraId="5C5C93BA" w14:textId="77777777" w:rsidR="00F3536C" w:rsidRPr="00A4272B" w:rsidRDefault="00F3536C" w:rsidP="00A41632">
            <w:pPr>
              <w:jc w:val="center"/>
              <w:rPr>
                <w:color w:val="000000"/>
                <w:sz w:val="14"/>
                <w:szCs w:val="14"/>
                <w:lang w:val="en-US"/>
              </w:rPr>
            </w:pPr>
            <w:r w:rsidRPr="00A4272B">
              <w:rPr>
                <w:color w:val="000000"/>
                <w:sz w:val="14"/>
                <w:szCs w:val="14"/>
                <w:lang w:val="en-US"/>
              </w:rPr>
              <w:t>27</w:t>
            </w:r>
          </w:p>
        </w:tc>
        <w:tc>
          <w:tcPr>
            <w:tcW w:w="1342" w:type="dxa"/>
            <w:noWrap/>
            <w:vAlign w:val="center"/>
            <w:hideMark/>
          </w:tcPr>
          <w:p w14:paraId="669C2DB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093D6CD" w14:textId="77777777" w:rsidR="00F3536C" w:rsidRPr="00A4272B" w:rsidRDefault="00F3536C" w:rsidP="00A41632">
            <w:pPr>
              <w:jc w:val="right"/>
              <w:rPr>
                <w:color w:val="000000"/>
                <w:sz w:val="14"/>
                <w:szCs w:val="14"/>
                <w:lang w:val="en-US"/>
              </w:rPr>
            </w:pPr>
            <w:r w:rsidRPr="00A4272B">
              <w:rPr>
                <w:color w:val="000000"/>
                <w:sz w:val="14"/>
                <w:szCs w:val="14"/>
                <w:lang w:val="en-US"/>
              </w:rPr>
              <w:t>-16.350356</w:t>
            </w:r>
          </w:p>
        </w:tc>
        <w:tc>
          <w:tcPr>
            <w:tcW w:w="998" w:type="dxa"/>
            <w:noWrap/>
            <w:vAlign w:val="center"/>
            <w:hideMark/>
          </w:tcPr>
          <w:p w14:paraId="12A424DB" w14:textId="77777777" w:rsidR="00F3536C" w:rsidRPr="00A4272B" w:rsidRDefault="00F3536C" w:rsidP="00A41632">
            <w:pPr>
              <w:jc w:val="right"/>
              <w:rPr>
                <w:color w:val="000000"/>
                <w:sz w:val="14"/>
                <w:szCs w:val="14"/>
                <w:lang w:val="en-US"/>
              </w:rPr>
            </w:pPr>
            <w:r w:rsidRPr="00A4272B">
              <w:rPr>
                <w:color w:val="000000"/>
                <w:sz w:val="14"/>
                <w:szCs w:val="14"/>
                <w:lang w:val="en-US"/>
              </w:rPr>
              <w:t>-68.131667</w:t>
            </w:r>
          </w:p>
        </w:tc>
        <w:tc>
          <w:tcPr>
            <w:tcW w:w="859" w:type="dxa"/>
            <w:tcBorders>
              <w:top w:val="nil"/>
              <w:left w:val="nil"/>
              <w:bottom w:val="nil"/>
              <w:right w:val="single" w:sz="8" w:space="0" w:color="auto"/>
            </w:tcBorders>
            <w:noWrap/>
            <w:vAlign w:val="center"/>
            <w:hideMark/>
          </w:tcPr>
          <w:p w14:paraId="3E26A9B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C4AC31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0B2B9790"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2621DF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925795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DAC867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EAFAC91"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4F1934D7" w14:textId="77777777" w:rsidTr="00A41632">
        <w:trPr>
          <w:trHeight w:val="276"/>
          <w:jc w:val="center"/>
        </w:trPr>
        <w:tc>
          <w:tcPr>
            <w:tcW w:w="955" w:type="dxa"/>
            <w:tcBorders>
              <w:top w:val="nil"/>
              <w:left w:val="single" w:sz="8" w:space="0" w:color="auto"/>
              <w:bottom w:val="nil"/>
              <w:right w:val="nil"/>
            </w:tcBorders>
            <w:noWrap/>
            <w:vAlign w:val="center"/>
            <w:hideMark/>
          </w:tcPr>
          <w:p w14:paraId="197DC814"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97163F6"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5E148CC9" w14:textId="77777777" w:rsidR="00F3536C" w:rsidRPr="00A4272B" w:rsidRDefault="00F3536C" w:rsidP="00A41632">
            <w:pPr>
              <w:rPr>
                <w:color w:val="000000"/>
                <w:sz w:val="14"/>
                <w:szCs w:val="14"/>
                <w:lang w:val="en-US"/>
              </w:rPr>
            </w:pPr>
            <w:r w:rsidRPr="00A4272B">
              <w:rPr>
                <w:color w:val="000000"/>
                <w:sz w:val="14"/>
                <w:szCs w:val="14"/>
                <w:lang w:val="en-US"/>
              </w:rPr>
              <w:t>Concepcion</w:t>
            </w:r>
          </w:p>
        </w:tc>
        <w:tc>
          <w:tcPr>
            <w:tcW w:w="998" w:type="dxa"/>
            <w:noWrap/>
            <w:vAlign w:val="center"/>
            <w:hideMark/>
          </w:tcPr>
          <w:p w14:paraId="5569F29B" w14:textId="77777777" w:rsidR="00F3536C" w:rsidRPr="00A4272B" w:rsidRDefault="00F3536C" w:rsidP="00A41632">
            <w:pPr>
              <w:jc w:val="center"/>
              <w:rPr>
                <w:color w:val="000000"/>
                <w:sz w:val="14"/>
                <w:szCs w:val="14"/>
                <w:lang w:val="en-US"/>
              </w:rPr>
            </w:pPr>
            <w:r w:rsidRPr="00A4272B">
              <w:rPr>
                <w:color w:val="000000"/>
                <w:sz w:val="14"/>
                <w:szCs w:val="14"/>
                <w:lang w:val="en-US"/>
              </w:rPr>
              <w:t>36</w:t>
            </w:r>
          </w:p>
        </w:tc>
        <w:tc>
          <w:tcPr>
            <w:tcW w:w="1342" w:type="dxa"/>
            <w:noWrap/>
            <w:vAlign w:val="center"/>
            <w:hideMark/>
          </w:tcPr>
          <w:p w14:paraId="5C8CFA40"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27695034" w14:textId="77777777" w:rsidR="00F3536C" w:rsidRPr="00A4272B" w:rsidRDefault="00F3536C" w:rsidP="00A41632">
            <w:pPr>
              <w:jc w:val="right"/>
              <w:rPr>
                <w:color w:val="000000"/>
                <w:sz w:val="14"/>
                <w:szCs w:val="14"/>
                <w:lang w:val="en-US"/>
              </w:rPr>
            </w:pPr>
            <w:r w:rsidRPr="00A4272B">
              <w:rPr>
                <w:color w:val="000000"/>
                <w:sz w:val="14"/>
                <w:szCs w:val="14"/>
                <w:lang w:val="en-US"/>
              </w:rPr>
              <w:t>-36.857950</w:t>
            </w:r>
          </w:p>
        </w:tc>
        <w:tc>
          <w:tcPr>
            <w:tcW w:w="998" w:type="dxa"/>
            <w:noWrap/>
            <w:vAlign w:val="center"/>
            <w:hideMark/>
          </w:tcPr>
          <w:p w14:paraId="0E36A466" w14:textId="77777777" w:rsidR="00F3536C" w:rsidRPr="00A4272B" w:rsidRDefault="00F3536C" w:rsidP="00A41632">
            <w:pPr>
              <w:jc w:val="right"/>
              <w:rPr>
                <w:color w:val="000000"/>
                <w:sz w:val="14"/>
                <w:szCs w:val="14"/>
                <w:lang w:val="en-US"/>
              </w:rPr>
            </w:pPr>
            <w:r w:rsidRPr="00A4272B">
              <w:rPr>
                <w:color w:val="000000"/>
                <w:sz w:val="14"/>
                <w:szCs w:val="14"/>
                <w:lang w:val="en-US"/>
              </w:rPr>
              <w:t>-72.948333</w:t>
            </w:r>
          </w:p>
        </w:tc>
        <w:tc>
          <w:tcPr>
            <w:tcW w:w="859" w:type="dxa"/>
            <w:tcBorders>
              <w:top w:val="nil"/>
              <w:left w:val="nil"/>
              <w:bottom w:val="nil"/>
              <w:right w:val="single" w:sz="8" w:space="0" w:color="auto"/>
            </w:tcBorders>
            <w:noWrap/>
            <w:vAlign w:val="center"/>
            <w:hideMark/>
          </w:tcPr>
          <w:p w14:paraId="614D97C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8C5568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5958F0D"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159DB21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DC5604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80AD09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1F214EA" w14:textId="77777777" w:rsidR="00F3536C" w:rsidRPr="00A4272B" w:rsidRDefault="00F3536C" w:rsidP="00A41632">
            <w:pPr>
              <w:jc w:val="center"/>
              <w:rPr>
                <w:sz w:val="14"/>
                <w:szCs w:val="14"/>
                <w:lang w:val="en-US"/>
              </w:rPr>
            </w:pPr>
            <w:r w:rsidRPr="00A4272B">
              <w:rPr>
                <w:sz w:val="14"/>
                <w:szCs w:val="14"/>
                <w:lang w:val="en-US"/>
              </w:rPr>
              <w:t>2014</w:t>
            </w:r>
          </w:p>
        </w:tc>
      </w:tr>
      <w:tr w:rsidR="00F3536C" w:rsidRPr="00A4272B" w14:paraId="6E2A1185" w14:textId="77777777" w:rsidTr="00A41632">
        <w:trPr>
          <w:trHeight w:val="276"/>
          <w:jc w:val="center"/>
        </w:trPr>
        <w:tc>
          <w:tcPr>
            <w:tcW w:w="955" w:type="dxa"/>
            <w:tcBorders>
              <w:top w:val="nil"/>
              <w:left w:val="single" w:sz="8" w:space="0" w:color="auto"/>
              <w:bottom w:val="nil"/>
              <w:right w:val="nil"/>
            </w:tcBorders>
            <w:noWrap/>
            <w:vAlign w:val="center"/>
            <w:hideMark/>
          </w:tcPr>
          <w:p w14:paraId="150D0229"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F18A182"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5EF8BE0F" w14:textId="77777777" w:rsidR="00F3536C" w:rsidRPr="00A4272B" w:rsidRDefault="00F3536C" w:rsidP="00A41632">
            <w:pPr>
              <w:rPr>
                <w:color w:val="000000"/>
                <w:sz w:val="14"/>
                <w:szCs w:val="14"/>
                <w:lang w:val="en-US"/>
              </w:rPr>
            </w:pPr>
            <w:r w:rsidRPr="00A4272B">
              <w:rPr>
                <w:color w:val="000000"/>
                <w:sz w:val="14"/>
                <w:szCs w:val="14"/>
                <w:lang w:val="en-US"/>
              </w:rPr>
              <w:t>Cordilheira Darwin</w:t>
            </w:r>
          </w:p>
        </w:tc>
        <w:tc>
          <w:tcPr>
            <w:tcW w:w="998" w:type="dxa"/>
            <w:noWrap/>
            <w:vAlign w:val="center"/>
            <w:hideMark/>
          </w:tcPr>
          <w:p w14:paraId="07A02A6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2686986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1491F7CC" w14:textId="77777777" w:rsidR="00F3536C" w:rsidRPr="00A4272B" w:rsidRDefault="00F3536C" w:rsidP="00A41632">
            <w:pPr>
              <w:jc w:val="right"/>
              <w:rPr>
                <w:color w:val="000000"/>
                <w:sz w:val="14"/>
                <w:szCs w:val="14"/>
                <w:lang w:val="en-US"/>
              </w:rPr>
            </w:pPr>
            <w:r w:rsidRPr="00A4272B">
              <w:rPr>
                <w:color w:val="000000"/>
                <w:sz w:val="14"/>
                <w:szCs w:val="14"/>
                <w:lang w:val="en-US"/>
              </w:rPr>
              <w:t>-54.414400</w:t>
            </w:r>
          </w:p>
        </w:tc>
        <w:tc>
          <w:tcPr>
            <w:tcW w:w="998" w:type="dxa"/>
            <w:noWrap/>
            <w:vAlign w:val="center"/>
            <w:hideMark/>
          </w:tcPr>
          <w:p w14:paraId="3EDC060E" w14:textId="77777777" w:rsidR="00F3536C" w:rsidRPr="00A4272B" w:rsidRDefault="00F3536C" w:rsidP="00A41632">
            <w:pPr>
              <w:jc w:val="right"/>
              <w:rPr>
                <w:color w:val="000000"/>
                <w:sz w:val="14"/>
                <w:szCs w:val="14"/>
                <w:lang w:val="en-US"/>
              </w:rPr>
            </w:pPr>
            <w:r w:rsidRPr="00A4272B">
              <w:rPr>
                <w:color w:val="000000"/>
                <w:sz w:val="14"/>
                <w:szCs w:val="14"/>
                <w:lang w:val="en-US"/>
              </w:rPr>
              <w:t>-70.915556</w:t>
            </w:r>
          </w:p>
        </w:tc>
        <w:tc>
          <w:tcPr>
            <w:tcW w:w="859" w:type="dxa"/>
            <w:tcBorders>
              <w:top w:val="nil"/>
              <w:left w:val="nil"/>
              <w:bottom w:val="nil"/>
              <w:right w:val="single" w:sz="8" w:space="0" w:color="auto"/>
            </w:tcBorders>
            <w:noWrap/>
            <w:vAlign w:val="center"/>
            <w:hideMark/>
          </w:tcPr>
          <w:p w14:paraId="19E122B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CFDF2A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5534D5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7CA8D2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0969BE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CE82C0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21EF234D" w14:textId="77777777" w:rsidR="00F3536C" w:rsidRPr="00A4272B" w:rsidRDefault="00F3536C" w:rsidP="00A41632">
            <w:pPr>
              <w:jc w:val="center"/>
              <w:rPr>
                <w:sz w:val="14"/>
                <w:szCs w:val="14"/>
                <w:lang w:val="en-US"/>
              </w:rPr>
            </w:pPr>
            <w:r w:rsidRPr="00A4272B">
              <w:rPr>
                <w:sz w:val="14"/>
                <w:szCs w:val="14"/>
                <w:lang w:val="en-US"/>
              </w:rPr>
              <w:t>2016</w:t>
            </w:r>
          </w:p>
        </w:tc>
      </w:tr>
      <w:tr w:rsidR="00F3536C" w:rsidRPr="00A4272B" w14:paraId="496D19A3" w14:textId="77777777" w:rsidTr="00A41632">
        <w:trPr>
          <w:trHeight w:val="276"/>
          <w:jc w:val="center"/>
        </w:trPr>
        <w:tc>
          <w:tcPr>
            <w:tcW w:w="955" w:type="dxa"/>
            <w:tcBorders>
              <w:top w:val="nil"/>
              <w:left w:val="single" w:sz="8" w:space="0" w:color="auto"/>
              <w:bottom w:val="nil"/>
              <w:right w:val="nil"/>
            </w:tcBorders>
            <w:noWrap/>
            <w:vAlign w:val="center"/>
            <w:hideMark/>
          </w:tcPr>
          <w:p w14:paraId="5EEEFF45"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11C3DFE6"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22712843" w14:textId="77777777" w:rsidR="00F3536C" w:rsidRPr="00A4272B" w:rsidRDefault="00F3536C" w:rsidP="00A41632">
            <w:pPr>
              <w:rPr>
                <w:color w:val="000000"/>
                <w:sz w:val="14"/>
                <w:szCs w:val="14"/>
                <w:lang w:val="en-US"/>
              </w:rPr>
            </w:pPr>
            <w:r w:rsidRPr="00A4272B">
              <w:rPr>
                <w:color w:val="000000"/>
                <w:sz w:val="14"/>
                <w:szCs w:val="14"/>
                <w:lang w:val="en-US"/>
              </w:rPr>
              <w:t>Torres del Paine</w:t>
            </w:r>
          </w:p>
        </w:tc>
        <w:tc>
          <w:tcPr>
            <w:tcW w:w="998" w:type="dxa"/>
            <w:noWrap/>
            <w:vAlign w:val="center"/>
            <w:hideMark/>
          </w:tcPr>
          <w:p w14:paraId="6A226489" w14:textId="77777777" w:rsidR="00F3536C" w:rsidRPr="00A4272B" w:rsidRDefault="00F3536C" w:rsidP="00A41632">
            <w:pPr>
              <w:jc w:val="center"/>
              <w:rPr>
                <w:color w:val="000000"/>
                <w:sz w:val="14"/>
                <w:szCs w:val="14"/>
                <w:lang w:val="en-US"/>
              </w:rPr>
            </w:pPr>
            <w:r w:rsidRPr="00A4272B">
              <w:rPr>
                <w:color w:val="000000"/>
                <w:sz w:val="14"/>
                <w:szCs w:val="14"/>
                <w:lang w:val="en-US"/>
              </w:rPr>
              <w:t>66</w:t>
            </w:r>
          </w:p>
        </w:tc>
        <w:tc>
          <w:tcPr>
            <w:tcW w:w="1342" w:type="dxa"/>
            <w:noWrap/>
            <w:vAlign w:val="center"/>
            <w:hideMark/>
          </w:tcPr>
          <w:p w14:paraId="4477BF9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0FD4225" w14:textId="77777777" w:rsidR="00F3536C" w:rsidRPr="00A4272B" w:rsidRDefault="00F3536C" w:rsidP="00A41632">
            <w:pPr>
              <w:jc w:val="right"/>
              <w:rPr>
                <w:color w:val="000000"/>
                <w:sz w:val="14"/>
                <w:szCs w:val="14"/>
                <w:lang w:val="en-US"/>
              </w:rPr>
            </w:pPr>
            <w:r w:rsidRPr="00A4272B">
              <w:rPr>
                <w:color w:val="000000"/>
                <w:sz w:val="14"/>
                <w:szCs w:val="14"/>
                <w:lang w:val="en-US"/>
              </w:rPr>
              <w:t>-50.980633</w:t>
            </w:r>
          </w:p>
        </w:tc>
        <w:tc>
          <w:tcPr>
            <w:tcW w:w="998" w:type="dxa"/>
            <w:noWrap/>
            <w:vAlign w:val="center"/>
            <w:hideMark/>
          </w:tcPr>
          <w:p w14:paraId="4EDF53D1" w14:textId="77777777" w:rsidR="00F3536C" w:rsidRPr="00A4272B" w:rsidRDefault="00F3536C" w:rsidP="00A41632">
            <w:pPr>
              <w:jc w:val="right"/>
              <w:rPr>
                <w:color w:val="000000"/>
                <w:sz w:val="14"/>
                <w:szCs w:val="14"/>
                <w:lang w:val="en-US"/>
              </w:rPr>
            </w:pPr>
            <w:r w:rsidRPr="00A4272B">
              <w:rPr>
                <w:color w:val="000000"/>
                <w:sz w:val="14"/>
                <w:szCs w:val="14"/>
                <w:lang w:val="en-US"/>
              </w:rPr>
              <w:t>-73.189167</w:t>
            </w:r>
          </w:p>
        </w:tc>
        <w:tc>
          <w:tcPr>
            <w:tcW w:w="859" w:type="dxa"/>
            <w:tcBorders>
              <w:top w:val="nil"/>
              <w:left w:val="nil"/>
              <w:bottom w:val="nil"/>
              <w:right w:val="single" w:sz="8" w:space="0" w:color="auto"/>
            </w:tcBorders>
            <w:noWrap/>
            <w:vAlign w:val="center"/>
            <w:hideMark/>
          </w:tcPr>
          <w:p w14:paraId="689F529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3313B2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2B668F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AE6590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1F20DF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E0EFEA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04BDD15" w14:textId="77777777" w:rsidR="00F3536C" w:rsidRPr="00A4272B" w:rsidRDefault="00F3536C" w:rsidP="00A41632">
            <w:pPr>
              <w:jc w:val="center"/>
              <w:rPr>
                <w:sz w:val="14"/>
                <w:szCs w:val="14"/>
                <w:lang w:val="en-US"/>
              </w:rPr>
            </w:pPr>
            <w:r w:rsidRPr="00A4272B">
              <w:rPr>
                <w:sz w:val="14"/>
                <w:szCs w:val="14"/>
                <w:lang w:val="en-US"/>
              </w:rPr>
              <w:t>2016</w:t>
            </w:r>
          </w:p>
        </w:tc>
      </w:tr>
      <w:tr w:rsidR="00F3536C" w:rsidRPr="00A4272B" w14:paraId="2A677497" w14:textId="77777777" w:rsidTr="00A41632">
        <w:trPr>
          <w:trHeight w:val="276"/>
          <w:jc w:val="center"/>
        </w:trPr>
        <w:tc>
          <w:tcPr>
            <w:tcW w:w="955" w:type="dxa"/>
            <w:tcBorders>
              <w:top w:val="nil"/>
              <w:left w:val="single" w:sz="8" w:space="0" w:color="auto"/>
              <w:bottom w:val="nil"/>
              <w:right w:val="nil"/>
            </w:tcBorders>
            <w:noWrap/>
            <w:vAlign w:val="center"/>
            <w:hideMark/>
          </w:tcPr>
          <w:p w14:paraId="797D6617"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5AC2856D"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73859736" w14:textId="77777777" w:rsidR="00F3536C" w:rsidRPr="00A4272B" w:rsidRDefault="00F3536C" w:rsidP="00A41632">
            <w:pPr>
              <w:rPr>
                <w:color w:val="000000"/>
                <w:sz w:val="14"/>
                <w:szCs w:val="14"/>
                <w:lang w:val="en-US"/>
              </w:rPr>
            </w:pPr>
            <w:r w:rsidRPr="00A4272B">
              <w:rPr>
                <w:color w:val="000000"/>
                <w:sz w:val="14"/>
                <w:szCs w:val="14"/>
                <w:lang w:val="en-US"/>
              </w:rPr>
              <w:t>Antarctica</w:t>
            </w:r>
          </w:p>
        </w:tc>
        <w:tc>
          <w:tcPr>
            <w:tcW w:w="998" w:type="dxa"/>
            <w:noWrap/>
            <w:vAlign w:val="center"/>
            <w:hideMark/>
          </w:tcPr>
          <w:p w14:paraId="6706F30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0A6D3B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B153B2B" w14:textId="77777777" w:rsidR="00F3536C" w:rsidRPr="00A4272B" w:rsidRDefault="00F3536C" w:rsidP="00A41632">
            <w:pPr>
              <w:jc w:val="center"/>
              <w:rPr>
                <w:color w:val="000000"/>
                <w:sz w:val="14"/>
                <w:szCs w:val="14"/>
                <w:lang w:val="en-US"/>
              </w:rPr>
            </w:pPr>
            <w:r w:rsidRPr="00A4272B">
              <w:rPr>
                <w:color w:val="000000"/>
                <w:sz w:val="14"/>
                <w:szCs w:val="14"/>
                <w:lang w:val="en-US"/>
              </w:rPr>
              <w:t>TBD</w:t>
            </w:r>
          </w:p>
        </w:tc>
        <w:tc>
          <w:tcPr>
            <w:tcW w:w="998" w:type="dxa"/>
            <w:noWrap/>
            <w:vAlign w:val="center"/>
            <w:hideMark/>
          </w:tcPr>
          <w:p w14:paraId="288BCE18" w14:textId="77777777" w:rsidR="00F3536C" w:rsidRPr="00A4272B" w:rsidRDefault="00F3536C" w:rsidP="00A41632">
            <w:pPr>
              <w:jc w:val="center"/>
              <w:rPr>
                <w:color w:val="000000"/>
                <w:sz w:val="14"/>
                <w:szCs w:val="14"/>
                <w:lang w:val="en-US"/>
              </w:rPr>
            </w:pPr>
            <w:r w:rsidRPr="00A4272B">
              <w:rPr>
                <w:color w:val="000000"/>
                <w:sz w:val="14"/>
                <w:szCs w:val="14"/>
                <w:lang w:val="en-US"/>
              </w:rPr>
              <w:t>TBD</w:t>
            </w:r>
          </w:p>
        </w:tc>
        <w:tc>
          <w:tcPr>
            <w:tcW w:w="859" w:type="dxa"/>
            <w:tcBorders>
              <w:top w:val="nil"/>
              <w:left w:val="nil"/>
              <w:bottom w:val="nil"/>
              <w:right w:val="single" w:sz="8" w:space="0" w:color="auto"/>
            </w:tcBorders>
            <w:noWrap/>
            <w:vAlign w:val="center"/>
            <w:hideMark/>
          </w:tcPr>
          <w:p w14:paraId="166E30BC" w14:textId="77777777" w:rsidR="00F3536C" w:rsidRPr="00A4272B" w:rsidRDefault="00F3536C" w:rsidP="00A41632">
            <w:pPr>
              <w:jc w:val="center"/>
              <w:rPr>
                <w:color w:val="000000"/>
                <w:sz w:val="14"/>
                <w:szCs w:val="14"/>
                <w:lang w:val="en-US"/>
              </w:rPr>
            </w:pPr>
            <w:r w:rsidRPr="00A4272B">
              <w:rPr>
                <w:color w:val="000000"/>
                <w:sz w:val="14"/>
                <w:szCs w:val="14"/>
                <w:lang w:val="en-US"/>
              </w:rPr>
              <w:t>TBD</w:t>
            </w:r>
          </w:p>
        </w:tc>
        <w:tc>
          <w:tcPr>
            <w:tcW w:w="792" w:type="dxa"/>
            <w:noWrap/>
            <w:vAlign w:val="center"/>
            <w:hideMark/>
          </w:tcPr>
          <w:p w14:paraId="1C5050C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0368EE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815BDE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5238D1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FE9092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A109D18"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32E050D1" w14:textId="77777777" w:rsidTr="00A41632">
        <w:trPr>
          <w:trHeight w:val="276"/>
          <w:jc w:val="center"/>
        </w:trPr>
        <w:tc>
          <w:tcPr>
            <w:tcW w:w="955" w:type="dxa"/>
            <w:tcBorders>
              <w:top w:val="nil"/>
              <w:left w:val="single" w:sz="8" w:space="0" w:color="auto"/>
              <w:bottom w:val="nil"/>
              <w:right w:val="nil"/>
            </w:tcBorders>
            <w:noWrap/>
            <w:vAlign w:val="center"/>
            <w:hideMark/>
          </w:tcPr>
          <w:p w14:paraId="5DF09AA6"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7269AB51"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5ADE3A89" w14:textId="77777777" w:rsidR="00F3536C" w:rsidRPr="00A4272B" w:rsidRDefault="00F3536C" w:rsidP="00A41632">
            <w:pPr>
              <w:rPr>
                <w:color w:val="000000"/>
                <w:sz w:val="14"/>
                <w:szCs w:val="14"/>
                <w:lang w:val="en-US"/>
              </w:rPr>
            </w:pPr>
            <w:r w:rsidRPr="00A4272B">
              <w:rPr>
                <w:color w:val="000000"/>
                <w:sz w:val="14"/>
                <w:szCs w:val="14"/>
                <w:lang w:val="en-US"/>
              </w:rPr>
              <w:t>Antofagasta</w:t>
            </w:r>
          </w:p>
        </w:tc>
        <w:tc>
          <w:tcPr>
            <w:tcW w:w="998" w:type="dxa"/>
            <w:noWrap/>
            <w:vAlign w:val="center"/>
            <w:hideMark/>
          </w:tcPr>
          <w:p w14:paraId="1A787A3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AF4EDF7"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4159E4BD" w14:textId="77777777" w:rsidR="00F3536C" w:rsidRPr="00A4272B" w:rsidRDefault="00F3536C" w:rsidP="00A41632">
            <w:pPr>
              <w:jc w:val="right"/>
              <w:rPr>
                <w:color w:val="000000"/>
                <w:sz w:val="14"/>
                <w:szCs w:val="14"/>
                <w:lang w:val="en-US"/>
              </w:rPr>
            </w:pPr>
            <w:r w:rsidRPr="00A4272B">
              <w:rPr>
                <w:color w:val="000000"/>
                <w:sz w:val="14"/>
                <w:szCs w:val="14"/>
                <w:lang w:val="en-US"/>
              </w:rPr>
              <w:t>-23.613611</w:t>
            </w:r>
          </w:p>
        </w:tc>
        <w:tc>
          <w:tcPr>
            <w:tcW w:w="998" w:type="dxa"/>
            <w:noWrap/>
            <w:vAlign w:val="center"/>
            <w:hideMark/>
          </w:tcPr>
          <w:p w14:paraId="30A8EF7E" w14:textId="77777777" w:rsidR="00F3536C" w:rsidRPr="00A4272B" w:rsidRDefault="00F3536C" w:rsidP="00A41632">
            <w:pPr>
              <w:jc w:val="right"/>
              <w:rPr>
                <w:color w:val="000000"/>
                <w:sz w:val="14"/>
                <w:szCs w:val="14"/>
                <w:lang w:val="en-US"/>
              </w:rPr>
            </w:pPr>
            <w:r w:rsidRPr="00A4272B">
              <w:rPr>
                <w:color w:val="000000"/>
                <w:sz w:val="14"/>
                <w:szCs w:val="14"/>
                <w:lang w:val="en-US"/>
              </w:rPr>
              <w:t>-70.383889</w:t>
            </w:r>
          </w:p>
        </w:tc>
        <w:tc>
          <w:tcPr>
            <w:tcW w:w="859" w:type="dxa"/>
            <w:tcBorders>
              <w:top w:val="nil"/>
              <w:left w:val="nil"/>
              <w:bottom w:val="nil"/>
              <w:right w:val="single" w:sz="8" w:space="0" w:color="auto"/>
            </w:tcBorders>
            <w:noWrap/>
            <w:vAlign w:val="center"/>
            <w:hideMark/>
          </w:tcPr>
          <w:p w14:paraId="5BF87D8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6F48C3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EB32012"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8E23E7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A8217B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BD5B1A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00E625D"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021B1A77" w14:textId="77777777" w:rsidTr="00A41632">
        <w:trPr>
          <w:trHeight w:val="276"/>
          <w:jc w:val="center"/>
        </w:trPr>
        <w:tc>
          <w:tcPr>
            <w:tcW w:w="955" w:type="dxa"/>
            <w:tcBorders>
              <w:top w:val="nil"/>
              <w:left w:val="single" w:sz="8" w:space="0" w:color="auto"/>
              <w:bottom w:val="nil"/>
              <w:right w:val="nil"/>
            </w:tcBorders>
            <w:noWrap/>
            <w:vAlign w:val="center"/>
            <w:hideMark/>
          </w:tcPr>
          <w:p w14:paraId="62894341"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46E612F1"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03718AD6" w14:textId="77777777" w:rsidR="00F3536C" w:rsidRPr="00A4272B" w:rsidRDefault="00F3536C" w:rsidP="00A41632">
            <w:pPr>
              <w:rPr>
                <w:color w:val="000000"/>
                <w:sz w:val="14"/>
                <w:szCs w:val="14"/>
                <w:lang w:val="en-US"/>
              </w:rPr>
            </w:pPr>
            <w:r w:rsidRPr="00A4272B">
              <w:rPr>
                <w:color w:val="000000"/>
                <w:sz w:val="14"/>
                <w:szCs w:val="14"/>
                <w:lang w:val="en-US"/>
              </w:rPr>
              <w:t>Coyaique</w:t>
            </w:r>
          </w:p>
        </w:tc>
        <w:tc>
          <w:tcPr>
            <w:tcW w:w="998" w:type="dxa"/>
            <w:noWrap/>
            <w:vAlign w:val="center"/>
            <w:hideMark/>
          </w:tcPr>
          <w:p w14:paraId="35E7DAB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ABE169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9765C1B" w14:textId="77777777" w:rsidR="00F3536C" w:rsidRPr="00A4272B" w:rsidRDefault="00F3536C" w:rsidP="00A41632">
            <w:pPr>
              <w:jc w:val="right"/>
              <w:rPr>
                <w:color w:val="000000"/>
                <w:sz w:val="14"/>
                <w:szCs w:val="14"/>
                <w:lang w:val="en-US"/>
              </w:rPr>
            </w:pPr>
            <w:r w:rsidRPr="00A4272B">
              <w:rPr>
                <w:color w:val="000000"/>
                <w:sz w:val="14"/>
                <w:szCs w:val="14"/>
                <w:lang w:val="en-US"/>
              </w:rPr>
              <w:t>-45.578750</w:t>
            </w:r>
          </w:p>
        </w:tc>
        <w:tc>
          <w:tcPr>
            <w:tcW w:w="998" w:type="dxa"/>
            <w:noWrap/>
            <w:vAlign w:val="center"/>
            <w:hideMark/>
          </w:tcPr>
          <w:p w14:paraId="1CB82DD6" w14:textId="77777777" w:rsidR="00F3536C" w:rsidRPr="00A4272B" w:rsidRDefault="00F3536C" w:rsidP="00A41632">
            <w:pPr>
              <w:jc w:val="right"/>
              <w:rPr>
                <w:color w:val="000000"/>
                <w:sz w:val="14"/>
                <w:szCs w:val="14"/>
                <w:lang w:val="en-US"/>
              </w:rPr>
            </w:pPr>
            <w:r w:rsidRPr="00A4272B">
              <w:rPr>
                <w:color w:val="000000"/>
                <w:sz w:val="14"/>
                <w:szCs w:val="14"/>
                <w:lang w:val="en-US"/>
              </w:rPr>
              <w:t>-71.436389</w:t>
            </w:r>
          </w:p>
        </w:tc>
        <w:tc>
          <w:tcPr>
            <w:tcW w:w="859" w:type="dxa"/>
            <w:tcBorders>
              <w:top w:val="nil"/>
              <w:left w:val="nil"/>
              <w:bottom w:val="nil"/>
              <w:right w:val="single" w:sz="8" w:space="0" w:color="auto"/>
            </w:tcBorders>
            <w:noWrap/>
            <w:vAlign w:val="center"/>
            <w:hideMark/>
          </w:tcPr>
          <w:p w14:paraId="60C31CC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8347E7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0E4C2E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73169ED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5D8866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EA917A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7FC38C7"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589761F4" w14:textId="77777777" w:rsidTr="00A41632">
        <w:trPr>
          <w:trHeight w:val="276"/>
          <w:jc w:val="center"/>
        </w:trPr>
        <w:tc>
          <w:tcPr>
            <w:tcW w:w="955" w:type="dxa"/>
            <w:tcBorders>
              <w:top w:val="nil"/>
              <w:left w:val="single" w:sz="8" w:space="0" w:color="auto"/>
              <w:bottom w:val="nil"/>
              <w:right w:val="nil"/>
            </w:tcBorders>
            <w:noWrap/>
            <w:vAlign w:val="center"/>
            <w:hideMark/>
          </w:tcPr>
          <w:p w14:paraId="64D2F77B"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C6D28FE"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52CA53B1" w14:textId="77777777" w:rsidR="00F3536C" w:rsidRPr="00A4272B" w:rsidRDefault="00F3536C" w:rsidP="00A41632">
            <w:pPr>
              <w:rPr>
                <w:color w:val="000000"/>
                <w:sz w:val="14"/>
                <w:szCs w:val="14"/>
                <w:lang w:val="en-US"/>
              </w:rPr>
            </w:pPr>
            <w:r w:rsidRPr="00A4272B">
              <w:rPr>
                <w:color w:val="000000"/>
                <w:sz w:val="14"/>
                <w:szCs w:val="14"/>
                <w:lang w:val="en-US"/>
              </w:rPr>
              <w:t>Juan Fernandez Island</w:t>
            </w:r>
          </w:p>
        </w:tc>
        <w:tc>
          <w:tcPr>
            <w:tcW w:w="998" w:type="dxa"/>
            <w:noWrap/>
            <w:vAlign w:val="center"/>
            <w:hideMark/>
          </w:tcPr>
          <w:p w14:paraId="36F988B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1DFE9F0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C27EBD8" w14:textId="77777777" w:rsidR="00F3536C" w:rsidRPr="00A4272B" w:rsidRDefault="00F3536C" w:rsidP="00A41632">
            <w:pPr>
              <w:jc w:val="right"/>
              <w:rPr>
                <w:color w:val="000000"/>
                <w:sz w:val="14"/>
                <w:szCs w:val="14"/>
                <w:lang w:val="en-US"/>
              </w:rPr>
            </w:pPr>
            <w:r w:rsidRPr="00A4272B">
              <w:rPr>
                <w:color w:val="000000"/>
                <w:sz w:val="14"/>
                <w:szCs w:val="14"/>
                <w:lang w:val="en-US"/>
              </w:rPr>
              <w:t>-33.632222</w:t>
            </w:r>
          </w:p>
        </w:tc>
        <w:tc>
          <w:tcPr>
            <w:tcW w:w="998" w:type="dxa"/>
            <w:noWrap/>
            <w:vAlign w:val="center"/>
            <w:hideMark/>
          </w:tcPr>
          <w:p w14:paraId="328F9390" w14:textId="77777777" w:rsidR="00F3536C" w:rsidRPr="00A4272B" w:rsidRDefault="00F3536C" w:rsidP="00A41632">
            <w:pPr>
              <w:jc w:val="right"/>
              <w:rPr>
                <w:color w:val="000000"/>
                <w:sz w:val="14"/>
                <w:szCs w:val="14"/>
                <w:lang w:val="en-US"/>
              </w:rPr>
            </w:pPr>
            <w:r w:rsidRPr="00A4272B">
              <w:rPr>
                <w:color w:val="000000"/>
                <w:sz w:val="14"/>
                <w:szCs w:val="14"/>
                <w:lang w:val="en-US"/>
              </w:rPr>
              <w:t>-78.860556</w:t>
            </w:r>
          </w:p>
        </w:tc>
        <w:tc>
          <w:tcPr>
            <w:tcW w:w="859" w:type="dxa"/>
            <w:tcBorders>
              <w:top w:val="nil"/>
              <w:left w:val="nil"/>
              <w:bottom w:val="nil"/>
              <w:right w:val="single" w:sz="8" w:space="0" w:color="auto"/>
            </w:tcBorders>
            <w:noWrap/>
            <w:vAlign w:val="center"/>
            <w:hideMark/>
          </w:tcPr>
          <w:p w14:paraId="491CC9D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077FE5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6663E01"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B658EE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227BB8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9534B0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B71D222"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573B730C" w14:textId="77777777" w:rsidTr="00A41632">
        <w:trPr>
          <w:trHeight w:val="276"/>
          <w:jc w:val="center"/>
        </w:trPr>
        <w:tc>
          <w:tcPr>
            <w:tcW w:w="955" w:type="dxa"/>
            <w:tcBorders>
              <w:top w:val="nil"/>
              <w:left w:val="single" w:sz="8" w:space="0" w:color="auto"/>
              <w:bottom w:val="nil"/>
              <w:right w:val="nil"/>
            </w:tcBorders>
            <w:noWrap/>
            <w:vAlign w:val="center"/>
            <w:hideMark/>
          </w:tcPr>
          <w:p w14:paraId="4295B45E"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435551E" w14:textId="77777777" w:rsidR="00F3536C" w:rsidRPr="00A4272B" w:rsidRDefault="00F3536C" w:rsidP="00A41632">
            <w:pPr>
              <w:rPr>
                <w:color w:val="000000"/>
                <w:sz w:val="14"/>
                <w:szCs w:val="14"/>
                <w:lang w:val="en-US"/>
              </w:rPr>
            </w:pPr>
            <w:r w:rsidRPr="00A4272B">
              <w:rPr>
                <w:color w:val="000000"/>
                <w:sz w:val="14"/>
                <w:szCs w:val="14"/>
                <w:lang w:val="en-US"/>
              </w:rPr>
              <w:t>Chile</w:t>
            </w:r>
          </w:p>
        </w:tc>
        <w:tc>
          <w:tcPr>
            <w:tcW w:w="2504" w:type="dxa"/>
            <w:noWrap/>
            <w:vAlign w:val="center"/>
            <w:hideMark/>
          </w:tcPr>
          <w:p w14:paraId="0D0F00A5" w14:textId="77777777" w:rsidR="00F3536C" w:rsidRPr="00A4272B" w:rsidRDefault="00F3536C" w:rsidP="00A41632">
            <w:pPr>
              <w:rPr>
                <w:color w:val="000000"/>
                <w:sz w:val="14"/>
                <w:szCs w:val="14"/>
                <w:lang w:val="en-US"/>
              </w:rPr>
            </w:pPr>
            <w:r w:rsidRPr="00A4272B">
              <w:rPr>
                <w:color w:val="000000"/>
                <w:sz w:val="14"/>
                <w:szCs w:val="14"/>
                <w:lang w:val="en-US"/>
              </w:rPr>
              <w:t>Valle Alegre</w:t>
            </w:r>
          </w:p>
        </w:tc>
        <w:tc>
          <w:tcPr>
            <w:tcW w:w="998" w:type="dxa"/>
            <w:noWrap/>
            <w:vAlign w:val="center"/>
            <w:hideMark/>
          </w:tcPr>
          <w:p w14:paraId="13987BE2"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5BD53A95"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1E3549C9" w14:textId="77777777" w:rsidR="00F3536C" w:rsidRPr="00A4272B" w:rsidRDefault="00F3536C" w:rsidP="00A41632">
            <w:pPr>
              <w:jc w:val="right"/>
              <w:rPr>
                <w:color w:val="000000"/>
                <w:sz w:val="14"/>
                <w:szCs w:val="14"/>
                <w:lang w:val="en-US"/>
              </w:rPr>
            </w:pPr>
            <w:r w:rsidRPr="00A4272B">
              <w:rPr>
                <w:color w:val="000000"/>
                <w:sz w:val="14"/>
                <w:szCs w:val="14"/>
                <w:lang w:val="en-US"/>
              </w:rPr>
              <w:t>-32.807778</w:t>
            </w:r>
          </w:p>
        </w:tc>
        <w:tc>
          <w:tcPr>
            <w:tcW w:w="998" w:type="dxa"/>
            <w:noWrap/>
            <w:vAlign w:val="center"/>
            <w:hideMark/>
          </w:tcPr>
          <w:p w14:paraId="7D5C6DD2" w14:textId="77777777" w:rsidR="00F3536C" w:rsidRPr="00A4272B" w:rsidRDefault="00F3536C" w:rsidP="00A41632">
            <w:pPr>
              <w:jc w:val="right"/>
              <w:rPr>
                <w:color w:val="000000"/>
                <w:sz w:val="14"/>
                <w:szCs w:val="14"/>
                <w:lang w:val="en-US"/>
              </w:rPr>
            </w:pPr>
            <w:r w:rsidRPr="00A4272B">
              <w:rPr>
                <w:color w:val="000000"/>
                <w:sz w:val="14"/>
                <w:szCs w:val="14"/>
                <w:lang w:val="en-US"/>
              </w:rPr>
              <w:t>-71.436944</w:t>
            </w:r>
          </w:p>
        </w:tc>
        <w:tc>
          <w:tcPr>
            <w:tcW w:w="859" w:type="dxa"/>
            <w:tcBorders>
              <w:top w:val="nil"/>
              <w:left w:val="nil"/>
              <w:bottom w:val="nil"/>
              <w:right w:val="single" w:sz="8" w:space="0" w:color="auto"/>
            </w:tcBorders>
            <w:noWrap/>
            <w:vAlign w:val="center"/>
            <w:hideMark/>
          </w:tcPr>
          <w:p w14:paraId="5DEE0E4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0A64602"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5D88581"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E868A5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3A761BB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01171A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842D6E9" w14:textId="77777777" w:rsidR="00F3536C" w:rsidRPr="00A4272B" w:rsidRDefault="00F3536C" w:rsidP="00A41632">
            <w:pPr>
              <w:jc w:val="center"/>
              <w:rPr>
                <w:sz w:val="14"/>
                <w:szCs w:val="14"/>
                <w:lang w:val="en-US"/>
              </w:rPr>
            </w:pPr>
            <w:r w:rsidRPr="00A4272B">
              <w:rPr>
                <w:sz w:val="14"/>
                <w:szCs w:val="14"/>
                <w:lang w:val="en-US"/>
              </w:rPr>
              <w:t>2018</w:t>
            </w:r>
          </w:p>
        </w:tc>
      </w:tr>
      <w:tr w:rsidR="00F3536C" w:rsidRPr="00A4272B" w14:paraId="5C127CF3" w14:textId="77777777" w:rsidTr="00A41632">
        <w:trPr>
          <w:trHeight w:val="276"/>
          <w:jc w:val="center"/>
        </w:trPr>
        <w:tc>
          <w:tcPr>
            <w:tcW w:w="955" w:type="dxa"/>
            <w:tcBorders>
              <w:top w:val="nil"/>
              <w:left w:val="single" w:sz="8" w:space="0" w:color="auto"/>
              <w:bottom w:val="nil"/>
              <w:right w:val="nil"/>
            </w:tcBorders>
            <w:noWrap/>
            <w:vAlign w:val="center"/>
            <w:hideMark/>
          </w:tcPr>
          <w:p w14:paraId="1EB97B5D"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4CBE56C2" w14:textId="77777777" w:rsidR="00F3536C" w:rsidRPr="00A4272B" w:rsidRDefault="00F3536C" w:rsidP="00A41632">
            <w:pPr>
              <w:rPr>
                <w:color w:val="000000"/>
                <w:sz w:val="14"/>
                <w:szCs w:val="14"/>
                <w:lang w:val="en-US"/>
              </w:rPr>
            </w:pPr>
            <w:r w:rsidRPr="00A4272B">
              <w:rPr>
                <w:color w:val="000000"/>
                <w:sz w:val="14"/>
                <w:szCs w:val="14"/>
                <w:lang w:val="en-US"/>
              </w:rPr>
              <w:t>Colombia</w:t>
            </w:r>
          </w:p>
        </w:tc>
        <w:tc>
          <w:tcPr>
            <w:tcW w:w="2504" w:type="dxa"/>
            <w:noWrap/>
            <w:vAlign w:val="center"/>
            <w:hideMark/>
          </w:tcPr>
          <w:p w14:paraId="3D131E41" w14:textId="77777777" w:rsidR="00F3536C" w:rsidRPr="00A4272B" w:rsidRDefault="00F3536C" w:rsidP="00A41632">
            <w:pPr>
              <w:rPr>
                <w:color w:val="000000"/>
                <w:sz w:val="14"/>
                <w:szCs w:val="14"/>
                <w:lang w:val="en-US"/>
              </w:rPr>
            </w:pPr>
            <w:r w:rsidRPr="00A4272B">
              <w:rPr>
                <w:color w:val="000000"/>
                <w:sz w:val="14"/>
                <w:szCs w:val="14"/>
                <w:lang w:val="en-US"/>
              </w:rPr>
              <w:t>Arauca</w:t>
            </w:r>
          </w:p>
        </w:tc>
        <w:tc>
          <w:tcPr>
            <w:tcW w:w="998" w:type="dxa"/>
            <w:noWrap/>
            <w:vAlign w:val="center"/>
            <w:hideMark/>
          </w:tcPr>
          <w:p w14:paraId="217C6BE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3D44FB13" w14:textId="77777777" w:rsidR="00F3536C" w:rsidRPr="00A4272B" w:rsidRDefault="00F3536C" w:rsidP="00A41632">
            <w:pPr>
              <w:jc w:val="center"/>
              <w:rPr>
                <w:color w:val="000000"/>
                <w:sz w:val="14"/>
                <w:szCs w:val="14"/>
                <w:lang w:val="en-US"/>
              </w:rPr>
            </w:pPr>
            <w:r w:rsidRPr="00A4272B">
              <w:rPr>
                <w:color w:val="000000"/>
                <w:sz w:val="14"/>
                <w:szCs w:val="14"/>
                <w:lang w:val="en-US"/>
              </w:rPr>
              <w:t>Agricultural</w:t>
            </w:r>
          </w:p>
        </w:tc>
        <w:tc>
          <w:tcPr>
            <w:tcW w:w="900" w:type="dxa"/>
            <w:noWrap/>
            <w:vAlign w:val="center"/>
            <w:hideMark/>
          </w:tcPr>
          <w:p w14:paraId="1A60E68A" w14:textId="77777777" w:rsidR="00F3536C" w:rsidRPr="00A4272B" w:rsidRDefault="00F3536C" w:rsidP="00A41632">
            <w:pPr>
              <w:jc w:val="right"/>
              <w:rPr>
                <w:color w:val="000000"/>
                <w:sz w:val="14"/>
                <w:szCs w:val="14"/>
                <w:lang w:val="en-US"/>
              </w:rPr>
            </w:pPr>
            <w:r w:rsidRPr="00A4272B">
              <w:rPr>
                <w:color w:val="000000"/>
                <w:sz w:val="14"/>
                <w:szCs w:val="14"/>
                <w:lang w:val="en-US"/>
              </w:rPr>
              <w:t>7.012714</w:t>
            </w:r>
          </w:p>
        </w:tc>
        <w:tc>
          <w:tcPr>
            <w:tcW w:w="998" w:type="dxa"/>
            <w:noWrap/>
            <w:vAlign w:val="center"/>
            <w:hideMark/>
          </w:tcPr>
          <w:p w14:paraId="1278FF6C" w14:textId="77777777" w:rsidR="00F3536C" w:rsidRPr="00A4272B" w:rsidRDefault="00F3536C" w:rsidP="00A41632">
            <w:pPr>
              <w:jc w:val="right"/>
              <w:rPr>
                <w:color w:val="000000"/>
                <w:sz w:val="14"/>
                <w:szCs w:val="14"/>
                <w:lang w:val="en-US"/>
              </w:rPr>
            </w:pPr>
            <w:r w:rsidRPr="00A4272B">
              <w:rPr>
                <w:color w:val="000000"/>
                <w:sz w:val="14"/>
                <w:szCs w:val="14"/>
                <w:lang w:val="en-US"/>
              </w:rPr>
              <w:t>-70.744722</w:t>
            </w:r>
          </w:p>
        </w:tc>
        <w:tc>
          <w:tcPr>
            <w:tcW w:w="859" w:type="dxa"/>
            <w:tcBorders>
              <w:top w:val="nil"/>
              <w:left w:val="nil"/>
              <w:bottom w:val="nil"/>
              <w:right w:val="single" w:sz="8" w:space="0" w:color="auto"/>
            </w:tcBorders>
            <w:noWrap/>
            <w:vAlign w:val="center"/>
            <w:hideMark/>
          </w:tcPr>
          <w:p w14:paraId="46EB8A0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551C214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335E46F"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58933E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B997DA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A778F11"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7B87FFA" w14:textId="77777777" w:rsidR="00F3536C" w:rsidRPr="00A4272B" w:rsidRDefault="00F3536C" w:rsidP="00A41632">
            <w:pPr>
              <w:jc w:val="center"/>
              <w:rPr>
                <w:sz w:val="14"/>
                <w:szCs w:val="14"/>
                <w:lang w:val="en-US"/>
              </w:rPr>
            </w:pPr>
            <w:r w:rsidRPr="00A4272B">
              <w:rPr>
                <w:sz w:val="14"/>
                <w:szCs w:val="14"/>
                <w:lang w:val="en-US"/>
              </w:rPr>
              <w:t>2017</w:t>
            </w:r>
          </w:p>
        </w:tc>
      </w:tr>
      <w:tr w:rsidR="00F3536C" w:rsidRPr="00A4272B" w14:paraId="492666E4" w14:textId="77777777" w:rsidTr="00A41632">
        <w:trPr>
          <w:trHeight w:val="276"/>
          <w:jc w:val="center"/>
        </w:trPr>
        <w:tc>
          <w:tcPr>
            <w:tcW w:w="955" w:type="dxa"/>
            <w:tcBorders>
              <w:top w:val="nil"/>
              <w:left w:val="single" w:sz="8" w:space="0" w:color="auto"/>
              <w:bottom w:val="nil"/>
              <w:right w:val="nil"/>
            </w:tcBorders>
            <w:noWrap/>
            <w:vAlign w:val="center"/>
            <w:hideMark/>
          </w:tcPr>
          <w:p w14:paraId="4C505C08"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41E76C02" w14:textId="77777777" w:rsidR="00F3536C" w:rsidRPr="00A4272B" w:rsidRDefault="00F3536C" w:rsidP="00A41632">
            <w:pPr>
              <w:rPr>
                <w:color w:val="000000"/>
                <w:sz w:val="14"/>
                <w:szCs w:val="14"/>
                <w:lang w:val="en-US"/>
              </w:rPr>
            </w:pPr>
            <w:r w:rsidRPr="00A4272B">
              <w:rPr>
                <w:color w:val="000000"/>
                <w:sz w:val="14"/>
                <w:szCs w:val="14"/>
                <w:lang w:val="en-US"/>
              </w:rPr>
              <w:t>Colombia</w:t>
            </w:r>
          </w:p>
        </w:tc>
        <w:tc>
          <w:tcPr>
            <w:tcW w:w="2504" w:type="dxa"/>
            <w:noWrap/>
            <w:vAlign w:val="center"/>
            <w:hideMark/>
          </w:tcPr>
          <w:p w14:paraId="66275F0B" w14:textId="77777777" w:rsidR="00F3536C" w:rsidRPr="00A4272B" w:rsidRDefault="00F3536C" w:rsidP="00A41632">
            <w:pPr>
              <w:rPr>
                <w:color w:val="000000"/>
                <w:sz w:val="14"/>
                <w:szCs w:val="14"/>
                <w:lang w:val="en-US"/>
              </w:rPr>
            </w:pPr>
            <w:r w:rsidRPr="00A4272B">
              <w:rPr>
                <w:color w:val="000000"/>
                <w:sz w:val="14"/>
                <w:szCs w:val="14"/>
                <w:lang w:val="en-US"/>
              </w:rPr>
              <w:t>Leticia</w:t>
            </w:r>
          </w:p>
        </w:tc>
        <w:tc>
          <w:tcPr>
            <w:tcW w:w="998" w:type="dxa"/>
            <w:noWrap/>
            <w:vAlign w:val="center"/>
            <w:hideMark/>
          </w:tcPr>
          <w:p w14:paraId="0F760C6E" w14:textId="77777777" w:rsidR="00F3536C" w:rsidRPr="00A4272B" w:rsidRDefault="00F3536C" w:rsidP="00A41632">
            <w:pPr>
              <w:jc w:val="center"/>
              <w:rPr>
                <w:color w:val="000000"/>
                <w:sz w:val="14"/>
                <w:szCs w:val="14"/>
                <w:lang w:val="en-US"/>
              </w:rPr>
            </w:pPr>
            <w:r w:rsidRPr="00A4272B">
              <w:rPr>
                <w:color w:val="000000"/>
                <w:sz w:val="14"/>
                <w:szCs w:val="14"/>
                <w:lang w:val="en-US"/>
              </w:rPr>
              <w:t>63</w:t>
            </w:r>
          </w:p>
        </w:tc>
        <w:tc>
          <w:tcPr>
            <w:tcW w:w="1342" w:type="dxa"/>
            <w:noWrap/>
            <w:vAlign w:val="center"/>
            <w:hideMark/>
          </w:tcPr>
          <w:p w14:paraId="3EC78CD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0873B6E8" w14:textId="77777777" w:rsidR="00F3536C" w:rsidRPr="00A4272B" w:rsidRDefault="00F3536C" w:rsidP="00A41632">
            <w:pPr>
              <w:jc w:val="right"/>
              <w:rPr>
                <w:color w:val="000000"/>
                <w:sz w:val="14"/>
                <w:szCs w:val="14"/>
                <w:lang w:val="en-US"/>
              </w:rPr>
            </w:pPr>
            <w:r w:rsidRPr="00A4272B">
              <w:rPr>
                <w:color w:val="000000"/>
                <w:sz w:val="14"/>
                <w:szCs w:val="14"/>
                <w:lang w:val="en-US"/>
              </w:rPr>
              <w:t>-4.191528</w:t>
            </w:r>
          </w:p>
        </w:tc>
        <w:tc>
          <w:tcPr>
            <w:tcW w:w="998" w:type="dxa"/>
            <w:noWrap/>
            <w:vAlign w:val="center"/>
            <w:hideMark/>
          </w:tcPr>
          <w:p w14:paraId="5A3C93BC" w14:textId="77777777" w:rsidR="00F3536C" w:rsidRPr="00A4272B" w:rsidRDefault="00F3536C" w:rsidP="00A41632">
            <w:pPr>
              <w:jc w:val="right"/>
              <w:rPr>
                <w:color w:val="000000"/>
                <w:sz w:val="14"/>
                <w:szCs w:val="14"/>
                <w:lang w:val="en-US"/>
              </w:rPr>
            </w:pPr>
            <w:r w:rsidRPr="00A4272B">
              <w:rPr>
                <w:color w:val="000000"/>
                <w:sz w:val="14"/>
                <w:szCs w:val="14"/>
                <w:lang w:val="en-US"/>
              </w:rPr>
              <w:t>-69.939444</w:t>
            </w:r>
          </w:p>
        </w:tc>
        <w:tc>
          <w:tcPr>
            <w:tcW w:w="859" w:type="dxa"/>
            <w:tcBorders>
              <w:top w:val="nil"/>
              <w:left w:val="nil"/>
              <w:bottom w:val="nil"/>
              <w:right w:val="single" w:sz="8" w:space="0" w:color="auto"/>
            </w:tcBorders>
            <w:noWrap/>
            <w:vAlign w:val="center"/>
            <w:hideMark/>
          </w:tcPr>
          <w:p w14:paraId="60FC68A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E473125"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C3542E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254E91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E800322"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005040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B781765"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3FCA946C" w14:textId="77777777" w:rsidTr="00A41632">
        <w:trPr>
          <w:trHeight w:val="276"/>
          <w:jc w:val="center"/>
        </w:trPr>
        <w:tc>
          <w:tcPr>
            <w:tcW w:w="955" w:type="dxa"/>
            <w:tcBorders>
              <w:top w:val="nil"/>
              <w:left w:val="single" w:sz="8" w:space="0" w:color="auto"/>
              <w:bottom w:val="nil"/>
              <w:right w:val="nil"/>
            </w:tcBorders>
            <w:noWrap/>
            <w:vAlign w:val="center"/>
            <w:hideMark/>
          </w:tcPr>
          <w:p w14:paraId="61461391"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58697A3D" w14:textId="77777777" w:rsidR="00F3536C" w:rsidRPr="00A4272B" w:rsidRDefault="00F3536C" w:rsidP="00A41632">
            <w:pPr>
              <w:rPr>
                <w:color w:val="000000"/>
                <w:sz w:val="14"/>
                <w:szCs w:val="14"/>
                <w:lang w:val="en-US"/>
              </w:rPr>
            </w:pPr>
            <w:r w:rsidRPr="00A4272B">
              <w:rPr>
                <w:color w:val="000000"/>
                <w:sz w:val="14"/>
                <w:szCs w:val="14"/>
                <w:lang w:val="en-US"/>
              </w:rPr>
              <w:t>Colombia</w:t>
            </w:r>
          </w:p>
        </w:tc>
        <w:tc>
          <w:tcPr>
            <w:tcW w:w="2504" w:type="dxa"/>
            <w:noWrap/>
            <w:vAlign w:val="center"/>
            <w:hideMark/>
          </w:tcPr>
          <w:p w14:paraId="61836AD2" w14:textId="77777777" w:rsidR="00F3536C" w:rsidRPr="00A4272B" w:rsidRDefault="00F3536C" w:rsidP="00A41632">
            <w:pPr>
              <w:rPr>
                <w:color w:val="000000"/>
                <w:sz w:val="14"/>
                <w:szCs w:val="14"/>
                <w:lang w:val="en-US"/>
              </w:rPr>
            </w:pPr>
            <w:r w:rsidRPr="00A4272B">
              <w:rPr>
                <w:color w:val="000000"/>
                <w:sz w:val="14"/>
                <w:szCs w:val="14"/>
                <w:lang w:val="en-US"/>
              </w:rPr>
              <w:t>Reserva Natural Rio Blanco / Manizales</w:t>
            </w:r>
          </w:p>
        </w:tc>
        <w:tc>
          <w:tcPr>
            <w:tcW w:w="998" w:type="dxa"/>
            <w:noWrap/>
            <w:vAlign w:val="center"/>
            <w:hideMark/>
          </w:tcPr>
          <w:p w14:paraId="09A5F360" w14:textId="77777777" w:rsidR="00F3536C" w:rsidRPr="00A4272B" w:rsidRDefault="00F3536C" w:rsidP="00A41632">
            <w:pPr>
              <w:jc w:val="center"/>
              <w:rPr>
                <w:color w:val="000000"/>
                <w:sz w:val="14"/>
                <w:szCs w:val="14"/>
                <w:lang w:val="en-US"/>
              </w:rPr>
            </w:pPr>
            <w:r w:rsidRPr="00A4272B">
              <w:rPr>
                <w:color w:val="000000"/>
                <w:sz w:val="14"/>
                <w:szCs w:val="14"/>
                <w:lang w:val="en-US"/>
              </w:rPr>
              <w:t>64</w:t>
            </w:r>
          </w:p>
        </w:tc>
        <w:tc>
          <w:tcPr>
            <w:tcW w:w="1342" w:type="dxa"/>
            <w:noWrap/>
            <w:vAlign w:val="center"/>
            <w:hideMark/>
          </w:tcPr>
          <w:p w14:paraId="3E7671B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60F5F430" w14:textId="77777777" w:rsidR="00F3536C" w:rsidRPr="00A4272B" w:rsidRDefault="00F3536C" w:rsidP="00A41632">
            <w:pPr>
              <w:jc w:val="right"/>
              <w:rPr>
                <w:color w:val="000000"/>
                <w:sz w:val="14"/>
                <w:szCs w:val="14"/>
                <w:lang w:val="en-US"/>
              </w:rPr>
            </w:pPr>
            <w:r w:rsidRPr="00A4272B">
              <w:rPr>
                <w:color w:val="000000"/>
                <w:sz w:val="14"/>
                <w:szCs w:val="14"/>
                <w:lang w:val="en-US"/>
              </w:rPr>
              <w:t>5.000000</w:t>
            </w:r>
          </w:p>
        </w:tc>
        <w:tc>
          <w:tcPr>
            <w:tcW w:w="998" w:type="dxa"/>
            <w:noWrap/>
            <w:vAlign w:val="center"/>
            <w:hideMark/>
          </w:tcPr>
          <w:p w14:paraId="56A5CCCC" w14:textId="77777777" w:rsidR="00F3536C" w:rsidRPr="00A4272B" w:rsidRDefault="00F3536C" w:rsidP="00A41632">
            <w:pPr>
              <w:jc w:val="right"/>
              <w:rPr>
                <w:color w:val="000000"/>
                <w:sz w:val="14"/>
                <w:szCs w:val="14"/>
                <w:lang w:val="en-US"/>
              </w:rPr>
            </w:pPr>
            <w:r w:rsidRPr="00A4272B">
              <w:rPr>
                <w:color w:val="000000"/>
                <w:sz w:val="14"/>
                <w:szCs w:val="14"/>
                <w:lang w:val="en-US"/>
              </w:rPr>
              <w:t>-75.736111</w:t>
            </w:r>
          </w:p>
        </w:tc>
        <w:tc>
          <w:tcPr>
            <w:tcW w:w="859" w:type="dxa"/>
            <w:tcBorders>
              <w:top w:val="nil"/>
              <w:left w:val="nil"/>
              <w:bottom w:val="nil"/>
              <w:right w:val="single" w:sz="8" w:space="0" w:color="auto"/>
            </w:tcBorders>
            <w:noWrap/>
            <w:vAlign w:val="center"/>
            <w:hideMark/>
          </w:tcPr>
          <w:p w14:paraId="31AE958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11AA8F8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57518FE0"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F09700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81C56D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23D930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F3E9AEF"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06BB7E3C" w14:textId="77777777" w:rsidTr="00A41632">
        <w:trPr>
          <w:trHeight w:val="276"/>
          <w:jc w:val="center"/>
        </w:trPr>
        <w:tc>
          <w:tcPr>
            <w:tcW w:w="955" w:type="dxa"/>
            <w:tcBorders>
              <w:top w:val="nil"/>
              <w:left w:val="single" w:sz="8" w:space="0" w:color="auto"/>
              <w:bottom w:val="nil"/>
              <w:right w:val="nil"/>
            </w:tcBorders>
            <w:noWrap/>
            <w:vAlign w:val="center"/>
            <w:hideMark/>
          </w:tcPr>
          <w:p w14:paraId="59ACC5A7"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54279060" w14:textId="77777777" w:rsidR="00F3536C" w:rsidRPr="00A4272B" w:rsidRDefault="00F3536C" w:rsidP="00A41632">
            <w:pPr>
              <w:rPr>
                <w:color w:val="000000"/>
                <w:sz w:val="14"/>
                <w:szCs w:val="14"/>
                <w:lang w:val="en-US"/>
              </w:rPr>
            </w:pPr>
            <w:r w:rsidRPr="00A4272B">
              <w:rPr>
                <w:color w:val="000000"/>
                <w:sz w:val="14"/>
                <w:szCs w:val="14"/>
                <w:lang w:val="en-US"/>
              </w:rPr>
              <w:t>Colombia</w:t>
            </w:r>
          </w:p>
        </w:tc>
        <w:tc>
          <w:tcPr>
            <w:tcW w:w="2504" w:type="dxa"/>
            <w:noWrap/>
            <w:vAlign w:val="center"/>
            <w:hideMark/>
          </w:tcPr>
          <w:p w14:paraId="0CDAA49F" w14:textId="77777777" w:rsidR="00F3536C" w:rsidRPr="00A4272B" w:rsidRDefault="00F3536C" w:rsidP="00A41632">
            <w:pPr>
              <w:rPr>
                <w:color w:val="000000"/>
                <w:sz w:val="14"/>
                <w:szCs w:val="14"/>
                <w:lang w:val="en-US"/>
              </w:rPr>
            </w:pPr>
            <w:r w:rsidRPr="00A4272B">
              <w:rPr>
                <w:color w:val="000000"/>
                <w:sz w:val="14"/>
                <w:szCs w:val="14"/>
                <w:lang w:val="en-US"/>
              </w:rPr>
              <w:t>Universidad de Cartagena</w:t>
            </w:r>
          </w:p>
        </w:tc>
        <w:tc>
          <w:tcPr>
            <w:tcW w:w="998" w:type="dxa"/>
            <w:noWrap/>
            <w:vAlign w:val="center"/>
            <w:hideMark/>
          </w:tcPr>
          <w:p w14:paraId="3AEA10E6" w14:textId="77777777" w:rsidR="00F3536C" w:rsidRPr="00A4272B" w:rsidRDefault="00F3536C" w:rsidP="00A41632">
            <w:pPr>
              <w:jc w:val="center"/>
              <w:rPr>
                <w:color w:val="000000"/>
                <w:sz w:val="14"/>
                <w:szCs w:val="14"/>
                <w:lang w:val="en-US"/>
              </w:rPr>
            </w:pPr>
            <w:r w:rsidRPr="00A4272B">
              <w:rPr>
                <w:color w:val="000000"/>
                <w:sz w:val="14"/>
                <w:szCs w:val="14"/>
                <w:lang w:val="en-US"/>
              </w:rPr>
              <w:t>55</w:t>
            </w:r>
          </w:p>
        </w:tc>
        <w:tc>
          <w:tcPr>
            <w:tcW w:w="1342" w:type="dxa"/>
            <w:noWrap/>
            <w:vAlign w:val="center"/>
            <w:hideMark/>
          </w:tcPr>
          <w:p w14:paraId="409716AE"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7F4DE3DA" w14:textId="77777777" w:rsidR="00F3536C" w:rsidRPr="00A4272B" w:rsidRDefault="00F3536C" w:rsidP="00A41632">
            <w:pPr>
              <w:jc w:val="right"/>
              <w:rPr>
                <w:color w:val="000000"/>
                <w:sz w:val="14"/>
                <w:szCs w:val="14"/>
                <w:lang w:val="en-US"/>
              </w:rPr>
            </w:pPr>
            <w:r w:rsidRPr="00A4272B">
              <w:rPr>
                <w:color w:val="000000"/>
                <w:sz w:val="14"/>
                <w:szCs w:val="14"/>
                <w:lang w:val="en-US"/>
              </w:rPr>
              <w:t>10.402806</w:t>
            </w:r>
          </w:p>
        </w:tc>
        <w:tc>
          <w:tcPr>
            <w:tcW w:w="998" w:type="dxa"/>
            <w:noWrap/>
            <w:vAlign w:val="center"/>
            <w:hideMark/>
          </w:tcPr>
          <w:p w14:paraId="6A2B2FCF" w14:textId="77777777" w:rsidR="00F3536C" w:rsidRPr="00A4272B" w:rsidRDefault="00F3536C" w:rsidP="00A41632">
            <w:pPr>
              <w:jc w:val="right"/>
              <w:rPr>
                <w:color w:val="000000"/>
                <w:sz w:val="14"/>
                <w:szCs w:val="14"/>
                <w:lang w:val="en-US"/>
              </w:rPr>
            </w:pPr>
            <w:r w:rsidRPr="00A4272B">
              <w:rPr>
                <w:color w:val="000000"/>
                <w:sz w:val="14"/>
                <w:szCs w:val="14"/>
                <w:lang w:val="en-US"/>
              </w:rPr>
              <w:t>-75.505833</w:t>
            </w:r>
          </w:p>
        </w:tc>
        <w:tc>
          <w:tcPr>
            <w:tcW w:w="859" w:type="dxa"/>
            <w:tcBorders>
              <w:top w:val="nil"/>
              <w:left w:val="nil"/>
              <w:bottom w:val="nil"/>
              <w:right w:val="single" w:sz="8" w:space="0" w:color="auto"/>
            </w:tcBorders>
            <w:noWrap/>
            <w:vAlign w:val="center"/>
            <w:hideMark/>
          </w:tcPr>
          <w:p w14:paraId="15D5FDB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D73A72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8DF7FAB"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131A56D"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48A42C6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D4925A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A36E351"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4BD16C5B" w14:textId="77777777" w:rsidTr="00A41632">
        <w:trPr>
          <w:trHeight w:val="276"/>
          <w:jc w:val="center"/>
        </w:trPr>
        <w:tc>
          <w:tcPr>
            <w:tcW w:w="955" w:type="dxa"/>
            <w:tcBorders>
              <w:top w:val="nil"/>
              <w:left w:val="single" w:sz="8" w:space="0" w:color="auto"/>
              <w:bottom w:val="nil"/>
              <w:right w:val="nil"/>
            </w:tcBorders>
            <w:noWrap/>
            <w:vAlign w:val="center"/>
            <w:hideMark/>
          </w:tcPr>
          <w:p w14:paraId="61E6752C"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12A0DB9" w14:textId="77777777" w:rsidR="00F3536C" w:rsidRPr="00A4272B" w:rsidRDefault="00F3536C" w:rsidP="00A41632">
            <w:pPr>
              <w:rPr>
                <w:color w:val="000000"/>
                <w:sz w:val="14"/>
                <w:szCs w:val="14"/>
                <w:lang w:val="en-US"/>
              </w:rPr>
            </w:pPr>
            <w:r w:rsidRPr="00A4272B">
              <w:rPr>
                <w:color w:val="000000"/>
                <w:sz w:val="14"/>
                <w:szCs w:val="14"/>
                <w:lang w:val="en-US"/>
              </w:rPr>
              <w:t>Costa Rica</w:t>
            </w:r>
          </w:p>
        </w:tc>
        <w:tc>
          <w:tcPr>
            <w:tcW w:w="2504" w:type="dxa"/>
            <w:noWrap/>
            <w:vAlign w:val="center"/>
            <w:hideMark/>
          </w:tcPr>
          <w:p w14:paraId="255D4BE6" w14:textId="77777777" w:rsidR="00F3536C" w:rsidRPr="00A4272B" w:rsidRDefault="00F3536C" w:rsidP="00A41632">
            <w:pPr>
              <w:rPr>
                <w:color w:val="000000"/>
                <w:sz w:val="14"/>
                <w:szCs w:val="14"/>
                <w:lang w:val="en-US"/>
              </w:rPr>
            </w:pPr>
            <w:r w:rsidRPr="00A4272B">
              <w:rPr>
                <w:color w:val="000000"/>
                <w:sz w:val="14"/>
                <w:szCs w:val="14"/>
                <w:lang w:val="en-US"/>
              </w:rPr>
              <w:t>Biolley de Buenos Aires / Puntarenas</w:t>
            </w:r>
          </w:p>
        </w:tc>
        <w:tc>
          <w:tcPr>
            <w:tcW w:w="998" w:type="dxa"/>
            <w:noWrap/>
            <w:vAlign w:val="center"/>
            <w:hideMark/>
          </w:tcPr>
          <w:p w14:paraId="07357A4B" w14:textId="77777777" w:rsidR="00F3536C" w:rsidRPr="00A4272B" w:rsidRDefault="00F3536C" w:rsidP="00A41632">
            <w:pPr>
              <w:jc w:val="center"/>
              <w:rPr>
                <w:color w:val="000000"/>
                <w:sz w:val="14"/>
                <w:szCs w:val="14"/>
                <w:lang w:val="en-US"/>
              </w:rPr>
            </w:pPr>
            <w:r w:rsidRPr="00A4272B">
              <w:rPr>
                <w:color w:val="000000"/>
                <w:sz w:val="14"/>
                <w:szCs w:val="14"/>
                <w:lang w:val="en-US"/>
              </w:rPr>
              <w:t>70</w:t>
            </w:r>
          </w:p>
        </w:tc>
        <w:tc>
          <w:tcPr>
            <w:tcW w:w="1342" w:type="dxa"/>
            <w:noWrap/>
            <w:vAlign w:val="center"/>
            <w:hideMark/>
          </w:tcPr>
          <w:p w14:paraId="29A14A8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BB4776E" w14:textId="77777777" w:rsidR="00F3536C" w:rsidRPr="00A4272B" w:rsidRDefault="00F3536C" w:rsidP="00A41632">
            <w:pPr>
              <w:jc w:val="right"/>
              <w:rPr>
                <w:color w:val="000000"/>
                <w:sz w:val="14"/>
                <w:szCs w:val="14"/>
                <w:lang w:val="en-US"/>
              </w:rPr>
            </w:pPr>
            <w:r w:rsidRPr="00A4272B">
              <w:rPr>
                <w:color w:val="000000"/>
                <w:sz w:val="14"/>
                <w:szCs w:val="14"/>
                <w:lang w:val="en-US"/>
              </w:rPr>
              <w:t>9.044722</w:t>
            </w:r>
          </w:p>
        </w:tc>
        <w:tc>
          <w:tcPr>
            <w:tcW w:w="998" w:type="dxa"/>
            <w:noWrap/>
            <w:vAlign w:val="center"/>
            <w:hideMark/>
          </w:tcPr>
          <w:p w14:paraId="455689C2" w14:textId="77777777" w:rsidR="00F3536C" w:rsidRPr="00A4272B" w:rsidRDefault="00F3536C" w:rsidP="00A41632">
            <w:pPr>
              <w:jc w:val="right"/>
              <w:rPr>
                <w:color w:val="000000"/>
                <w:sz w:val="14"/>
                <w:szCs w:val="14"/>
                <w:lang w:val="en-US"/>
              </w:rPr>
            </w:pPr>
            <w:r w:rsidRPr="00A4272B">
              <w:rPr>
                <w:color w:val="000000"/>
                <w:sz w:val="14"/>
                <w:szCs w:val="14"/>
                <w:lang w:val="en-US"/>
              </w:rPr>
              <w:t>-83.029722</w:t>
            </w:r>
          </w:p>
        </w:tc>
        <w:tc>
          <w:tcPr>
            <w:tcW w:w="859" w:type="dxa"/>
            <w:tcBorders>
              <w:top w:val="nil"/>
              <w:left w:val="nil"/>
              <w:bottom w:val="nil"/>
              <w:right w:val="single" w:sz="8" w:space="0" w:color="auto"/>
            </w:tcBorders>
            <w:noWrap/>
            <w:vAlign w:val="center"/>
            <w:hideMark/>
          </w:tcPr>
          <w:p w14:paraId="23EFA64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BCBB51C"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0EFC48C"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953EC6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39FFD9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BD02DB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6C77D273" w14:textId="77777777" w:rsidR="00F3536C" w:rsidRPr="00A4272B" w:rsidRDefault="00F3536C" w:rsidP="00A41632">
            <w:pPr>
              <w:jc w:val="center"/>
              <w:rPr>
                <w:sz w:val="14"/>
                <w:szCs w:val="14"/>
                <w:lang w:val="en-US"/>
              </w:rPr>
            </w:pPr>
            <w:r w:rsidRPr="00A4272B">
              <w:rPr>
                <w:sz w:val="14"/>
                <w:szCs w:val="14"/>
                <w:lang w:val="en-US"/>
              </w:rPr>
              <w:t>2016</w:t>
            </w:r>
          </w:p>
        </w:tc>
      </w:tr>
      <w:tr w:rsidR="00F3536C" w:rsidRPr="00A4272B" w14:paraId="3D0C10C0" w14:textId="77777777" w:rsidTr="00A41632">
        <w:trPr>
          <w:trHeight w:val="276"/>
          <w:jc w:val="center"/>
        </w:trPr>
        <w:tc>
          <w:tcPr>
            <w:tcW w:w="955" w:type="dxa"/>
            <w:tcBorders>
              <w:top w:val="nil"/>
              <w:left w:val="single" w:sz="8" w:space="0" w:color="auto"/>
              <w:bottom w:val="nil"/>
              <w:right w:val="nil"/>
            </w:tcBorders>
            <w:noWrap/>
            <w:vAlign w:val="center"/>
            <w:hideMark/>
          </w:tcPr>
          <w:p w14:paraId="3C36AC29"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18777737" w14:textId="77777777" w:rsidR="00F3536C" w:rsidRPr="00A4272B" w:rsidRDefault="00F3536C" w:rsidP="00A41632">
            <w:pPr>
              <w:rPr>
                <w:color w:val="000000"/>
                <w:sz w:val="14"/>
                <w:szCs w:val="14"/>
                <w:lang w:val="en-US"/>
              </w:rPr>
            </w:pPr>
            <w:r w:rsidRPr="00A4272B">
              <w:rPr>
                <w:color w:val="000000"/>
                <w:sz w:val="14"/>
                <w:szCs w:val="14"/>
                <w:lang w:val="en-US"/>
              </w:rPr>
              <w:t>Ecuador</w:t>
            </w:r>
          </w:p>
        </w:tc>
        <w:tc>
          <w:tcPr>
            <w:tcW w:w="2504" w:type="dxa"/>
            <w:noWrap/>
            <w:vAlign w:val="center"/>
            <w:hideMark/>
          </w:tcPr>
          <w:p w14:paraId="3A25360C" w14:textId="77777777" w:rsidR="00F3536C" w:rsidRPr="00A4272B" w:rsidRDefault="00F3536C" w:rsidP="00A41632">
            <w:pPr>
              <w:rPr>
                <w:color w:val="000000"/>
                <w:sz w:val="14"/>
                <w:szCs w:val="14"/>
                <w:lang w:val="en-US"/>
              </w:rPr>
            </w:pPr>
            <w:r w:rsidRPr="00A4272B">
              <w:rPr>
                <w:color w:val="000000"/>
                <w:sz w:val="14"/>
                <w:szCs w:val="14"/>
                <w:lang w:val="en-US"/>
              </w:rPr>
              <w:t>Machadilha National Park</w:t>
            </w:r>
          </w:p>
        </w:tc>
        <w:tc>
          <w:tcPr>
            <w:tcW w:w="998" w:type="dxa"/>
            <w:noWrap/>
            <w:vAlign w:val="center"/>
            <w:hideMark/>
          </w:tcPr>
          <w:p w14:paraId="4097459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0656C7B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4A399BD7" w14:textId="77777777" w:rsidR="00F3536C" w:rsidRPr="00A4272B" w:rsidRDefault="00F3536C" w:rsidP="00A41632">
            <w:pPr>
              <w:jc w:val="right"/>
              <w:rPr>
                <w:color w:val="000000"/>
                <w:sz w:val="14"/>
                <w:szCs w:val="14"/>
                <w:lang w:val="en-US"/>
              </w:rPr>
            </w:pPr>
            <w:r w:rsidRPr="00A4272B">
              <w:rPr>
                <w:color w:val="000000"/>
                <w:sz w:val="14"/>
                <w:szCs w:val="14"/>
                <w:lang w:val="en-US"/>
              </w:rPr>
              <w:t>-1.538356</w:t>
            </w:r>
          </w:p>
        </w:tc>
        <w:tc>
          <w:tcPr>
            <w:tcW w:w="998" w:type="dxa"/>
            <w:noWrap/>
            <w:vAlign w:val="center"/>
            <w:hideMark/>
          </w:tcPr>
          <w:p w14:paraId="1F1C5C73" w14:textId="77777777" w:rsidR="00F3536C" w:rsidRPr="00A4272B" w:rsidRDefault="00F3536C" w:rsidP="00A41632">
            <w:pPr>
              <w:jc w:val="right"/>
              <w:rPr>
                <w:color w:val="000000"/>
                <w:sz w:val="14"/>
                <w:szCs w:val="14"/>
                <w:lang w:val="en-US"/>
              </w:rPr>
            </w:pPr>
            <w:r w:rsidRPr="00A4272B">
              <w:rPr>
                <w:color w:val="000000"/>
                <w:sz w:val="14"/>
                <w:szCs w:val="14"/>
                <w:lang w:val="en-US"/>
              </w:rPr>
              <w:t>-80.676111</w:t>
            </w:r>
          </w:p>
        </w:tc>
        <w:tc>
          <w:tcPr>
            <w:tcW w:w="859" w:type="dxa"/>
            <w:tcBorders>
              <w:top w:val="nil"/>
              <w:left w:val="nil"/>
              <w:bottom w:val="nil"/>
              <w:right w:val="single" w:sz="8" w:space="0" w:color="auto"/>
            </w:tcBorders>
            <w:noWrap/>
            <w:vAlign w:val="center"/>
            <w:hideMark/>
          </w:tcPr>
          <w:p w14:paraId="1E137D5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CBC837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70B642A"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B0E582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6057BEA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13A169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C8247DF"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5B4425B1" w14:textId="77777777" w:rsidTr="00A41632">
        <w:trPr>
          <w:trHeight w:val="276"/>
          <w:jc w:val="center"/>
        </w:trPr>
        <w:tc>
          <w:tcPr>
            <w:tcW w:w="955" w:type="dxa"/>
            <w:tcBorders>
              <w:top w:val="nil"/>
              <w:left w:val="single" w:sz="8" w:space="0" w:color="auto"/>
              <w:bottom w:val="nil"/>
              <w:right w:val="nil"/>
            </w:tcBorders>
            <w:noWrap/>
            <w:vAlign w:val="center"/>
            <w:hideMark/>
          </w:tcPr>
          <w:p w14:paraId="12EB6E51"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CF3E7B9" w14:textId="77777777" w:rsidR="00F3536C" w:rsidRPr="00A4272B" w:rsidRDefault="00F3536C" w:rsidP="00A41632">
            <w:pPr>
              <w:rPr>
                <w:color w:val="000000"/>
                <w:sz w:val="14"/>
                <w:szCs w:val="14"/>
                <w:lang w:val="en-US"/>
              </w:rPr>
            </w:pPr>
            <w:r w:rsidRPr="00A4272B">
              <w:rPr>
                <w:color w:val="000000"/>
                <w:sz w:val="14"/>
                <w:szCs w:val="14"/>
                <w:lang w:val="en-US"/>
              </w:rPr>
              <w:t>Ecuador</w:t>
            </w:r>
          </w:p>
        </w:tc>
        <w:tc>
          <w:tcPr>
            <w:tcW w:w="2504" w:type="dxa"/>
            <w:noWrap/>
            <w:vAlign w:val="center"/>
            <w:hideMark/>
          </w:tcPr>
          <w:p w14:paraId="640D9D4A" w14:textId="77777777" w:rsidR="00F3536C" w:rsidRPr="00A4272B" w:rsidRDefault="00F3536C" w:rsidP="00A41632">
            <w:pPr>
              <w:rPr>
                <w:color w:val="000000"/>
                <w:sz w:val="14"/>
                <w:szCs w:val="14"/>
                <w:lang w:val="en-US"/>
              </w:rPr>
            </w:pPr>
            <w:r w:rsidRPr="00A4272B">
              <w:rPr>
                <w:color w:val="000000"/>
                <w:sz w:val="14"/>
                <w:szCs w:val="14"/>
                <w:lang w:val="en-US"/>
              </w:rPr>
              <w:t>Manglares Ecological Reserve</w:t>
            </w:r>
          </w:p>
        </w:tc>
        <w:tc>
          <w:tcPr>
            <w:tcW w:w="998" w:type="dxa"/>
            <w:noWrap/>
            <w:vAlign w:val="center"/>
            <w:hideMark/>
          </w:tcPr>
          <w:p w14:paraId="79580E1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221DCB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900" w:type="dxa"/>
            <w:noWrap/>
            <w:vAlign w:val="center"/>
            <w:hideMark/>
          </w:tcPr>
          <w:p w14:paraId="281CB68A" w14:textId="77777777" w:rsidR="00F3536C" w:rsidRPr="00A4272B" w:rsidRDefault="00F3536C" w:rsidP="00A41632">
            <w:pPr>
              <w:jc w:val="right"/>
              <w:rPr>
                <w:color w:val="000000"/>
                <w:sz w:val="14"/>
                <w:szCs w:val="14"/>
                <w:lang w:val="en-US"/>
              </w:rPr>
            </w:pPr>
            <w:r w:rsidRPr="00A4272B">
              <w:rPr>
                <w:color w:val="000000"/>
                <w:sz w:val="14"/>
                <w:szCs w:val="14"/>
                <w:lang w:val="en-US"/>
              </w:rPr>
              <w:t>1.374397</w:t>
            </w:r>
          </w:p>
        </w:tc>
        <w:tc>
          <w:tcPr>
            <w:tcW w:w="998" w:type="dxa"/>
            <w:noWrap/>
            <w:vAlign w:val="center"/>
            <w:hideMark/>
          </w:tcPr>
          <w:p w14:paraId="70939B1B" w14:textId="77777777" w:rsidR="00F3536C" w:rsidRPr="00A4272B" w:rsidRDefault="00F3536C" w:rsidP="00A41632">
            <w:pPr>
              <w:jc w:val="right"/>
              <w:rPr>
                <w:color w:val="000000"/>
                <w:sz w:val="14"/>
                <w:szCs w:val="14"/>
                <w:lang w:val="en-US"/>
              </w:rPr>
            </w:pPr>
            <w:r w:rsidRPr="00A4272B">
              <w:rPr>
                <w:color w:val="000000"/>
                <w:sz w:val="14"/>
                <w:szCs w:val="14"/>
                <w:lang w:val="en-US"/>
              </w:rPr>
              <w:t>-78.949167</w:t>
            </w:r>
          </w:p>
        </w:tc>
        <w:tc>
          <w:tcPr>
            <w:tcW w:w="859" w:type="dxa"/>
            <w:tcBorders>
              <w:top w:val="nil"/>
              <w:left w:val="nil"/>
              <w:bottom w:val="nil"/>
              <w:right w:val="single" w:sz="8" w:space="0" w:color="auto"/>
            </w:tcBorders>
            <w:noWrap/>
            <w:vAlign w:val="center"/>
            <w:hideMark/>
          </w:tcPr>
          <w:p w14:paraId="69B245E1"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72FB84E"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CBE73EE"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31726B5F"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D8DE35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17586E68"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6905CC8"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0B40F2D9" w14:textId="77777777" w:rsidTr="00A41632">
        <w:trPr>
          <w:trHeight w:val="276"/>
          <w:jc w:val="center"/>
        </w:trPr>
        <w:tc>
          <w:tcPr>
            <w:tcW w:w="955" w:type="dxa"/>
            <w:tcBorders>
              <w:top w:val="nil"/>
              <w:left w:val="single" w:sz="8" w:space="0" w:color="auto"/>
              <w:bottom w:val="nil"/>
              <w:right w:val="nil"/>
            </w:tcBorders>
            <w:noWrap/>
            <w:vAlign w:val="center"/>
            <w:hideMark/>
          </w:tcPr>
          <w:p w14:paraId="6066EA9D" w14:textId="77777777" w:rsidR="00F3536C" w:rsidRPr="00A4272B" w:rsidRDefault="00F3536C" w:rsidP="00A41632">
            <w:pPr>
              <w:rPr>
                <w:color w:val="000000"/>
                <w:sz w:val="14"/>
                <w:szCs w:val="14"/>
                <w:lang w:val="en-US"/>
              </w:rPr>
            </w:pPr>
            <w:r w:rsidRPr="00A4272B">
              <w:rPr>
                <w:color w:val="000000"/>
                <w:sz w:val="14"/>
                <w:szCs w:val="14"/>
                <w:lang w:val="en-US"/>
              </w:rPr>
              <w:lastRenderedPageBreak/>
              <w:t>LAPAN</w:t>
            </w:r>
          </w:p>
        </w:tc>
        <w:tc>
          <w:tcPr>
            <w:tcW w:w="1391" w:type="dxa"/>
            <w:noWrap/>
            <w:vAlign w:val="center"/>
            <w:hideMark/>
          </w:tcPr>
          <w:p w14:paraId="674377C7" w14:textId="77777777" w:rsidR="00F3536C" w:rsidRPr="00A4272B" w:rsidRDefault="00F3536C" w:rsidP="00A41632">
            <w:pPr>
              <w:rPr>
                <w:color w:val="000000"/>
                <w:sz w:val="14"/>
                <w:szCs w:val="14"/>
                <w:lang w:val="en-US"/>
              </w:rPr>
            </w:pPr>
            <w:r w:rsidRPr="00A4272B">
              <w:rPr>
                <w:color w:val="000000"/>
                <w:sz w:val="14"/>
                <w:szCs w:val="14"/>
                <w:lang w:val="en-US"/>
              </w:rPr>
              <w:t>Honduras</w:t>
            </w:r>
          </w:p>
        </w:tc>
        <w:tc>
          <w:tcPr>
            <w:tcW w:w="2504" w:type="dxa"/>
            <w:noWrap/>
            <w:vAlign w:val="center"/>
            <w:hideMark/>
          </w:tcPr>
          <w:p w14:paraId="2256F8F8" w14:textId="77777777" w:rsidR="00F3536C" w:rsidRPr="00A4272B" w:rsidRDefault="00F3536C" w:rsidP="00A41632">
            <w:pPr>
              <w:rPr>
                <w:color w:val="000000"/>
                <w:sz w:val="14"/>
                <w:szCs w:val="14"/>
                <w:lang w:val="en-US"/>
              </w:rPr>
            </w:pPr>
            <w:r w:rsidRPr="00A4272B">
              <w:rPr>
                <w:color w:val="000000"/>
                <w:sz w:val="14"/>
                <w:szCs w:val="14"/>
                <w:lang w:val="en-US"/>
              </w:rPr>
              <w:t>Tegucigalpa</w:t>
            </w:r>
          </w:p>
        </w:tc>
        <w:tc>
          <w:tcPr>
            <w:tcW w:w="998" w:type="dxa"/>
            <w:noWrap/>
            <w:vAlign w:val="center"/>
            <w:hideMark/>
          </w:tcPr>
          <w:p w14:paraId="7D99F63E" w14:textId="77777777" w:rsidR="00F3536C" w:rsidRPr="00A4272B" w:rsidRDefault="00F3536C" w:rsidP="00A41632">
            <w:pPr>
              <w:jc w:val="center"/>
              <w:rPr>
                <w:color w:val="000000"/>
                <w:sz w:val="14"/>
                <w:szCs w:val="14"/>
                <w:lang w:val="en-US"/>
              </w:rPr>
            </w:pPr>
            <w:r w:rsidRPr="00A4272B">
              <w:rPr>
                <w:color w:val="000000"/>
                <w:sz w:val="14"/>
                <w:szCs w:val="14"/>
                <w:lang w:val="en-US"/>
              </w:rPr>
              <w:t>28</w:t>
            </w:r>
          </w:p>
        </w:tc>
        <w:tc>
          <w:tcPr>
            <w:tcW w:w="1342" w:type="dxa"/>
            <w:noWrap/>
            <w:vAlign w:val="center"/>
            <w:hideMark/>
          </w:tcPr>
          <w:p w14:paraId="1688928D"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106ADF9A" w14:textId="77777777" w:rsidR="00F3536C" w:rsidRPr="00A4272B" w:rsidRDefault="00F3536C" w:rsidP="00A41632">
            <w:pPr>
              <w:jc w:val="right"/>
              <w:rPr>
                <w:color w:val="000000"/>
                <w:sz w:val="14"/>
                <w:szCs w:val="14"/>
                <w:lang w:val="en-US"/>
              </w:rPr>
            </w:pPr>
            <w:r w:rsidRPr="00A4272B">
              <w:rPr>
                <w:color w:val="000000"/>
                <w:sz w:val="14"/>
                <w:szCs w:val="14"/>
                <w:lang w:val="en-US"/>
              </w:rPr>
              <w:t>14.097500</w:t>
            </w:r>
          </w:p>
        </w:tc>
        <w:tc>
          <w:tcPr>
            <w:tcW w:w="998" w:type="dxa"/>
            <w:noWrap/>
            <w:vAlign w:val="center"/>
            <w:hideMark/>
          </w:tcPr>
          <w:p w14:paraId="6F10C925" w14:textId="77777777" w:rsidR="00F3536C" w:rsidRPr="00A4272B" w:rsidRDefault="00F3536C" w:rsidP="00A41632">
            <w:pPr>
              <w:jc w:val="right"/>
              <w:rPr>
                <w:color w:val="000000"/>
                <w:sz w:val="14"/>
                <w:szCs w:val="14"/>
                <w:lang w:val="en-US"/>
              </w:rPr>
            </w:pPr>
            <w:r w:rsidRPr="00A4272B">
              <w:rPr>
                <w:color w:val="000000"/>
                <w:sz w:val="14"/>
                <w:szCs w:val="14"/>
                <w:lang w:val="en-US"/>
              </w:rPr>
              <w:t>-87.202778</w:t>
            </w:r>
          </w:p>
        </w:tc>
        <w:tc>
          <w:tcPr>
            <w:tcW w:w="859" w:type="dxa"/>
            <w:tcBorders>
              <w:top w:val="nil"/>
              <w:left w:val="nil"/>
              <w:bottom w:val="nil"/>
              <w:right w:val="single" w:sz="8" w:space="0" w:color="auto"/>
            </w:tcBorders>
            <w:noWrap/>
            <w:vAlign w:val="center"/>
            <w:hideMark/>
          </w:tcPr>
          <w:p w14:paraId="7201851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F5C2F9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4E9B1C35"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F96015C"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8BEF3A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096F1BD"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9C4BAD8"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1147FD5F" w14:textId="77777777" w:rsidTr="00A41632">
        <w:trPr>
          <w:trHeight w:val="276"/>
          <w:jc w:val="center"/>
        </w:trPr>
        <w:tc>
          <w:tcPr>
            <w:tcW w:w="955" w:type="dxa"/>
            <w:tcBorders>
              <w:top w:val="nil"/>
              <w:left w:val="single" w:sz="8" w:space="0" w:color="auto"/>
              <w:bottom w:val="nil"/>
              <w:right w:val="nil"/>
            </w:tcBorders>
            <w:noWrap/>
            <w:vAlign w:val="center"/>
            <w:hideMark/>
          </w:tcPr>
          <w:p w14:paraId="55B12468"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7CE7EC1" w14:textId="77777777" w:rsidR="00F3536C" w:rsidRPr="00A4272B" w:rsidRDefault="00F3536C" w:rsidP="00A41632">
            <w:pPr>
              <w:rPr>
                <w:color w:val="000000"/>
                <w:sz w:val="14"/>
                <w:szCs w:val="14"/>
                <w:lang w:val="en-US"/>
              </w:rPr>
            </w:pPr>
            <w:r w:rsidRPr="00A4272B">
              <w:rPr>
                <w:color w:val="000000"/>
                <w:sz w:val="14"/>
                <w:szCs w:val="14"/>
                <w:lang w:val="en-US"/>
              </w:rPr>
              <w:t>Panama</w:t>
            </w:r>
          </w:p>
        </w:tc>
        <w:tc>
          <w:tcPr>
            <w:tcW w:w="2504" w:type="dxa"/>
            <w:noWrap/>
            <w:vAlign w:val="center"/>
            <w:hideMark/>
          </w:tcPr>
          <w:p w14:paraId="17E164D8" w14:textId="77777777" w:rsidR="00F3536C" w:rsidRPr="00A4272B" w:rsidRDefault="00F3536C" w:rsidP="00A41632">
            <w:pPr>
              <w:rPr>
                <w:color w:val="000000"/>
                <w:sz w:val="14"/>
                <w:szCs w:val="14"/>
                <w:lang w:val="en-US"/>
              </w:rPr>
            </w:pPr>
            <w:r w:rsidRPr="00A4272B">
              <w:rPr>
                <w:color w:val="000000"/>
                <w:sz w:val="14"/>
                <w:szCs w:val="14"/>
                <w:lang w:val="en-US"/>
              </w:rPr>
              <w:t>Santiago</w:t>
            </w:r>
          </w:p>
        </w:tc>
        <w:tc>
          <w:tcPr>
            <w:tcW w:w="998" w:type="dxa"/>
            <w:noWrap/>
            <w:vAlign w:val="center"/>
            <w:hideMark/>
          </w:tcPr>
          <w:p w14:paraId="3CE664D2" w14:textId="77777777" w:rsidR="00F3536C" w:rsidRPr="00A4272B" w:rsidRDefault="00F3536C" w:rsidP="00A41632">
            <w:pPr>
              <w:jc w:val="center"/>
              <w:rPr>
                <w:color w:val="000000"/>
                <w:sz w:val="14"/>
                <w:szCs w:val="14"/>
                <w:lang w:val="en-US"/>
              </w:rPr>
            </w:pPr>
            <w:r w:rsidRPr="00A4272B">
              <w:rPr>
                <w:color w:val="000000"/>
                <w:sz w:val="14"/>
                <w:szCs w:val="14"/>
                <w:lang w:val="en-US"/>
              </w:rPr>
              <w:t>67</w:t>
            </w:r>
          </w:p>
        </w:tc>
        <w:tc>
          <w:tcPr>
            <w:tcW w:w="1342" w:type="dxa"/>
            <w:noWrap/>
            <w:vAlign w:val="center"/>
            <w:hideMark/>
          </w:tcPr>
          <w:p w14:paraId="6DB6A886"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136C0D86" w14:textId="77777777" w:rsidR="00F3536C" w:rsidRPr="00A4272B" w:rsidRDefault="00F3536C" w:rsidP="00A41632">
            <w:pPr>
              <w:jc w:val="right"/>
              <w:rPr>
                <w:color w:val="000000"/>
                <w:sz w:val="14"/>
                <w:szCs w:val="14"/>
                <w:lang w:val="en-US"/>
              </w:rPr>
            </w:pPr>
            <w:r w:rsidRPr="00A4272B">
              <w:rPr>
                <w:color w:val="000000"/>
                <w:sz w:val="14"/>
                <w:szCs w:val="14"/>
                <w:lang w:val="en-US"/>
              </w:rPr>
              <w:t>8.127972</w:t>
            </w:r>
          </w:p>
        </w:tc>
        <w:tc>
          <w:tcPr>
            <w:tcW w:w="998" w:type="dxa"/>
            <w:noWrap/>
            <w:vAlign w:val="center"/>
            <w:hideMark/>
          </w:tcPr>
          <w:p w14:paraId="334F9670" w14:textId="77777777" w:rsidR="00F3536C" w:rsidRPr="00A4272B" w:rsidRDefault="00F3536C" w:rsidP="00A41632">
            <w:pPr>
              <w:jc w:val="right"/>
              <w:rPr>
                <w:color w:val="000000"/>
                <w:sz w:val="14"/>
                <w:szCs w:val="14"/>
                <w:lang w:val="en-US"/>
              </w:rPr>
            </w:pPr>
            <w:r w:rsidRPr="00A4272B">
              <w:rPr>
                <w:color w:val="000000"/>
                <w:sz w:val="14"/>
                <w:szCs w:val="14"/>
                <w:lang w:val="en-US"/>
              </w:rPr>
              <w:t>-80.989444</w:t>
            </w:r>
          </w:p>
        </w:tc>
        <w:tc>
          <w:tcPr>
            <w:tcW w:w="859" w:type="dxa"/>
            <w:tcBorders>
              <w:top w:val="nil"/>
              <w:left w:val="nil"/>
              <w:bottom w:val="nil"/>
              <w:right w:val="single" w:sz="8" w:space="0" w:color="auto"/>
            </w:tcBorders>
            <w:noWrap/>
            <w:vAlign w:val="center"/>
            <w:hideMark/>
          </w:tcPr>
          <w:p w14:paraId="0F4B087A"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4C90F63A"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042FAF7"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54A2C52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0372208B"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C5730E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47FB5DBD" w14:textId="77777777" w:rsidR="00F3536C" w:rsidRPr="00A4272B" w:rsidRDefault="00F3536C" w:rsidP="00A41632">
            <w:pPr>
              <w:jc w:val="center"/>
              <w:rPr>
                <w:sz w:val="14"/>
                <w:szCs w:val="14"/>
                <w:lang w:val="en-US"/>
              </w:rPr>
            </w:pPr>
            <w:r w:rsidRPr="00A4272B">
              <w:rPr>
                <w:sz w:val="14"/>
                <w:szCs w:val="14"/>
                <w:lang w:val="en-US"/>
              </w:rPr>
              <w:t>2016</w:t>
            </w:r>
          </w:p>
        </w:tc>
      </w:tr>
      <w:tr w:rsidR="00F3536C" w:rsidRPr="00A4272B" w14:paraId="274F802F" w14:textId="77777777" w:rsidTr="00A41632">
        <w:trPr>
          <w:trHeight w:val="276"/>
          <w:jc w:val="center"/>
        </w:trPr>
        <w:tc>
          <w:tcPr>
            <w:tcW w:w="955" w:type="dxa"/>
            <w:tcBorders>
              <w:top w:val="nil"/>
              <w:left w:val="single" w:sz="8" w:space="0" w:color="auto"/>
              <w:bottom w:val="nil"/>
              <w:right w:val="nil"/>
            </w:tcBorders>
            <w:noWrap/>
            <w:vAlign w:val="center"/>
            <w:hideMark/>
          </w:tcPr>
          <w:p w14:paraId="11CFD399"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CF53CE4" w14:textId="77777777" w:rsidR="00F3536C" w:rsidRPr="00A4272B" w:rsidRDefault="00F3536C" w:rsidP="00A41632">
            <w:pPr>
              <w:rPr>
                <w:color w:val="000000"/>
                <w:sz w:val="14"/>
                <w:szCs w:val="14"/>
                <w:lang w:val="en-US"/>
              </w:rPr>
            </w:pPr>
            <w:r w:rsidRPr="00A4272B">
              <w:rPr>
                <w:color w:val="000000"/>
                <w:sz w:val="14"/>
                <w:szCs w:val="14"/>
                <w:lang w:val="en-US"/>
              </w:rPr>
              <w:t>Peru</w:t>
            </w:r>
          </w:p>
        </w:tc>
        <w:tc>
          <w:tcPr>
            <w:tcW w:w="2504" w:type="dxa"/>
            <w:noWrap/>
            <w:vAlign w:val="center"/>
            <w:hideMark/>
          </w:tcPr>
          <w:p w14:paraId="172DEC65" w14:textId="77777777" w:rsidR="00F3536C" w:rsidRPr="00A4272B" w:rsidRDefault="00F3536C" w:rsidP="00A41632">
            <w:pPr>
              <w:rPr>
                <w:color w:val="000000"/>
                <w:sz w:val="14"/>
                <w:szCs w:val="14"/>
                <w:lang w:val="en-US"/>
              </w:rPr>
            </w:pPr>
            <w:r w:rsidRPr="00A4272B">
              <w:rPr>
                <w:color w:val="000000"/>
                <w:sz w:val="14"/>
                <w:szCs w:val="14"/>
                <w:lang w:val="en-US"/>
              </w:rPr>
              <w:t>Chaclacayo, Lima</w:t>
            </w:r>
          </w:p>
        </w:tc>
        <w:tc>
          <w:tcPr>
            <w:tcW w:w="998" w:type="dxa"/>
            <w:noWrap/>
            <w:vAlign w:val="center"/>
            <w:hideMark/>
          </w:tcPr>
          <w:p w14:paraId="57D2920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1342" w:type="dxa"/>
            <w:noWrap/>
            <w:vAlign w:val="center"/>
            <w:hideMark/>
          </w:tcPr>
          <w:p w14:paraId="44388D8D"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489B3BDB" w14:textId="77777777" w:rsidR="00F3536C" w:rsidRPr="00A4272B" w:rsidRDefault="00F3536C" w:rsidP="00A41632">
            <w:pPr>
              <w:jc w:val="right"/>
              <w:rPr>
                <w:color w:val="000000"/>
                <w:sz w:val="14"/>
                <w:szCs w:val="14"/>
                <w:lang w:val="en-US"/>
              </w:rPr>
            </w:pPr>
            <w:r w:rsidRPr="00A4272B">
              <w:rPr>
                <w:color w:val="000000"/>
                <w:sz w:val="14"/>
                <w:szCs w:val="14"/>
                <w:lang w:val="en-US"/>
              </w:rPr>
              <w:t>-11.972500</w:t>
            </w:r>
          </w:p>
        </w:tc>
        <w:tc>
          <w:tcPr>
            <w:tcW w:w="998" w:type="dxa"/>
            <w:noWrap/>
            <w:vAlign w:val="center"/>
            <w:hideMark/>
          </w:tcPr>
          <w:p w14:paraId="06540E0A" w14:textId="77777777" w:rsidR="00F3536C" w:rsidRPr="00A4272B" w:rsidRDefault="00F3536C" w:rsidP="00A41632">
            <w:pPr>
              <w:jc w:val="right"/>
              <w:rPr>
                <w:color w:val="000000"/>
                <w:sz w:val="14"/>
                <w:szCs w:val="14"/>
                <w:lang w:val="en-US"/>
              </w:rPr>
            </w:pPr>
            <w:r w:rsidRPr="00A4272B">
              <w:rPr>
                <w:color w:val="000000"/>
                <w:sz w:val="14"/>
                <w:szCs w:val="14"/>
                <w:lang w:val="en-US"/>
              </w:rPr>
              <w:t>-76.754444</w:t>
            </w:r>
          </w:p>
        </w:tc>
        <w:tc>
          <w:tcPr>
            <w:tcW w:w="859" w:type="dxa"/>
            <w:tcBorders>
              <w:top w:val="nil"/>
              <w:left w:val="nil"/>
              <w:bottom w:val="nil"/>
              <w:right w:val="single" w:sz="8" w:space="0" w:color="auto"/>
            </w:tcBorders>
            <w:noWrap/>
            <w:vAlign w:val="center"/>
            <w:hideMark/>
          </w:tcPr>
          <w:p w14:paraId="61AB4210"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02125501"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453BE2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BB2161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A0644E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D8D1B04"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395259E5"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63824C16" w14:textId="77777777" w:rsidTr="00A41632">
        <w:trPr>
          <w:trHeight w:val="276"/>
          <w:jc w:val="center"/>
        </w:trPr>
        <w:tc>
          <w:tcPr>
            <w:tcW w:w="955" w:type="dxa"/>
            <w:tcBorders>
              <w:top w:val="nil"/>
              <w:left w:val="single" w:sz="8" w:space="0" w:color="auto"/>
              <w:bottom w:val="nil"/>
              <w:right w:val="nil"/>
            </w:tcBorders>
            <w:noWrap/>
            <w:vAlign w:val="center"/>
            <w:hideMark/>
          </w:tcPr>
          <w:p w14:paraId="2FF54452"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F4ACEEF" w14:textId="77777777" w:rsidR="00F3536C" w:rsidRPr="00A4272B" w:rsidRDefault="00F3536C" w:rsidP="00A41632">
            <w:pPr>
              <w:rPr>
                <w:color w:val="000000"/>
                <w:sz w:val="14"/>
                <w:szCs w:val="14"/>
                <w:lang w:val="en-US"/>
              </w:rPr>
            </w:pPr>
            <w:r w:rsidRPr="00A4272B">
              <w:rPr>
                <w:color w:val="000000"/>
                <w:sz w:val="14"/>
                <w:szCs w:val="14"/>
                <w:lang w:val="en-US"/>
              </w:rPr>
              <w:t>Peru</w:t>
            </w:r>
          </w:p>
        </w:tc>
        <w:tc>
          <w:tcPr>
            <w:tcW w:w="2504" w:type="dxa"/>
            <w:noWrap/>
            <w:vAlign w:val="center"/>
            <w:hideMark/>
          </w:tcPr>
          <w:p w14:paraId="23F19C2A" w14:textId="77777777" w:rsidR="00F3536C" w:rsidRPr="00A4272B" w:rsidRDefault="00F3536C" w:rsidP="00A41632">
            <w:pPr>
              <w:rPr>
                <w:color w:val="000000"/>
                <w:sz w:val="14"/>
                <w:szCs w:val="14"/>
                <w:lang w:val="en-US"/>
              </w:rPr>
            </w:pPr>
            <w:r w:rsidRPr="00A4272B">
              <w:rPr>
                <w:color w:val="000000"/>
                <w:sz w:val="14"/>
                <w:szCs w:val="14"/>
                <w:lang w:val="en-US"/>
              </w:rPr>
              <w:t>PUCP, Lima</w:t>
            </w:r>
          </w:p>
        </w:tc>
        <w:tc>
          <w:tcPr>
            <w:tcW w:w="998" w:type="dxa"/>
            <w:noWrap/>
            <w:vAlign w:val="center"/>
            <w:hideMark/>
          </w:tcPr>
          <w:p w14:paraId="0700BC1F" w14:textId="77777777" w:rsidR="00F3536C" w:rsidRPr="00A4272B" w:rsidRDefault="00F3536C" w:rsidP="00A41632">
            <w:pPr>
              <w:jc w:val="center"/>
              <w:rPr>
                <w:color w:val="000000"/>
                <w:sz w:val="14"/>
                <w:szCs w:val="14"/>
                <w:lang w:val="en-US"/>
              </w:rPr>
            </w:pPr>
            <w:r w:rsidRPr="00A4272B">
              <w:rPr>
                <w:color w:val="000000"/>
                <w:sz w:val="14"/>
                <w:szCs w:val="14"/>
                <w:lang w:val="en-US"/>
              </w:rPr>
              <w:t>73</w:t>
            </w:r>
          </w:p>
        </w:tc>
        <w:tc>
          <w:tcPr>
            <w:tcW w:w="1342" w:type="dxa"/>
            <w:noWrap/>
            <w:vAlign w:val="center"/>
            <w:hideMark/>
          </w:tcPr>
          <w:p w14:paraId="423DA1F7"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517B5D1E" w14:textId="77777777" w:rsidR="00F3536C" w:rsidRPr="00A4272B" w:rsidRDefault="00F3536C" w:rsidP="00A41632">
            <w:pPr>
              <w:jc w:val="right"/>
              <w:rPr>
                <w:color w:val="000000"/>
                <w:sz w:val="14"/>
                <w:szCs w:val="14"/>
                <w:lang w:val="en-US"/>
              </w:rPr>
            </w:pPr>
            <w:r w:rsidRPr="00A4272B">
              <w:rPr>
                <w:color w:val="000000"/>
                <w:sz w:val="14"/>
                <w:szCs w:val="14"/>
                <w:lang w:val="en-US"/>
              </w:rPr>
              <w:t>-12.073331</w:t>
            </w:r>
          </w:p>
        </w:tc>
        <w:tc>
          <w:tcPr>
            <w:tcW w:w="998" w:type="dxa"/>
            <w:noWrap/>
            <w:vAlign w:val="center"/>
            <w:hideMark/>
          </w:tcPr>
          <w:p w14:paraId="04B02051" w14:textId="77777777" w:rsidR="00F3536C" w:rsidRPr="00A4272B" w:rsidRDefault="00F3536C" w:rsidP="00A41632">
            <w:pPr>
              <w:jc w:val="right"/>
              <w:rPr>
                <w:color w:val="000000"/>
                <w:sz w:val="14"/>
                <w:szCs w:val="14"/>
                <w:lang w:val="en-US"/>
              </w:rPr>
            </w:pPr>
            <w:r w:rsidRPr="00A4272B">
              <w:rPr>
                <w:color w:val="000000"/>
                <w:sz w:val="14"/>
                <w:szCs w:val="14"/>
                <w:lang w:val="en-US"/>
              </w:rPr>
              <w:t>-77.079722</w:t>
            </w:r>
          </w:p>
        </w:tc>
        <w:tc>
          <w:tcPr>
            <w:tcW w:w="859" w:type="dxa"/>
            <w:tcBorders>
              <w:top w:val="nil"/>
              <w:left w:val="nil"/>
              <w:bottom w:val="nil"/>
              <w:right w:val="single" w:sz="8" w:space="0" w:color="auto"/>
            </w:tcBorders>
            <w:noWrap/>
            <w:vAlign w:val="center"/>
            <w:hideMark/>
          </w:tcPr>
          <w:p w14:paraId="73D483C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3AD0B759"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7416989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21E8A8BB"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59DD9AF"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43B500EA"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1F0F20B"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4A6BD6CC" w14:textId="77777777" w:rsidTr="00A41632">
        <w:trPr>
          <w:trHeight w:val="276"/>
          <w:jc w:val="center"/>
        </w:trPr>
        <w:tc>
          <w:tcPr>
            <w:tcW w:w="955" w:type="dxa"/>
            <w:tcBorders>
              <w:top w:val="nil"/>
              <w:left w:val="single" w:sz="8" w:space="0" w:color="auto"/>
              <w:bottom w:val="nil"/>
              <w:right w:val="nil"/>
            </w:tcBorders>
            <w:noWrap/>
            <w:vAlign w:val="center"/>
            <w:hideMark/>
          </w:tcPr>
          <w:p w14:paraId="18ADDBC2"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60D46D4D" w14:textId="77777777" w:rsidR="00F3536C" w:rsidRPr="00A4272B" w:rsidRDefault="00F3536C" w:rsidP="00A41632">
            <w:pPr>
              <w:rPr>
                <w:color w:val="000000"/>
                <w:sz w:val="14"/>
                <w:szCs w:val="14"/>
                <w:lang w:val="en-US"/>
              </w:rPr>
            </w:pPr>
            <w:r w:rsidRPr="00A4272B">
              <w:rPr>
                <w:color w:val="000000"/>
                <w:sz w:val="14"/>
                <w:szCs w:val="14"/>
                <w:lang w:val="en-US"/>
              </w:rPr>
              <w:t>Peru</w:t>
            </w:r>
          </w:p>
        </w:tc>
        <w:tc>
          <w:tcPr>
            <w:tcW w:w="2504" w:type="dxa"/>
            <w:noWrap/>
            <w:vAlign w:val="center"/>
            <w:hideMark/>
          </w:tcPr>
          <w:p w14:paraId="50721C48" w14:textId="77777777" w:rsidR="00F3536C" w:rsidRPr="00A4272B" w:rsidRDefault="00F3536C" w:rsidP="00A41632">
            <w:pPr>
              <w:rPr>
                <w:color w:val="000000"/>
                <w:sz w:val="14"/>
                <w:szCs w:val="14"/>
                <w:lang w:val="en-US"/>
              </w:rPr>
            </w:pPr>
            <w:r w:rsidRPr="00A4272B">
              <w:rPr>
                <w:color w:val="000000"/>
                <w:sz w:val="14"/>
                <w:szCs w:val="14"/>
                <w:lang w:val="en-US"/>
              </w:rPr>
              <w:t>Tambopata Research Centre / Puerto Maldonado</w:t>
            </w:r>
          </w:p>
        </w:tc>
        <w:tc>
          <w:tcPr>
            <w:tcW w:w="998" w:type="dxa"/>
            <w:noWrap/>
            <w:vAlign w:val="center"/>
            <w:hideMark/>
          </w:tcPr>
          <w:p w14:paraId="44B3D2EB" w14:textId="77777777" w:rsidR="00F3536C" w:rsidRPr="00A4272B" w:rsidRDefault="00F3536C" w:rsidP="00A41632">
            <w:pPr>
              <w:jc w:val="center"/>
              <w:rPr>
                <w:color w:val="000000"/>
                <w:sz w:val="14"/>
                <w:szCs w:val="14"/>
                <w:lang w:val="en-US"/>
              </w:rPr>
            </w:pPr>
            <w:r w:rsidRPr="00A4272B">
              <w:rPr>
                <w:color w:val="000000"/>
                <w:sz w:val="14"/>
                <w:szCs w:val="14"/>
                <w:lang w:val="en-US"/>
              </w:rPr>
              <w:t>74</w:t>
            </w:r>
          </w:p>
        </w:tc>
        <w:tc>
          <w:tcPr>
            <w:tcW w:w="1342" w:type="dxa"/>
            <w:noWrap/>
            <w:vAlign w:val="center"/>
            <w:hideMark/>
          </w:tcPr>
          <w:p w14:paraId="41AF5644" w14:textId="77777777" w:rsidR="00F3536C" w:rsidRPr="00A4272B" w:rsidRDefault="00F3536C" w:rsidP="00A41632">
            <w:pPr>
              <w:jc w:val="center"/>
              <w:rPr>
                <w:color w:val="000000"/>
                <w:sz w:val="14"/>
                <w:szCs w:val="14"/>
                <w:lang w:val="en-US"/>
              </w:rPr>
            </w:pPr>
            <w:r w:rsidRPr="00A4272B">
              <w:rPr>
                <w:color w:val="000000"/>
                <w:sz w:val="14"/>
                <w:szCs w:val="14"/>
                <w:lang w:val="en-US"/>
              </w:rPr>
              <w:t>Rural</w:t>
            </w:r>
          </w:p>
        </w:tc>
        <w:tc>
          <w:tcPr>
            <w:tcW w:w="900" w:type="dxa"/>
            <w:noWrap/>
            <w:vAlign w:val="center"/>
            <w:hideMark/>
          </w:tcPr>
          <w:p w14:paraId="7E8D40D2" w14:textId="77777777" w:rsidR="00F3536C" w:rsidRPr="00A4272B" w:rsidRDefault="00F3536C" w:rsidP="00A41632">
            <w:pPr>
              <w:jc w:val="right"/>
              <w:rPr>
                <w:color w:val="000000"/>
                <w:sz w:val="14"/>
                <w:szCs w:val="14"/>
                <w:lang w:val="en-US"/>
              </w:rPr>
            </w:pPr>
            <w:r w:rsidRPr="00A4272B">
              <w:rPr>
                <w:color w:val="000000"/>
                <w:sz w:val="14"/>
                <w:szCs w:val="14"/>
                <w:lang w:val="en-US"/>
              </w:rPr>
              <w:t>-12.833470</w:t>
            </w:r>
          </w:p>
        </w:tc>
        <w:tc>
          <w:tcPr>
            <w:tcW w:w="998" w:type="dxa"/>
            <w:noWrap/>
            <w:vAlign w:val="center"/>
            <w:hideMark/>
          </w:tcPr>
          <w:p w14:paraId="0BFCBB7E" w14:textId="77777777" w:rsidR="00F3536C" w:rsidRPr="00A4272B" w:rsidRDefault="00F3536C" w:rsidP="00A41632">
            <w:pPr>
              <w:jc w:val="right"/>
              <w:rPr>
                <w:color w:val="000000"/>
                <w:sz w:val="14"/>
                <w:szCs w:val="14"/>
                <w:lang w:val="en-US"/>
              </w:rPr>
            </w:pPr>
            <w:r w:rsidRPr="00A4272B">
              <w:rPr>
                <w:color w:val="000000"/>
                <w:sz w:val="14"/>
                <w:szCs w:val="14"/>
                <w:lang w:val="en-US"/>
              </w:rPr>
              <w:t>-69.292250</w:t>
            </w:r>
          </w:p>
        </w:tc>
        <w:tc>
          <w:tcPr>
            <w:tcW w:w="859" w:type="dxa"/>
            <w:tcBorders>
              <w:top w:val="nil"/>
              <w:left w:val="nil"/>
              <w:bottom w:val="nil"/>
              <w:right w:val="single" w:sz="8" w:space="0" w:color="auto"/>
            </w:tcBorders>
            <w:noWrap/>
            <w:vAlign w:val="center"/>
            <w:hideMark/>
          </w:tcPr>
          <w:p w14:paraId="79B1865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A7BD94D"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6C4C3836"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3155645"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249B6936"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792015C7"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5EF07957"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5898C58E" w14:textId="77777777" w:rsidTr="00A41632">
        <w:trPr>
          <w:trHeight w:val="276"/>
          <w:jc w:val="center"/>
        </w:trPr>
        <w:tc>
          <w:tcPr>
            <w:tcW w:w="955" w:type="dxa"/>
            <w:tcBorders>
              <w:top w:val="nil"/>
              <w:left w:val="single" w:sz="8" w:space="0" w:color="auto"/>
              <w:bottom w:val="nil"/>
              <w:right w:val="nil"/>
            </w:tcBorders>
            <w:noWrap/>
            <w:vAlign w:val="center"/>
            <w:hideMark/>
          </w:tcPr>
          <w:p w14:paraId="261C21EF"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204E8ECA" w14:textId="77777777" w:rsidR="00F3536C" w:rsidRPr="00A4272B" w:rsidRDefault="00F3536C" w:rsidP="00A41632">
            <w:pPr>
              <w:rPr>
                <w:color w:val="000000"/>
                <w:sz w:val="14"/>
                <w:szCs w:val="14"/>
                <w:lang w:val="en-US"/>
              </w:rPr>
            </w:pPr>
            <w:r w:rsidRPr="00A4272B">
              <w:rPr>
                <w:color w:val="000000"/>
                <w:sz w:val="14"/>
                <w:szCs w:val="14"/>
                <w:lang w:val="en-US"/>
              </w:rPr>
              <w:t>Uruguay</w:t>
            </w:r>
          </w:p>
        </w:tc>
        <w:tc>
          <w:tcPr>
            <w:tcW w:w="2504" w:type="dxa"/>
            <w:noWrap/>
            <w:vAlign w:val="center"/>
            <w:hideMark/>
          </w:tcPr>
          <w:p w14:paraId="00C8A15F" w14:textId="77777777" w:rsidR="00F3536C" w:rsidRPr="00A4272B" w:rsidRDefault="00F3536C" w:rsidP="00A41632">
            <w:pPr>
              <w:rPr>
                <w:color w:val="000000"/>
                <w:sz w:val="14"/>
                <w:szCs w:val="14"/>
                <w:lang w:val="en-US"/>
              </w:rPr>
            </w:pPr>
            <w:r w:rsidRPr="00A4272B">
              <w:rPr>
                <w:color w:val="000000"/>
                <w:sz w:val="14"/>
                <w:szCs w:val="14"/>
                <w:lang w:val="en-US"/>
              </w:rPr>
              <w:t>Montevido</w:t>
            </w:r>
          </w:p>
        </w:tc>
        <w:tc>
          <w:tcPr>
            <w:tcW w:w="998" w:type="dxa"/>
            <w:noWrap/>
            <w:vAlign w:val="center"/>
            <w:hideMark/>
          </w:tcPr>
          <w:p w14:paraId="2BE35FA7" w14:textId="77777777" w:rsidR="00F3536C" w:rsidRPr="00A4272B" w:rsidRDefault="00F3536C" w:rsidP="00A41632">
            <w:pPr>
              <w:jc w:val="center"/>
              <w:rPr>
                <w:color w:val="000000"/>
                <w:sz w:val="14"/>
                <w:szCs w:val="14"/>
                <w:lang w:val="en-US"/>
              </w:rPr>
            </w:pPr>
            <w:r w:rsidRPr="00A4272B">
              <w:rPr>
                <w:color w:val="000000"/>
                <w:sz w:val="14"/>
                <w:szCs w:val="14"/>
                <w:lang w:val="en-US"/>
              </w:rPr>
              <w:t>46</w:t>
            </w:r>
          </w:p>
        </w:tc>
        <w:tc>
          <w:tcPr>
            <w:tcW w:w="1342" w:type="dxa"/>
            <w:noWrap/>
            <w:vAlign w:val="center"/>
            <w:hideMark/>
          </w:tcPr>
          <w:p w14:paraId="4CD94E9A"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noWrap/>
            <w:vAlign w:val="center"/>
            <w:hideMark/>
          </w:tcPr>
          <w:p w14:paraId="47A9537B" w14:textId="77777777" w:rsidR="00F3536C" w:rsidRPr="00A4272B" w:rsidRDefault="00F3536C" w:rsidP="00A41632">
            <w:pPr>
              <w:jc w:val="right"/>
              <w:rPr>
                <w:color w:val="000000"/>
                <w:sz w:val="14"/>
                <w:szCs w:val="14"/>
                <w:lang w:val="en-US"/>
              </w:rPr>
            </w:pPr>
            <w:r w:rsidRPr="00A4272B">
              <w:rPr>
                <w:color w:val="000000"/>
                <w:sz w:val="14"/>
                <w:szCs w:val="14"/>
                <w:lang w:val="en-US"/>
              </w:rPr>
              <w:t>-34.882942</w:t>
            </w:r>
          </w:p>
        </w:tc>
        <w:tc>
          <w:tcPr>
            <w:tcW w:w="998" w:type="dxa"/>
            <w:noWrap/>
            <w:vAlign w:val="center"/>
            <w:hideMark/>
          </w:tcPr>
          <w:p w14:paraId="45F47CA3" w14:textId="77777777" w:rsidR="00F3536C" w:rsidRPr="00A4272B" w:rsidRDefault="00F3536C" w:rsidP="00A41632">
            <w:pPr>
              <w:jc w:val="right"/>
              <w:rPr>
                <w:color w:val="000000"/>
                <w:sz w:val="14"/>
                <w:szCs w:val="14"/>
                <w:lang w:val="en-US"/>
              </w:rPr>
            </w:pPr>
            <w:r w:rsidRPr="00A4272B">
              <w:rPr>
                <w:color w:val="000000"/>
                <w:sz w:val="14"/>
                <w:szCs w:val="14"/>
                <w:lang w:val="en-US"/>
              </w:rPr>
              <w:t>-56.164167</w:t>
            </w:r>
          </w:p>
        </w:tc>
        <w:tc>
          <w:tcPr>
            <w:tcW w:w="859" w:type="dxa"/>
            <w:tcBorders>
              <w:top w:val="nil"/>
              <w:left w:val="nil"/>
              <w:bottom w:val="nil"/>
              <w:right w:val="single" w:sz="8" w:space="0" w:color="auto"/>
            </w:tcBorders>
            <w:noWrap/>
            <w:vAlign w:val="center"/>
            <w:hideMark/>
          </w:tcPr>
          <w:p w14:paraId="4F5E42B8"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6E326DF3"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1FB0ECB4"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1757EB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738C388E"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6562914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116B3339"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2E91A943" w14:textId="77777777" w:rsidTr="00A41632">
        <w:trPr>
          <w:trHeight w:val="276"/>
          <w:jc w:val="center"/>
        </w:trPr>
        <w:tc>
          <w:tcPr>
            <w:tcW w:w="955" w:type="dxa"/>
            <w:tcBorders>
              <w:top w:val="nil"/>
              <w:left w:val="single" w:sz="8" w:space="0" w:color="auto"/>
              <w:bottom w:val="nil"/>
              <w:right w:val="nil"/>
            </w:tcBorders>
            <w:noWrap/>
            <w:vAlign w:val="center"/>
            <w:hideMark/>
          </w:tcPr>
          <w:p w14:paraId="77DFCD19"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5FCC233A" w14:textId="77777777" w:rsidR="00F3536C" w:rsidRPr="00A4272B" w:rsidRDefault="00F3536C" w:rsidP="00A41632">
            <w:pPr>
              <w:rPr>
                <w:color w:val="000000"/>
                <w:sz w:val="14"/>
                <w:szCs w:val="14"/>
                <w:lang w:val="en-US"/>
              </w:rPr>
            </w:pPr>
            <w:r w:rsidRPr="00A4272B">
              <w:rPr>
                <w:color w:val="000000"/>
                <w:sz w:val="14"/>
                <w:szCs w:val="14"/>
                <w:lang w:val="en-US"/>
              </w:rPr>
              <w:t>Uruguay</w:t>
            </w:r>
          </w:p>
        </w:tc>
        <w:tc>
          <w:tcPr>
            <w:tcW w:w="2504" w:type="dxa"/>
            <w:noWrap/>
            <w:vAlign w:val="center"/>
            <w:hideMark/>
          </w:tcPr>
          <w:p w14:paraId="35705EAF" w14:textId="77777777" w:rsidR="00F3536C" w:rsidRPr="00A4272B" w:rsidRDefault="00F3536C" w:rsidP="00A41632">
            <w:pPr>
              <w:rPr>
                <w:color w:val="000000"/>
                <w:sz w:val="14"/>
                <w:szCs w:val="14"/>
                <w:lang w:val="en-US"/>
              </w:rPr>
            </w:pPr>
            <w:r w:rsidRPr="00A4272B">
              <w:rPr>
                <w:color w:val="000000"/>
                <w:sz w:val="14"/>
                <w:szCs w:val="14"/>
                <w:lang w:val="en-US"/>
              </w:rPr>
              <w:t>Salto</w:t>
            </w:r>
          </w:p>
        </w:tc>
        <w:tc>
          <w:tcPr>
            <w:tcW w:w="998" w:type="dxa"/>
            <w:noWrap/>
            <w:vAlign w:val="center"/>
            <w:hideMark/>
          </w:tcPr>
          <w:p w14:paraId="32ED27A8" w14:textId="77777777" w:rsidR="00F3536C" w:rsidRPr="00A4272B" w:rsidRDefault="00F3536C" w:rsidP="00A41632">
            <w:pPr>
              <w:jc w:val="center"/>
              <w:rPr>
                <w:color w:val="000000"/>
                <w:sz w:val="14"/>
                <w:szCs w:val="14"/>
                <w:lang w:val="en-US"/>
              </w:rPr>
            </w:pPr>
            <w:r w:rsidRPr="00A4272B">
              <w:rPr>
                <w:color w:val="000000"/>
                <w:sz w:val="14"/>
                <w:szCs w:val="14"/>
                <w:lang w:val="en-US"/>
              </w:rPr>
              <w:t>54</w:t>
            </w:r>
          </w:p>
        </w:tc>
        <w:tc>
          <w:tcPr>
            <w:tcW w:w="1342" w:type="dxa"/>
            <w:noWrap/>
            <w:vAlign w:val="center"/>
            <w:hideMark/>
          </w:tcPr>
          <w:p w14:paraId="4F1727D4" w14:textId="77777777" w:rsidR="00F3536C" w:rsidRPr="00A4272B" w:rsidRDefault="00F3536C" w:rsidP="00A41632">
            <w:pPr>
              <w:jc w:val="center"/>
              <w:rPr>
                <w:color w:val="000000"/>
                <w:sz w:val="14"/>
                <w:szCs w:val="14"/>
                <w:lang w:val="en-US"/>
              </w:rPr>
            </w:pPr>
            <w:r w:rsidRPr="00A4272B">
              <w:rPr>
                <w:color w:val="000000"/>
                <w:sz w:val="14"/>
                <w:szCs w:val="14"/>
                <w:lang w:val="en-US"/>
              </w:rPr>
              <w:t>Rural / Agricultural</w:t>
            </w:r>
          </w:p>
        </w:tc>
        <w:tc>
          <w:tcPr>
            <w:tcW w:w="900" w:type="dxa"/>
            <w:noWrap/>
            <w:vAlign w:val="center"/>
            <w:hideMark/>
          </w:tcPr>
          <w:p w14:paraId="465FDB03" w14:textId="77777777" w:rsidR="00F3536C" w:rsidRPr="00A4272B" w:rsidRDefault="00F3536C" w:rsidP="00A41632">
            <w:pPr>
              <w:jc w:val="right"/>
              <w:rPr>
                <w:color w:val="000000"/>
                <w:sz w:val="14"/>
                <w:szCs w:val="14"/>
                <w:lang w:val="en-US"/>
              </w:rPr>
            </w:pPr>
            <w:r w:rsidRPr="00A4272B">
              <w:rPr>
                <w:color w:val="000000"/>
                <w:sz w:val="14"/>
                <w:szCs w:val="14"/>
                <w:lang w:val="en-US"/>
              </w:rPr>
              <w:t>-31.474450</w:t>
            </w:r>
          </w:p>
        </w:tc>
        <w:tc>
          <w:tcPr>
            <w:tcW w:w="998" w:type="dxa"/>
            <w:noWrap/>
            <w:vAlign w:val="center"/>
            <w:hideMark/>
          </w:tcPr>
          <w:p w14:paraId="6661EA9D" w14:textId="77777777" w:rsidR="00F3536C" w:rsidRPr="00A4272B" w:rsidRDefault="00F3536C" w:rsidP="00A41632">
            <w:pPr>
              <w:jc w:val="right"/>
              <w:rPr>
                <w:color w:val="000000"/>
                <w:sz w:val="14"/>
                <w:szCs w:val="14"/>
                <w:lang w:val="en-US"/>
              </w:rPr>
            </w:pPr>
            <w:r w:rsidRPr="00A4272B">
              <w:rPr>
                <w:color w:val="000000"/>
                <w:sz w:val="14"/>
                <w:szCs w:val="14"/>
                <w:lang w:val="en-US"/>
              </w:rPr>
              <w:t>-57.099410</w:t>
            </w:r>
          </w:p>
        </w:tc>
        <w:tc>
          <w:tcPr>
            <w:tcW w:w="859" w:type="dxa"/>
            <w:tcBorders>
              <w:top w:val="nil"/>
              <w:left w:val="nil"/>
              <w:bottom w:val="nil"/>
              <w:right w:val="single" w:sz="8" w:space="0" w:color="auto"/>
            </w:tcBorders>
            <w:noWrap/>
            <w:vAlign w:val="center"/>
            <w:hideMark/>
          </w:tcPr>
          <w:p w14:paraId="557271C9"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22840350"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D7FDEFE"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6D9A8253"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B869200"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549C00E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7FDBCE98" w14:textId="77777777" w:rsidR="00F3536C" w:rsidRPr="00A4272B" w:rsidRDefault="00F3536C" w:rsidP="00A41632">
            <w:pPr>
              <w:jc w:val="center"/>
              <w:rPr>
                <w:sz w:val="14"/>
                <w:szCs w:val="14"/>
                <w:lang w:val="en-US"/>
              </w:rPr>
            </w:pPr>
            <w:r w:rsidRPr="00A4272B">
              <w:rPr>
                <w:sz w:val="14"/>
                <w:szCs w:val="14"/>
                <w:lang w:val="en-US"/>
              </w:rPr>
              <w:t>2010</w:t>
            </w:r>
          </w:p>
        </w:tc>
      </w:tr>
      <w:tr w:rsidR="00F3536C" w:rsidRPr="00A4272B" w14:paraId="7C55D6F2" w14:textId="77777777" w:rsidTr="00A41632">
        <w:trPr>
          <w:trHeight w:val="276"/>
          <w:jc w:val="center"/>
        </w:trPr>
        <w:tc>
          <w:tcPr>
            <w:tcW w:w="955" w:type="dxa"/>
            <w:tcBorders>
              <w:top w:val="nil"/>
              <w:left w:val="single" w:sz="8" w:space="0" w:color="auto"/>
              <w:bottom w:val="nil"/>
              <w:right w:val="nil"/>
            </w:tcBorders>
            <w:noWrap/>
            <w:vAlign w:val="center"/>
            <w:hideMark/>
          </w:tcPr>
          <w:p w14:paraId="2517358D"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noWrap/>
            <w:vAlign w:val="center"/>
            <w:hideMark/>
          </w:tcPr>
          <w:p w14:paraId="066E1D45" w14:textId="77777777" w:rsidR="00F3536C" w:rsidRPr="00A4272B" w:rsidRDefault="00F3536C" w:rsidP="00A41632">
            <w:pPr>
              <w:rPr>
                <w:color w:val="000000"/>
                <w:sz w:val="14"/>
                <w:szCs w:val="14"/>
                <w:lang w:val="en-US"/>
              </w:rPr>
            </w:pPr>
            <w:r w:rsidRPr="00A4272B">
              <w:rPr>
                <w:color w:val="000000"/>
                <w:sz w:val="14"/>
                <w:szCs w:val="14"/>
                <w:lang w:val="en-US"/>
              </w:rPr>
              <w:t>Venezuela</w:t>
            </w:r>
          </w:p>
        </w:tc>
        <w:tc>
          <w:tcPr>
            <w:tcW w:w="2504" w:type="dxa"/>
            <w:noWrap/>
            <w:vAlign w:val="center"/>
            <w:hideMark/>
          </w:tcPr>
          <w:p w14:paraId="496598A3" w14:textId="77777777" w:rsidR="00F3536C" w:rsidRPr="00A4272B" w:rsidRDefault="00F3536C" w:rsidP="00A41632">
            <w:pPr>
              <w:rPr>
                <w:color w:val="000000"/>
                <w:sz w:val="14"/>
                <w:szCs w:val="14"/>
                <w:lang w:val="en-US"/>
              </w:rPr>
            </w:pPr>
            <w:r w:rsidRPr="00A4272B">
              <w:rPr>
                <w:color w:val="000000"/>
                <w:sz w:val="14"/>
                <w:szCs w:val="14"/>
                <w:lang w:val="en-US"/>
              </w:rPr>
              <w:t>IVIC Caracas</w:t>
            </w:r>
          </w:p>
        </w:tc>
        <w:tc>
          <w:tcPr>
            <w:tcW w:w="998" w:type="dxa"/>
            <w:noWrap/>
            <w:vAlign w:val="center"/>
            <w:hideMark/>
          </w:tcPr>
          <w:p w14:paraId="599D845F" w14:textId="77777777" w:rsidR="00F3536C" w:rsidRPr="00A4272B" w:rsidRDefault="00F3536C" w:rsidP="00A41632">
            <w:pPr>
              <w:jc w:val="center"/>
              <w:rPr>
                <w:color w:val="000000"/>
                <w:sz w:val="14"/>
                <w:szCs w:val="14"/>
                <w:lang w:val="en-US"/>
              </w:rPr>
            </w:pPr>
            <w:r w:rsidRPr="00A4272B">
              <w:rPr>
                <w:color w:val="000000"/>
                <w:sz w:val="14"/>
                <w:szCs w:val="14"/>
                <w:lang w:val="en-US"/>
              </w:rPr>
              <w:t>29</w:t>
            </w:r>
          </w:p>
        </w:tc>
        <w:tc>
          <w:tcPr>
            <w:tcW w:w="1342" w:type="dxa"/>
            <w:noWrap/>
            <w:vAlign w:val="center"/>
            <w:hideMark/>
          </w:tcPr>
          <w:p w14:paraId="0AEC2494" w14:textId="77777777" w:rsidR="00F3536C" w:rsidRPr="00A4272B" w:rsidRDefault="00F3536C" w:rsidP="00A41632">
            <w:pPr>
              <w:jc w:val="center"/>
              <w:rPr>
                <w:color w:val="000000"/>
                <w:sz w:val="14"/>
                <w:szCs w:val="14"/>
                <w:lang w:val="en-US"/>
              </w:rPr>
            </w:pPr>
            <w:r w:rsidRPr="00A4272B">
              <w:rPr>
                <w:color w:val="000000"/>
                <w:sz w:val="14"/>
                <w:szCs w:val="14"/>
                <w:lang w:val="en-US"/>
              </w:rPr>
              <w:t>Suburban</w:t>
            </w:r>
          </w:p>
        </w:tc>
        <w:tc>
          <w:tcPr>
            <w:tcW w:w="900" w:type="dxa"/>
            <w:noWrap/>
            <w:vAlign w:val="center"/>
            <w:hideMark/>
          </w:tcPr>
          <w:p w14:paraId="2044031B" w14:textId="77777777" w:rsidR="00F3536C" w:rsidRPr="00A4272B" w:rsidRDefault="00F3536C" w:rsidP="00A41632">
            <w:pPr>
              <w:jc w:val="right"/>
              <w:rPr>
                <w:color w:val="000000"/>
                <w:sz w:val="14"/>
                <w:szCs w:val="14"/>
                <w:lang w:val="en-US"/>
              </w:rPr>
            </w:pPr>
            <w:r w:rsidRPr="00A4272B">
              <w:rPr>
                <w:color w:val="000000"/>
                <w:sz w:val="14"/>
                <w:szCs w:val="14"/>
                <w:lang w:val="en-US"/>
              </w:rPr>
              <w:t>10.395970</w:t>
            </w:r>
          </w:p>
        </w:tc>
        <w:tc>
          <w:tcPr>
            <w:tcW w:w="998" w:type="dxa"/>
            <w:noWrap/>
            <w:vAlign w:val="center"/>
            <w:hideMark/>
          </w:tcPr>
          <w:p w14:paraId="6C37E545" w14:textId="77777777" w:rsidR="00F3536C" w:rsidRPr="00A4272B" w:rsidRDefault="00F3536C" w:rsidP="00A41632">
            <w:pPr>
              <w:jc w:val="right"/>
              <w:rPr>
                <w:color w:val="000000"/>
                <w:sz w:val="14"/>
                <w:szCs w:val="14"/>
                <w:lang w:val="en-US"/>
              </w:rPr>
            </w:pPr>
            <w:r w:rsidRPr="00A4272B">
              <w:rPr>
                <w:color w:val="000000"/>
                <w:sz w:val="14"/>
                <w:szCs w:val="14"/>
                <w:lang w:val="en-US"/>
              </w:rPr>
              <w:t>-66.985390</w:t>
            </w:r>
          </w:p>
        </w:tc>
        <w:tc>
          <w:tcPr>
            <w:tcW w:w="859" w:type="dxa"/>
            <w:tcBorders>
              <w:top w:val="nil"/>
              <w:left w:val="nil"/>
              <w:bottom w:val="nil"/>
              <w:right w:val="single" w:sz="8" w:space="0" w:color="auto"/>
            </w:tcBorders>
            <w:noWrap/>
            <w:vAlign w:val="center"/>
            <w:hideMark/>
          </w:tcPr>
          <w:p w14:paraId="37636654"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noWrap/>
            <w:vAlign w:val="center"/>
            <w:hideMark/>
          </w:tcPr>
          <w:p w14:paraId="7B596B78"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noWrap/>
            <w:vAlign w:val="center"/>
            <w:hideMark/>
          </w:tcPr>
          <w:p w14:paraId="307CDB52"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noWrap/>
            <w:vAlign w:val="center"/>
            <w:hideMark/>
          </w:tcPr>
          <w:p w14:paraId="40F6B507"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noWrap/>
            <w:vAlign w:val="center"/>
            <w:hideMark/>
          </w:tcPr>
          <w:p w14:paraId="538B9805"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noWrap/>
            <w:vAlign w:val="center"/>
            <w:hideMark/>
          </w:tcPr>
          <w:p w14:paraId="2D53E6C9"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nil"/>
              <w:right w:val="single" w:sz="8" w:space="0" w:color="auto"/>
            </w:tcBorders>
            <w:noWrap/>
            <w:vAlign w:val="center"/>
            <w:hideMark/>
          </w:tcPr>
          <w:p w14:paraId="06C9873D" w14:textId="77777777" w:rsidR="00F3536C" w:rsidRPr="00A4272B" w:rsidRDefault="00F3536C" w:rsidP="00A41632">
            <w:pPr>
              <w:jc w:val="center"/>
              <w:rPr>
                <w:sz w:val="14"/>
                <w:szCs w:val="14"/>
                <w:lang w:val="en-US"/>
              </w:rPr>
            </w:pPr>
            <w:r w:rsidRPr="00A4272B">
              <w:rPr>
                <w:sz w:val="14"/>
                <w:szCs w:val="14"/>
                <w:lang w:val="en-US"/>
              </w:rPr>
              <w:t>-</w:t>
            </w:r>
          </w:p>
        </w:tc>
      </w:tr>
      <w:tr w:rsidR="00F3536C" w:rsidRPr="00A4272B" w14:paraId="39CFAE94" w14:textId="77777777" w:rsidTr="00A41632">
        <w:trPr>
          <w:trHeight w:val="276"/>
          <w:jc w:val="center"/>
        </w:trPr>
        <w:tc>
          <w:tcPr>
            <w:tcW w:w="955" w:type="dxa"/>
            <w:tcBorders>
              <w:top w:val="nil"/>
              <w:left w:val="single" w:sz="8" w:space="0" w:color="auto"/>
              <w:bottom w:val="single" w:sz="4" w:space="0" w:color="auto"/>
              <w:right w:val="nil"/>
            </w:tcBorders>
            <w:noWrap/>
            <w:vAlign w:val="center"/>
            <w:hideMark/>
          </w:tcPr>
          <w:p w14:paraId="0423ED11" w14:textId="77777777" w:rsidR="00F3536C" w:rsidRPr="00A4272B" w:rsidRDefault="00F3536C" w:rsidP="00A41632">
            <w:pPr>
              <w:rPr>
                <w:color w:val="000000"/>
                <w:sz w:val="14"/>
                <w:szCs w:val="14"/>
                <w:lang w:val="en-US"/>
              </w:rPr>
            </w:pPr>
            <w:r w:rsidRPr="00A4272B">
              <w:rPr>
                <w:color w:val="000000"/>
                <w:sz w:val="14"/>
                <w:szCs w:val="14"/>
                <w:lang w:val="en-US"/>
              </w:rPr>
              <w:t>LAPAN</w:t>
            </w:r>
          </w:p>
        </w:tc>
        <w:tc>
          <w:tcPr>
            <w:tcW w:w="1391" w:type="dxa"/>
            <w:tcBorders>
              <w:top w:val="nil"/>
              <w:left w:val="nil"/>
              <w:bottom w:val="single" w:sz="4" w:space="0" w:color="auto"/>
              <w:right w:val="nil"/>
            </w:tcBorders>
            <w:noWrap/>
            <w:vAlign w:val="center"/>
            <w:hideMark/>
          </w:tcPr>
          <w:p w14:paraId="714A4F0F" w14:textId="77777777" w:rsidR="00F3536C" w:rsidRPr="00A4272B" w:rsidRDefault="00F3536C" w:rsidP="00A41632">
            <w:pPr>
              <w:rPr>
                <w:color w:val="000000"/>
                <w:sz w:val="14"/>
                <w:szCs w:val="14"/>
                <w:lang w:val="en-US"/>
              </w:rPr>
            </w:pPr>
            <w:r w:rsidRPr="00A4272B">
              <w:rPr>
                <w:color w:val="000000"/>
                <w:sz w:val="14"/>
                <w:szCs w:val="14"/>
                <w:lang w:val="en-US"/>
              </w:rPr>
              <w:t>Venezuela</w:t>
            </w:r>
          </w:p>
        </w:tc>
        <w:tc>
          <w:tcPr>
            <w:tcW w:w="2504" w:type="dxa"/>
            <w:tcBorders>
              <w:top w:val="nil"/>
              <w:left w:val="nil"/>
              <w:bottom w:val="single" w:sz="4" w:space="0" w:color="auto"/>
              <w:right w:val="nil"/>
            </w:tcBorders>
            <w:noWrap/>
            <w:vAlign w:val="center"/>
            <w:hideMark/>
          </w:tcPr>
          <w:p w14:paraId="4AC7E0E5" w14:textId="77777777" w:rsidR="00F3536C" w:rsidRPr="00A4272B" w:rsidRDefault="00F3536C" w:rsidP="00A41632">
            <w:pPr>
              <w:rPr>
                <w:color w:val="000000"/>
                <w:sz w:val="14"/>
                <w:szCs w:val="14"/>
                <w:lang w:val="en-US"/>
              </w:rPr>
            </w:pPr>
            <w:r w:rsidRPr="00A4272B">
              <w:rPr>
                <w:color w:val="000000"/>
                <w:sz w:val="14"/>
                <w:szCs w:val="14"/>
                <w:lang w:val="en-US"/>
              </w:rPr>
              <w:t>UCV Caracas</w:t>
            </w:r>
          </w:p>
        </w:tc>
        <w:tc>
          <w:tcPr>
            <w:tcW w:w="998" w:type="dxa"/>
            <w:tcBorders>
              <w:top w:val="nil"/>
              <w:left w:val="nil"/>
              <w:bottom w:val="single" w:sz="4" w:space="0" w:color="auto"/>
              <w:right w:val="nil"/>
            </w:tcBorders>
            <w:noWrap/>
            <w:vAlign w:val="center"/>
            <w:hideMark/>
          </w:tcPr>
          <w:p w14:paraId="710B8123" w14:textId="77777777" w:rsidR="00F3536C" w:rsidRPr="00A4272B" w:rsidRDefault="00F3536C" w:rsidP="00A41632">
            <w:pPr>
              <w:jc w:val="center"/>
              <w:rPr>
                <w:color w:val="000000"/>
                <w:sz w:val="14"/>
                <w:szCs w:val="14"/>
                <w:lang w:val="en-US"/>
              </w:rPr>
            </w:pPr>
            <w:r w:rsidRPr="00A4272B">
              <w:rPr>
                <w:color w:val="000000"/>
                <w:sz w:val="14"/>
                <w:szCs w:val="14"/>
                <w:lang w:val="en-US"/>
              </w:rPr>
              <w:t>75</w:t>
            </w:r>
          </w:p>
        </w:tc>
        <w:tc>
          <w:tcPr>
            <w:tcW w:w="1342" w:type="dxa"/>
            <w:tcBorders>
              <w:top w:val="nil"/>
              <w:left w:val="nil"/>
              <w:bottom w:val="single" w:sz="4" w:space="0" w:color="auto"/>
              <w:right w:val="nil"/>
            </w:tcBorders>
            <w:noWrap/>
            <w:vAlign w:val="center"/>
            <w:hideMark/>
          </w:tcPr>
          <w:p w14:paraId="616614A6" w14:textId="77777777" w:rsidR="00F3536C" w:rsidRPr="00A4272B" w:rsidRDefault="00F3536C" w:rsidP="00A41632">
            <w:pPr>
              <w:jc w:val="center"/>
              <w:rPr>
                <w:color w:val="000000"/>
                <w:sz w:val="14"/>
                <w:szCs w:val="14"/>
                <w:lang w:val="en-US"/>
              </w:rPr>
            </w:pPr>
            <w:r w:rsidRPr="00A4272B">
              <w:rPr>
                <w:color w:val="000000"/>
                <w:sz w:val="14"/>
                <w:szCs w:val="14"/>
                <w:lang w:val="en-US"/>
              </w:rPr>
              <w:t>Urban</w:t>
            </w:r>
          </w:p>
        </w:tc>
        <w:tc>
          <w:tcPr>
            <w:tcW w:w="900" w:type="dxa"/>
            <w:tcBorders>
              <w:top w:val="nil"/>
              <w:left w:val="nil"/>
              <w:bottom w:val="single" w:sz="4" w:space="0" w:color="auto"/>
              <w:right w:val="nil"/>
            </w:tcBorders>
            <w:noWrap/>
            <w:vAlign w:val="center"/>
            <w:hideMark/>
          </w:tcPr>
          <w:p w14:paraId="243304BD" w14:textId="77777777" w:rsidR="00F3536C" w:rsidRPr="00A4272B" w:rsidRDefault="00F3536C" w:rsidP="00A41632">
            <w:pPr>
              <w:jc w:val="right"/>
              <w:rPr>
                <w:color w:val="000000"/>
                <w:sz w:val="14"/>
                <w:szCs w:val="14"/>
                <w:lang w:val="en-US"/>
              </w:rPr>
            </w:pPr>
            <w:r w:rsidRPr="00A4272B">
              <w:rPr>
                <w:color w:val="000000"/>
                <w:sz w:val="14"/>
                <w:szCs w:val="14"/>
                <w:lang w:val="en-US"/>
              </w:rPr>
              <w:t>10.485975</w:t>
            </w:r>
          </w:p>
        </w:tc>
        <w:tc>
          <w:tcPr>
            <w:tcW w:w="998" w:type="dxa"/>
            <w:tcBorders>
              <w:top w:val="nil"/>
              <w:left w:val="nil"/>
              <w:bottom w:val="single" w:sz="4" w:space="0" w:color="auto"/>
              <w:right w:val="nil"/>
            </w:tcBorders>
            <w:noWrap/>
            <w:vAlign w:val="center"/>
            <w:hideMark/>
          </w:tcPr>
          <w:p w14:paraId="544997BB" w14:textId="77777777" w:rsidR="00F3536C" w:rsidRPr="00A4272B" w:rsidRDefault="00F3536C" w:rsidP="00A41632">
            <w:pPr>
              <w:jc w:val="right"/>
              <w:rPr>
                <w:color w:val="000000"/>
                <w:sz w:val="14"/>
                <w:szCs w:val="14"/>
                <w:lang w:val="en-US"/>
              </w:rPr>
            </w:pPr>
            <w:r w:rsidRPr="00A4272B">
              <w:rPr>
                <w:color w:val="000000"/>
                <w:sz w:val="14"/>
                <w:szCs w:val="14"/>
                <w:lang w:val="en-US"/>
              </w:rPr>
              <w:t>-66.893889</w:t>
            </w:r>
          </w:p>
        </w:tc>
        <w:tc>
          <w:tcPr>
            <w:tcW w:w="859" w:type="dxa"/>
            <w:tcBorders>
              <w:top w:val="nil"/>
              <w:left w:val="nil"/>
              <w:bottom w:val="single" w:sz="4" w:space="0" w:color="auto"/>
              <w:right w:val="single" w:sz="8" w:space="0" w:color="auto"/>
            </w:tcBorders>
            <w:noWrap/>
            <w:vAlign w:val="center"/>
            <w:hideMark/>
          </w:tcPr>
          <w:p w14:paraId="264ECF4E"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792" w:type="dxa"/>
            <w:tcBorders>
              <w:top w:val="nil"/>
              <w:left w:val="nil"/>
              <w:bottom w:val="single" w:sz="4" w:space="0" w:color="auto"/>
              <w:right w:val="nil"/>
            </w:tcBorders>
            <w:noWrap/>
            <w:vAlign w:val="center"/>
            <w:hideMark/>
          </w:tcPr>
          <w:p w14:paraId="3873AC2B" w14:textId="77777777" w:rsidR="00F3536C" w:rsidRPr="00A4272B" w:rsidRDefault="00F3536C" w:rsidP="00A41632">
            <w:pPr>
              <w:jc w:val="center"/>
              <w:rPr>
                <w:color w:val="000000"/>
                <w:sz w:val="14"/>
                <w:szCs w:val="14"/>
                <w:lang w:val="en-US"/>
              </w:rPr>
            </w:pPr>
            <w:r w:rsidRPr="00A4272B">
              <w:rPr>
                <w:color w:val="000000"/>
                <w:sz w:val="14"/>
                <w:szCs w:val="14"/>
                <w:lang w:val="en-US"/>
              </w:rPr>
              <w:t>Passive</w:t>
            </w:r>
          </w:p>
        </w:tc>
        <w:tc>
          <w:tcPr>
            <w:tcW w:w="590" w:type="dxa"/>
            <w:tcBorders>
              <w:top w:val="nil"/>
              <w:left w:val="nil"/>
              <w:bottom w:val="single" w:sz="4" w:space="0" w:color="auto"/>
              <w:right w:val="nil"/>
            </w:tcBorders>
            <w:noWrap/>
            <w:vAlign w:val="center"/>
            <w:hideMark/>
          </w:tcPr>
          <w:p w14:paraId="48A0B660" w14:textId="77777777" w:rsidR="00F3536C" w:rsidRPr="00A4272B" w:rsidRDefault="00F3536C" w:rsidP="00A41632">
            <w:pPr>
              <w:jc w:val="center"/>
              <w:rPr>
                <w:color w:val="000000"/>
                <w:sz w:val="14"/>
                <w:szCs w:val="14"/>
                <w:lang w:val="en-US"/>
              </w:rPr>
            </w:pPr>
            <w:r w:rsidRPr="00A4272B">
              <w:rPr>
                <w:color w:val="000000"/>
                <w:sz w:val="14"/>
                <w:szCs w:val="14"/>
                <w:lang w:val="en-US"/>
              </w:rPr>
              <w:t>XAD</w:t>
            </w:r>
          </w:p>
        </w:tc>
        <w:tc>
          <w:tcPr>
            <w:tcW w:w="937" w:type="dxa"/>
            <w:tcBorders>
              <w:top w:val="nil"/>
              <w:left w:val="nil"/>
              <w:bottom w:val="single" w:sz="4" w:space="0" w:color="auto"/>
              <w:right w:val="nil"/>
            </w:tcBorders>
            <w:noWrap/>
            <w:vAlign w:val="center"/>
            <w:hideMark/>
          </w:tcPr>
          <w:p w14:paraId="58816906" w14:textId="77777777" w:rsidR="00F3536C" w:rsidRPr="00A4272B" w:rsidRDefault="00F3536C" w:rsidP="00A41632">
            <w:pPr>
              <w:jc w:val="center"/>
              <w:rPr>
                <w:color w:val="000000"/>
                <w:sz w:val="14"/>
                <w:szCs w:val="14"/>
                <w:lang w:val="en-US"/>
              </w:rPr>
            </w:pPr>
            <w:r w:rsidRPr="00A4272B">
              <w:rPr>
                <w:color w:val="000000"/>
                <w:sz w:val="14"/>
                <w:szCs w:val="14"/>
                <w:lang w:val="en-US"/>
              </w:rPr>
              <w:t>-</w:t>
            </w:r>
          </w:p>
        </w:tc>
        <w:tc>
          <w:tcPr>
            <w:tcW w:w="831" w:type="dxa"/>
            <w:tcBorders>
              <w:top w:val="nil"/>
              <w:left w:val="nil"/>
              <w:bottom w:val="single" w:sz="4" w:space="0" w:color="auto"/>
              <w:right w:val="nil"/>
            </w:tcBorders>
            <w:noWrap/>
            <w:vAlign w:val="center"/>
            <w:hideMark/>
          </w:tcPr>
          <w:p w14:paraId="77A6F773"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924" w:type="dxa"/>
            <w:tcBorders>
              <w:top w:val="nil"/>
              <w:left w:val="nil"/>
              <w:bottom w:val="single" w:sz="4" w:space="0" w:color="auto"/>
              <w:right w:val="nil"/>
            </w:tcBorders>
            <w:noWrap/>
            <w:vAlign w:val="center"/>
            <w:hideMark/>
          </w:tcPr>
          <w:p w14:paraId="5B6FE2AC" w14:textId="77777777" w:rsidR="00F3536C" w:rsidRPr="00A4272B" w:rsidRDefault="00F3536C" w:rsidP="00A41632">
            <w:pPr>
              <w:jc w:val="center"/>
              <w:rPr>
                <w:color w:val="000000"/>
                <w:sz w:val="14"/>
                <w:szCs w:val="14"/>
                <w:lang w:val="en-US"/>
              </w:rPr>
            </w:pPr>
            <w:r w:rsidRPr="00A4272B">
              <w:rPr>
                <w:color w:val="000000"/>
                <w:sz w:val="14"/>
                <w:szCs w:val="14"/>
                <w:lang w:val="en-US"/>
              </w:rPr>
              <w:t>1 year</w:t>
            </w:r>
          </w:p>
        </w:tc>
        <w:tc>
          <w:tcPr>
            <w:tcW w:w="612" w:type="dxa"/>
            <w:tcBorders>
              <w:top w:val="nil"/>
              <w:left w:val="nil"/>
              <w:bottom w:val="single" w:sz="4" w:space="0" w:color="auto"/>
              <w:right w:val="single" w:sz="8" w:space="0" w:color="auto"/>
            </w:tcBorders>
            <w:noWrap/>
            <w:vAlign w:val="center"/>
            <w:hideMark/>
          </w:tcPr>
          <w:p w14:paraId="6E57CFE6" w14:textId="77777777" w:rsidR="00F3536C" w:rsidRPr="00A4272B" w:rsidRDefault="00F3536C" w:rsidP="00A41632">
            <w:pPr>
              <w:jc w:val="center"/>
              <w:rPr>
                <w:sz w:val="14"/>
                <w:szCs w:val="14"/>
                <w:lang w:val="en-US"/>
              </w:rPr>
            </w:pPr>
            <w:r w:rsidRPr="00A4272B">
              <w:rPr>
                <w:sz w:val="14"/>
                <w:szCs w:val="14"/>
                <w:lang w:val="en-US"/>
              </w:rPr>
              <w:t>-</w:t>
            </w:r>
          </w:p>
        </w:tc>
      </w:tr>
    </w:tbl>
    <w:p w14:paraId="0F49EFAA" w14:textId="4DE15CF8" w:rsidR="00F3536C" w:rsidRPr="00A4272B" w:rsidRDefault="00F3536C" w:rsidP="00F3536C">
      <w:pPr>
        <w:rPr>
          <w:szCs w:val="24"/>
          <w:lang w:val="en-US"/>
        </w:rPr>
      </w:pPr>
      <w:r w:rsidRPr="00A4272B">
        <w:rPr>
          <w:lang w:val="en-US"/>
        </w:rPr>
        <w:t>Note: Many of the sites listed in the China and East Asian POPs networks are inactive but will be re-deployed for the next GMP data collection.</w:t>
      </w:r>
    </w:p>
    <w:p w14:paraId="227C0D0C" w14:textId="77777777" w:rsidR="00F3536C" w:rsidRPr="00A4272B" w:rsidRDefault="00F3536C" w:rsidP="00F3536C">
      <w:pPr>
        <w:rPr>
          <w:szCs w:val="24"/>
          <w:lang w:val="en-US"/>
        </w:rPr>
        <w:sectPr w:rsidR="00F3536C" w:rsidRPr="00A4272B" w:rsidSect="0060600C">
          <w:footerReference w:type="even" r:id="rId82"/>
          <w:footerReference w:type="default" r:id="rId83"/>
          <w:type w:val="nextColumn"/>
          <w:pgSz w:w="16838" w:h="11906" w:orient="landscape" w:code="9"/>
          <w:pgMar w:top="907" w:right="994" w:bottom="1411" w:left="1411" w:header="533" w:footer="979" w:gutter="0"/>
          <w:cols w:space="539"/>
          <w:docGrid w:linePitch="360"/>
        </w:sectPr>
      </w:pPr>
    </w:p>
    <w:p w14:paraId="7C4A3801" w14:textId="76307FAE" w:rsidR="00AC706A" w:rsidRPr="00A4272B" w:rsidRDefault="00F3536C" w:rsidP="00817D9F">
      <w:pPr>
        <w:pStyle w:val="GMPHeading2"/>
        <w:rPr>
          <w:rFonts w:hint="eastAsia"/>
        </w:rPr>
      </w:pPr>
      <w:bookmarkStart w:id="878" w:name="_Toc160507645"/>
      <w:bookmarkStart w:id="879" w:name="_Toc187270555"/>
      <w:r w:rsidRPr="00A4272B">
        <w:lastRenderedPageBreak/>
        <w:t xml:space="preserve">Part </w:t>
      </w:r>
      <w:bookmarkStart w:id="880" w:name="_Toc282086453"/>
      <w:bookmarkStart w:id="881" w:name="_Toc282435167"/>
      <w:bookmarkStart w:id="882" w:name="_Toc287965966"/>
      <w:bookmarkStart w:id="883" w:name="_Toc287973489"/>
      <w:bookmarkStart w:id="884" w:name="_Toc288232643"/>
      <w:bookmarkStart w:id="885" w:name="_Toc288745862"/>
      <w:bookmarkStart w:id="886" w:name="_Toc346702235"/>
      <w:r w:rsidR="001F14B3" w:rsidRPr="00A4272B">
        <w:t>2</w:t>
      </w:r>
      <w:r w:rsidR="00AC706A" w:rsidRPr="00A4272B">
        <w:t>.</w:t>
      </w:r>
      <w:r w:rsidR="00AE2951" w:rsidRPr="00A4272B">
        <w:t xml:space="preserve"> </w:t>
      </w:r>
      <w:r w:rsidRPr="00A4272B">
        <w:t>Standard operation procedures and protocols for air monitoring</w:t>
      </w:r>
      <w:bookmarkEnd w:id="878"/>
      <w:bookmarkEnd w:id="879"/>
      <w:bookmarkEnd w:id="880"/>
      <w:bookmarkEnd w:id="881"/>
      <w:bookmarkEnd w:id="882"/>
      <w:bookmarkEnd w:id="883"/>
      <w:bookmarkEnd w:id="884"/>
      <w:bookmarkEnd w:id="885"/>
      <w:bookmarkEnd w:id="886"/>
    </w:p>
    <w:p w14:paraId="1835AF73" w14:textId="26AE0032" w:rsidR="00F3536C" w:rsidRPr="00A4272B" w:rsidRDefault="00F3536C">
      <w:pPr>
        <w:pStyle w:val="ListParagraph"/>
        <w:numPr>
          <w:ilvl w:val="0"/>
          <w:numId w:val="69"/>
        </w:numPr>
        <w:rPr>
          <w:b/>
          <w:szCs w:val="20"/>
        </w:rPr>
      </w:pPr>
      <w:r w:rsidRPr="00A4272B">
        <w:rPr>
          <w:b/>
          <w:szCs w:val="20"/>
        </w:rPr>
        <w:t>Training videos:</w:t>
      </w:r>
    </w:p>
    <w:p w14:paraId="5E987FDB" w14:textId="696E1D9A" w:rsidR="00F3536C" w:rsidRPr="00A4272B" w:rsidRDefault="00F3536C">
      <w:pPr>
        <w:pStyle w:val="ListParagraph"/>
        <w:numPr>
          <w:ilvl w:val="0"/>
          <w:numId w:val="70"/>
        </w:numPr>
      </w:pPr>
      <w:r w:rsidRPr="00A4272B">
        <w:t xml:space="preserve">Mounting and deployment of PUF disk samplers, by AMETEC-UNU: </w:t>
      </w:r>
      <w:hyperlink r:id="rId84" w:history="1">
        <w:r w:rsidRPr="00A4272B">
          <w:rPr>
            <w:rStyle w:val="Hyperlink"/>
            <w:lang w:val="en-US"/>
          </w:rPr>
          <w:t>https://www.youtube.com/watch?v=pkz48SyIzXw</w:t>
        </w:r>
      </w:hyperlink>
      <w:r w:rsidR="002A6D39" w:rsidRPr="00A4272B">
        <w:rPr>
          <w:rStyle w:val="Hyperlink"/>
          <w:lang w:val="en-US"/>
        </w:rPr>
        <w:t>;</w:t>
      </w:r>
    </w:p>
    <w:p w14:paraId="1B6DCD6D" w14:textId="0551AB85" w:rsidR="00F3536C" w:rsidRPr="00A4272B" w:rsidRDefault="00F3536C">
      <w:pPr>
        <w:pStyle w:val="ListParagraph"/>
        <w:numPr>
          <w:ilvl w:val="0"/>
          <w:numId w:val="70"/>
        </w:numPr>
      </w:pPr>
      <w:r w:rsidRPr="00A4272B">
        <w:t xml:space="preserve">Instructions on PUF disk sample changes for Arctic passive network: </w:t>
      </w:r>
      <w:hyperlink r:id="rId85" w:history="1">
        <w:r w:rsidRPr="00A4272B">
          <w:rPr>
            <w:rStyle w:val="Hyperlink"/>
            <w:lang w:val="en-US"/>
          </w:rPr>
          <w:t>https://www.youtube.com/watch?v=8A22nvu7kbQ</w:t>
        </w:r>
      </w:hyperlink>
      <w:r w:rsidR="002A6D39" w:rsidRPr="00A4272B">
        <w:rPr>
          <w:rStyle w:val="Hyperlink"/>
          <w:lang w:val="en-US"/>
        </w:rPr>
        <w:t>;</w:t>
      </w:r>
    </w:p>
    <w:p w14:paraId="5E6E9268" w14:textId="77777777" w:rsidR="00F3536C" w:rsidRPr="00A4272B" w:rsidRDefault="00F3536C">
      <w:pPr>
        <w:pStyle w:val="ListParagraph"/>
        <w:widowControl w:val="0"/>
        <w:numPr>
          <w:ilvl w:val="0"/>
          <w:numId w:val="70"/>
        </w:numPr>
        <w:rPr>
          <w:rFonts w:eastAsia="SimSun"/>
          <w:kern w:val="2"/>
        </w:rPr>
      </w:pPr>
      <w:r w:rsidRPr="00A4272B">
        <w:rPr>
          <w:rFonts w:eastAsia="SimSun"/>
          <w:kern w:val="2"/>
        </w:rPr>
        <w:t xml:space="preserve">XAD tube sampler setup: </w:t>
      </w:r>
      <w:hyperlink r:id="rId86" w:history="1">
        <w:r w:rsidRPr="00A4272B">
          <w:rPr>
            <w:rFonts w:eastAsia="SimSun"/>
            <w:color w:val="0000FF"/>
            <w:kern w:val="2"/>
            <w:u w:val="single"/>
          </w:rPr>
          <w:t>https://www.youtube.com/watch?v=9vvrvpRD96k&amp;feature=youtu.be</w:t>
        </w:r>
      </w:hyperlink>
    </w:p>
    <w:p w14:paraId="52F38861" w14:textId="292DB7F4" w:rsidR="00F3536C" w:rsidRPr="00B25CD5" w:rsidRDefault="00F3536C">
      <w:pPr>
        <w:pStyle w:val="ListParagraph"/>
        <w:widowControl w:val="0"/>
        <w:numPr>
          <w:ilvl w:val="0"/>
          <w:numId w:val="70"/>
        </w:numPr>
        <w:rPr>
          <w:lang w:val="fr-CH"/>
        </w:rPr>
      </w:pPr>
      <w:r w:rsidRPr="00B25CD5">
        <w:rPr>
          <w:rFonts w:eastAsia="SimSun"/>
          <w:kern w:val="2"/>
          <w:lang w:val="fr-CH"/>
        </w:rPr>
        <w:t xml:space="preserve">Temperature logger installation: </w:t>
      </w:r>
      <w:hyperlink r:id="rId87" w:history="1">
        <w:r w:rsidRPr="00B25CD5">
          <w:rPr>
            <w:rFonts w:eastAsia="SimSun"/>
            <w:color w:val="0000FF"/>
            <w:u w:val="single"/>
            <w:lang w:val="fr-CH" w:eastAsia="zh-CN"/>
          </w:rPr>
          <w:t>https://www.youtube.com/watch?v=nkzbCzRPMyc&amp;feature=youtu.be</w:t>
        </w:r>
      </w:hyperlink>
      <w:r w:rsidR="002A6D39" w:rsidRPr="00B25CD5">
        <w:rPr>
          <w:rFonts w:eastAsia="SimSun"/>
          <w:color w:val="0000FF"/>
          <w:u w:val="single"/>
          <w:lang w:val="fr-CH" w:eastAsia="zh-CN"/>
        </w:rPr>
        <w:t>;</w:t>
      </w:r>
    </w:p>
    <w:p w14:paraId="63C3E0F4" w14:textId="59F6CCAD" w:rsidR="00F3536C" w:rsidRPr="00A4272B" w:rsidRDefault="00F3536C">
      <w:pPr>
        <w:pStyle w:val="ListParagraph"/>
        <w:numPr>
          <w:ilvl w:val="0"/>
          <w:numId w:val="70"/>
        </w:numPr>
      </w:pPr>
      <w:r w:rsidRPr="00A4272B">
        <w:t xml:space="preserve">PUF passive sampling video (in Arabic): </w:t>
      </w:r>
      <w:hyperlink r:id="rId88" w:history="1">
        <w:r w:rsidRPr="00A4272B">
          <w:rPr>
            <w:rStyle w:val="Hyperlink"/>
            <w:lang w:val="en-US"/>
          </w:rPr>
          <w:t>https://www.youtube.com/watch?v=NznXwa-xk-0</w:t>
        </w:r>
      </w:hyperlink>
      <w:r w:rsidR="002A6D39" w:rsidRPr="00A4272B">
        <w:rPr>
          <w:rStyle w:val="Hyperlink"/>
          <w:lang w:val="en-US"/>
        </w:rPr>
        <w:t>.</w:t>
      </w:r>
    </w:p>
    <w:p w14:paraId="6C99EA2C" w14:textId="77777777" w:rsidR="00F3536C" w:rsidRPr="00A4272B" w:rsidRDefault="00F3536C">
      <w:pPr>
        <w:pStyle w:val="ListParagraph"/>
        <w:numPr>
          <w:ilvl w:val="0"/>
          <w:numId w:val="69"/>
        </w:numPr>
        <w:rPr>
          <w:b/>
          <w:szCs w:val="20"/>
        </w:rPr>
      </w:pPr>
      <w:r w:rsidRPr="00A4272B">
        <w:rPr>
          <w:b/>
          <w:szCs w:val="20"/>
        </w:rPr>
        <w:t>List of Protocols available from the GAPS Network:</w:t>
      </w:r>
    </w:p>
    <w:p w14:paraId="67B98BA6" w14:textId="77777777" w:rsidR="00F3536C" w:rsidRPr="00B25CD5" w:rsidRDefault="00F3536C">
      <w:pPr>
        <w:pStyle w:val="ListParagraph"/>
        <w:numPr>
          <w:ilvl w:val="0"/>
          <w:numId w:val="71"/>
        </w:numPr>
        <w:rPr>
          <w:b/>
          <w:lang w:val="nb-NO"/>
        </w:rPr>
      </w:pPr>
      <w:r w:rsidRPr="00B25CD5">
        <w:rPr>
          <w:b/>
          <w:lang w:val="nb-NO"/>
        </w:rPr>
        <w:t>Protocols for PUF disk sampler:</w:t>
      </w:r>
    </w:p>
    <w:p w14:paraId="542F4E46" w14:textId="6C16FC29" w:rsidR="00F3536C" w:rsidRPr="00A4272B" w:rsidRDefault="00F3536C">
      <w:pPr>
        <w:pStyle w:val="ListParagraph"/>
        <w:numPr>
          <w:ilvl w:val="0"/>
          <w:numId w:val="72"/>
        </w:numPr>
      </w:pPr>
      <w:r w:rsidRPr="00A4272B">
        <w:t>Cleaning PUF disk sampler housing</w:t>
      </w:r>
      <w:r w:rsidR="002A6D39" w:rsidRPr="00A4272B">
        <w:t>;</w:t>
      </w:r>
    </w:p>
    <w:p w14:paraId="35DAADA5" w14:textId="48D49FA3" w:rsidR="00F3536C" w:rsidRPr="00A4272B" w:rsidRDefault="00F3536C">
      <w:pPr>
        <w:pStyle w:val="ListParagraph"/>
        <w:numPr>
          <w:ilvl w:val="0"/>
          <w:numId w:val="72"/>
        </w:numPr>
      </w:pPr>
      <w:r w:rsidRPr="00A4272B">
        <w:t>Preparing PUF disks for passive air sampling</w:t>
      </w:r>
      <w:r w:rsidR="002A6D39" w:rsidRPr="00A4272B">
        <w:t>;</w:t>
      </w:r>
    </w:p>
    <w:p w14:paraId="21446118" w14:textId="1FFD1C0A" w:rsidR="00F3536C" w:rsidRPr="00A4272B" w:rsidRDefault="00F3536C">
      <w:pPr>
        <w:pStyle w:val="ListParagraph"/>
        <w:numPr>
          <w:ilvl w:val="0"/>
          <w:numId w:val="72"/>
        </w:numPr>
      </w:pPr>
      <w:r w:rsidRPr="00A4272B">
        <w:t>PUF &amp; SIP disk sampler installation and deployment for GAPS</w:t>
      </w:r>
      <w:r w:rsidR="002A6D39" w:rsidRPr="00A4272B">
        <w:t>;</w:t>
      </w:r>
    </w:p>
    <w:p w14:paraId="574D9A80" w14:textId="4C296DB8" w:rsidR="00F3536C" w:rsidRPr="00A4272B" w:rsidRDefault="00F3536C">
      <w:pPr>
        <w:pStyle w:val="ListParagraph"/>
        <w:numPr>
          <w:ilvl w:val="0"/>
          <w:numId w:val="72"/>
        </w:numPr>
      </w:pPr>
      <w:r w:rsidRPr="00A4272B">
        <w:t>SIP disks – Protocol fro preparing sorbent impregnated PUF (SIP) disks for passive air sampling (GAPS network) using ASE</w:t>
      </w:r>
      <w:r w:rsidR="002A6D39" w:rsidRPr="00A4272B">
        <w:t>.</w:t>
      </w:r>
    </w:p>
    <w:p w14:paraId="572D16F6" w14:textId="4ECA6719" w:rsidR="00F3536C" w:rsidRPr="00A4272B" w:rsidRDefault="00F3536C">
      <w:pPr>
        <w:pStyle w:val="ListParagraph"/>
        <w:numPr>
          <w:ilvl w:val="0"/>
          <w:numId w:val="71"/>
        </w:numPr>
        <w:rPr>
          <w:b/>
        </w:rPr>
      </w:pPr>
      <w:r w:rsidRPr="00A4272B">
        <w:rPr>
          <w:b/>
        </w:rPr>
        <w:t>Protocols for XAD sampler:</w:t>
      </w:r>
    </w:p>
    <w:p w14:paraId="77D6BBDF" w14:textId="11DAF9F1" w:rsidR="00F3536C" w:rsidRPr="00A4272B" w:rsidRDefault="00F3536C">
      <w:pPr>
        <w:pStyle w:val="ListParagraph"/>
        <w:numPr>
          <w:ilvl w:val="0"/>
          <w:numId w:val="73"/>
        </w:numPr>
      </w:pPr>
      <w:r w:rsidRPr="00A4272B">
        <w:t>GAPS Insrtructions for XAD sampler</w:t>
      </w:r>
      <w:r w:rsidR="00AC706A" w:rsidRPr="00A4272B">
        <w:t>.</w:t>
      </w:r>
    </w:p>
    <w:p w14:paraId="0336C4D6" w14:textId="77777777" w:rsidR="00F3536C" w:rsidRPr="00A4272B" w:rsidRDefault="00F3536C" w:rsidP="00F3536C">
      <w:pPr>
        <w:spacing w:before="120"/>
        <w:rPr>
          <w:lang w:val="en-US"/>
        </w:rPr>
      </w:pPr>
    </w:p>
    <w:p w14:paraId="6729EF8D" w14:textId="77777777" w:rsidR="00F3536C" w:rsidRPr="00A4272B" w:rsidRDefault="00F3536C" w:rsidP="00F3536C">
      <w:pPr>
        <w:spacing w:before="120"/>
        <w:rPr>
          <w:i/>
          <w:lang w:val="en-US"/>
        </w:rPr>
        <w:sectPr w:rsidR="00F3536C" w:rsidRPr="00A4272B" w:rsidSect="0060600C">
          <w:type w:val="nextColumn"/>
          <w:pgSz w:w="11906" w:h="16838" w:code="9"/>
          <w:pgMar w:top="907" w:right="994" w:bottom="1411" w:left="1411" w:header="533" w:footer="979" w:gutter="0"/>
          <w:cols w:space="539"/>
          <w:docGrid w:linePitch="360"/>
        </w:sectPr>
      </w:pPr>
    </w:p>
    <w:p w14:paraId="4ED7DBB3" w14:textId="0CB25CF0" w:rsidR="00F3536C" w:rsidRPr="00A4272B" w:rsidRDefault="00F3536C" w:rsidP="00817D9F">
      <w:pPr>
        <w:pStyle w:val="GMPHeading2"/>
        <w:rPr>
          <w:rFonts w:hint="eastAsia"/>
        </w:rPr>
      </w:pPr>
      <w:bookmarkStart w:id="887" w:name="_Toc160507646"/>
      <w:bookmarkStart w:id="888" w:name="_Toc187270556"/>
      <w:r w:rsidRPr="00A4272B">
        <w:lastRenderedPageBreak/>
        <w:t xml:space="preserve">Part </w:t>
      </w:r>
      <w:r w:rsidR="001F14B3" w:rsidRPr="00A4272B">
        <w:t>3</w:t>
      </w:r>
      <w:r w:rsidR="00AC706A" w:rsidRPr="00A4272B">
        <w:t>.</w:t>
      </w:r>
      <w:r w:rsidR="00AE2951" w:rsidRPr="00A4272B">
        <w:t xml:space="preserve"> </w:t>
      </w:r>
      <w:r w:rsidRPr="00A4272B">
        <w:t xml:space="preserve">Additional </w:t>
      </w:r>
      <w:r w:rsidR="00AC706A" w:rsidRPr="00A4272B">
        <w:t>c</w:t>
      </w:r>
      <w:r w:rsidRPr="00A4272B">
        <w:t xml:space="preserve">onsiderations for </w:t>
      </w:r>
      <w:r w:rsidR="00AC706A" w:rsidRPr="00A4272B">
        <w:t>a</w:t>
      </w:r>
      <w:r w:rsidRPr="00A4272B">
        <w:t xml:space="preserve">ir </w:t>
      </w:r>
      <w:r w:rsidR="00AC706A" w:rsidRPr="00A4272B">
        <w:t>s</w:t>
      </w:r>
      <w:r w:rsidRPr="00A4272B">
        <w:t>ampling</w:t>
      </w:r>
      <w:bookmarkEnd w:id="887"/>
      <w:bookmarkEnd w:id="888"/>
    </w:p>
    <w:p w14:paraId="0E4C890D" w14:textId="2769BCC0" w:rsidR="00AE2951" w:rsidRPr="00A4272B" w:rsidRDefault="00AE2951" w:rsidP="00AE2951">
      <w:pPr>
        <w:rPr>
          <w:b/>
          <w:lang w:val="en-US"/>
        </w:rPr>
      </w:pPr>
      <w:r w:rsidRPr="00A4272B">
        <w:rPr>
          <w:b/>
          <w:bCs/>
          <w:lang w:val="en-US"/>
        </w:rPr>
        <w:t>Toxicity of chemical mixtures in air: cumulative effects</w:t>
      </w:r>
    </w:p>
    <w:p w14:paraId="29327684" w14:textId="77777777" w:rsidR="00AE2951" w:rsidRPr="00A4272B" w:rsidRDefault="00AE2951" w:rsidP="00AE2951">
      <w:pPr>
        <w:rPr>
          <w:bCs/>
          <w:lang w:val="en-US"/>
        </w:rPr>
      </w:pPr>
      <w:r w:rsidRPr="00A4272B">
        <w:rPr>
          <w:bCs/>
          <w:lang w:val="en-US"/>
        </w:rPr>
        <w:t>A recommendation from the second GMP report highlighted the need to focus on cumulative effects and the toxicity of chemical mixtures in air. This recommendation acknowledges that humans and ecosystems are exposed to a growing number of chemicals, and only a small fraction of these can currently be measured in air and tracked under the GMP. To fulfill the Stockholm Convention’s mandate of protecting human health and the environment from harmful POPs, it is essential to explore and better understand the combined effects of these chemicals in the air while continuing to monitor the POPs identified to date. Significant advances have been made recently in linking air monitoring with toxicological assessments of chemical mixtures (e.g., Cupr et al., 2006, 2013; Novak et al., 2013, 2014; Ersekova et al., 2015; Jariyasopit et al., 2016).</w:t>
      </w:r>
    </w:p>
    <w:p w14:paraId="0FF961AD" w14:textId="32B7DFC4" w:rsidR="00AE2951" w:rsidRPr="00A4272B" w:rsidRDefault="00AE2951" w:rsidP="00AE2951">
      <w:pPr>
        <w:rPr>
          <w:b/>
          <w:lang w:val="en-US"/>
        </w:rPr>
      </w:pPr>
      <w:r w:rsidRPr="00A4272B">
        <w:rPr>
          <w:b/>
          <w:bCs/>
          <w:lang w:val="en-US"/>
        </w:rPr>
        <w:t>Use of tree rings and other natural archives for deriving historic trends of POPs</w:t>
      </w:r>
    </w:p>
    <w:p w14:paraId="6D24D468" w14:textId="77777777" w:rsidR="00AE2951" w:rsidRPr="00A4272B" w:rsidRDefault="00AE2951" w:rsidP="00AE2951">
      <w:pPr>
        <w:rPr>
          <w:bCs/>
          <w:lang w:val="en-US"/>
        </w:rPr>
      </w:pPr>
      <w:r w:rsidRPr="00A4272B">
        <w:rPr>
          <w:bCs/>
          <w:lang w:val="en-US"/>
        </w:rPr>
        <w:t>Recent research has shown that tree wood can serve as a passive air sampler, with tree cores (taken without harming the tree) allowing investigation into historical trends of POPs through analysis of tree rings (e.g., Kuang et al., 2011; Odabasi et al., 2015; Rauert et al., 2016). Rauert et al. (2018) have characterized the uptake potential of POPs by tree wood to use tree ring data to semi-quantitatively reconstruct historical chemical profiles in air. This approach is promising for assessing temporal trends of POPs in locations lacking historical air samples. However, further research is needed to better understand factors affecting uptake, including meteorology, tree species, and other relevant variables.</w:t>
      </w:r>
    </w:p>
    <w:p w14:paraId="38F57A37" w14:textId="713014A4" w:rsidR="00AE2951" w:rsidRPr="00A4272B" w:rsidRDefault="00AE2951" w:rsidP="00AE2951">
      <w:pPr>
        <w:rPr>
          <w:b/>
          <w:lang w:val="en-US"/>
        </w:rPr>
      </w:pPr>
      <w:r w:rsidRPr="00A4272B">
        <w:rPr>
          <w:b/>
          <w:bCs/>
          <w:lang w:val="en-US"/>
        </w:rPr>
        <w:t>Other indirect methods for reconstructing long-term trends of POPs in air</w:t>
      </w:r>
    </w:p>
    <w:p w14:paraId="3C5E6121" w14:textId="77777777" w:rsidR="00AE2951" w:rsidRPr="00A4272B" w:rsidRDefault="00AE2951" w:rsidP="00AE2951">
      <w:pPr>
        <w:rPr>
          <w:bCs/>
          <w:lang w:val="en-US"/>
        </w:rPr>
      </w:pPr>
      <w:r w:rsidRPr="00A4272B">
        <w:rPr>
          <w:bCs/>
          <w:lang w:val="en-US"/>
        </w:rPr>
        <w:t>Additional indirect methods, such as using sediment cores, peat cores, and ice cores, provide valuable insights into historical POPs levels (e.g., Muir et al., 2013). While these techniques are not substitutes for air monitoring, they offer valuable data for regions with no historical air sampling or for periods before air sampling networks were established.</w:t>
      </w:r>
    </w:p>
    <w:p w14:paraId="0BC0FDF7" w14:textId="04AA537B" w:rsidR="00AE2951" w:rsidRPr="00A4272B" w:rsidRDefault="00AE2951" w:rsidP="00AE2951">
      <w:pPr>
        <w:rPr>
          <w:b/>
          <w:lang w:val="en-US"/>
        </w:rPr>
      </w:pPr>
      <w:r w:rsidRPr="00A4272B">
        <w:rPr>
          <w:b/>
          <w:bCs/>
          <w:lang w:val="en-US"/>
        </w:rPr>
        <w:t>Indoor sampling</w:t>
      </w:r>
    </w:p>
    <w:p w14:paraId="05DBB172" w14:textId="77777777" w:rsidR="00AE2951" w:rsidRPr="00A4272B" w:rsidRDefault="00AE2951" w:rsidP="00AE2951">
      <w:pPr>
        <w:rPr>
          <w:bCs/>
          <w:lang w:val="en-US"/>
        </w:rPr>
      </w:pPr>
      <w:r w:rsidRPr="00A4272B">
        <w:rPr>
          <w:bCs/>
          <w:lang w:val="en-US"/>
        </w:rPr>
        <w:t>Although indoor sampling is not a GMP requirement, comparing indoor and outdoor POPs levels can help identify sources of contamination in ambient air and assess potential contamination of nearby outdoor sampling sites (e.g., Melymuk et al., 2016). This comparison is particularly relevant for new POPs used in commercial products that may reach significantly higher concentrations indoors compared to ambient air. Evaluating indoor air as a route of human exposure also aids in interpreting human tissue data and related temporal trends (see Section 4.2). Studies by Herkert et al. (2018) and Bohlin et al. (2014b) critically evaluate the use of PUF disk samplers indoors and provide recommendations for future research.</w:t>
      </w:r>
    </w:p>
    <w:p w14:paraId="60EF5112" w14:textId="77777777" w:rsidR="00F3536C" w:rsidRPr="00A4272B" w:rsidRDefault="00F3536C" w:rsidP="000E25B2">
      <w:pPr>
        <w:rPr>
          <w:lang w:val="en-US"/>
        </w:rPr>
      </w:pPr>
    </w:p>
    <w:p w14:paraId="58060032" w14:textId="77777777" w:rsidR="00F3536C" w:rsidRPr="00A4272B" w:rsidRDefault="00F3536C" w:rsidP="00F3536C">
      <w:pPr>
        <w:spacing w:before="120"/>
        <w:rPr>
          <w:lang w:val="en-US"/>
        </w:rPr>
        <w:sectPr w:rsidR="00F3536C" w:rsidRPr="00A4272B" w:rsidSect="0060600C">
          <w:type w:val="nextColumn"/>
          <w:pgSz w:w="11906" w:h="16838" w:code="9"/>
          <w:pgMar w:top="907" w:right="994" w:bottom="1411" w:left="1411" w:header="533" w:footer="979" w:gutter="0"/>
          <w:cols w:space="539"/>
          <w:docGrid w:linePitch="360"/>
        </w:sectPr>
      </w:pPr>
    </w:p>
    <w:p w14:paraId="03089B17" w14:textId="061531C4" w:rsidR="00F3536C" w:rsidRPr="00A4272B" w:rsidRDefault="00F3536C" w:rsidP="002A04E0">
      <w:pPr>
        <w:pStyle w:val="GMPHeading1"/>
        <w:rPr>
          <w:rFonts w:hint="eastAsia"/>
        </w:rPr>
      </w:pPr>
      <w:bookmarkStart w:id="889" w:name="_Toc280689334"/>
      <w:bookmarkStart w:id="890" w:name="_Toc280690073"/>
      <w:bookmarkStart w:id="891" w:name="_Toc280691039"/>
      <w:bookmarkStart w:id="892" w:name="_Toc280693193"/>
      <w:bookmarkStart w:id="893" w:name="_Toc280695248"/>
      <w:bookmarkStart w:id="894" w:name="_Toc282086450"/>
      <w:bookmarkStart w:id="895" w:name="_Toc282435164"/>
      <w:bookmarkStart w:id="896" w:name="_Toc287965963"/>
      <w:bookmarkStart w:id="897" w:name="_Toc287973486"/>
      <w:bookmarkStart w:id="898" w:name="_Toc288232640"/>
      <w:bookmarkStart w:id="899" w:name="_Toc288745859"/>
      <w:bookmarkStart w:id="900" w:name="_Toc187270557"/>
      <w:bookmarkEnd w:id="867"/>
      <w:bookmarkEnd w:id="868"/>
      <w:bookmarkEnd w:id="869"/>
      <w:bookmarkEnd w:id="870"/>
      <w:bookmarkEnd w:id="871"/>
      <w:bookmarkEnd w:id="872"/>
      <w:bookmarkEnd w:id="873"/>
      <w:bookmarkEnd w:id="874"/>
      <w:bookmarkEnd w:id="875"/>
      <w:bookmarkEnd w:id="876"/>
      <w:bookmarkEnd w:id="877"/>
      <w:r w:rsidRPr="00A4272B">
        <w:lastRenderedPageBreak/>
        <w:t>A</w:t>
      </w:r>
      <w:r w:rsidR="00874453" w:rsidRPr="00A4272B">
        <w:t>ppendix</w:t>
      </w:r>
      <w:r w:rsidRPr="00A4272B">
        <w:t xml:space="preserve"> </w:t>
      </w:r>
      <w:bookmarkEnd w:id="889"/>
      <w:bookmarkEnd w:id="890"/>
      <w:bookmarkEnd w:id="891"/>
      <w:bookmarkEnd w:id="892"/>
      <w:bookmarkEnd w:id="893"/>
      <w:bookmarkEnd w:id="894"/>
      <w:bookmarkEnd w:id="895"/>
      <w:bookmarkEnd w:id="896"/>
      <w:bookmarkEnd w:id="897"/>
      <w:bookmarkEnd w:id="898"/>
      <w:bookmarkEnd w:id="899"/>
      <w:r w:rsidR="00874453" w:rsidRPr="00A4272B">
        <w:t>III:</w:t>
      </w:r>
      <w:bookmarkStart w:id="901" w:name="_Toc160507648"/>
      <w:r w:rsidR="00874453" w:rsidRPr="00A4272B">
        <w:t xml:space="preserve"> </w:t>
      </w:r>
      <w:r w:rsidRPr="00A4272B">
        <w:t>Summary information on the UNEP/WHO Survey on Human Milk under the Global Monitoring Plan for POPs</w:t>
      </w:r>
      <w:bookmarkEnd w:id="900"/>
      <w:bookmarkEnd w:id="901"/>
    </w:p>
    <w:p w14:paraId="4A8E05E4" w14:textId="77777777" w:rsidR="000F4986" w:rsidRPr="00A4272B" w:rsidRDefault="000F4986" w:rsidP="000F4986">
      <w:pPr>
        <w:rPr>
          <w:lang w:val="en-US"/>
        </w:rPr>
      </w:pPr>
      <w:r w:rsidRPr="00A4272B">
        <w:rPr>
          <w:lang w:val="en-US"/>
        </w:rPr>
        <w:t>The UNEP/WHO human milk survey aims to measure persistent organic pollutants (POPs) in human milk as required by Article 16 of the Stockholm Convention on POPs, producing comparable monitoring data over time to support the Convention's effectiveness evaluation. This survey is jointly implemented by the Stockholm Convention Secretariat, the World Health Organization (WHO), and UNEP’s Chemicals and Health Branch.</w:t>
      </w:r>
    </w:p>
    <w:p w14:paraId="4584E1A8" w14:textId="77777777" w:rsidR="000F4986" w:rsidRPr="00A4272B" w:rsidRDefault="000F4986" w:rsidP="000F4986">
      <w:pPr>
        <w:rPr>
          <w:lang w:val="en-US"/>
        </w:rPr>
      </w:pPr>
      <w:r w:rsidRPr="00A4272B">
        <w:rPr>
          <w:lang w:val="en-US"/>
        </w:rPr>
        <w:t>A harmonized protocol and guidelines were developed by WHO (WHO, 2007) and later amended by UNEP (latest amendment in 2017), providing countries with guidance for implementing the survey. Participating countries are encouraged to follow this protocol closely, which includes instructions on the number and type of samples, donor selection, sample collection, storage, pooling, and shipping to the reference laboratory. In previous survey rounds, samples were analyzed at the WHO/UNEP reference laboratory, the State Institute for Chemical and Veterinary Analysis of Food (CVUA) in Freiburg, Germany. Proteinophilic POPs (e.g., PFOS) were analyzed at MTM Örebro in Sweden. Laboratories with qualified intercalibration capacities are encouraged to contribute data on POPs in human milk in future GMP cycles.</w:t>
      </w:r>
    </w:p>
    <w:p w14:paraId="15D1BE1B" w14:textId="06EFD596" w:rsidR="000F4986" w:rsidRPr="00A4272B" w:rsidRDefault="000F4986" w:rsidP="000F4986">
      <w:pPr>
        <w:rPr>
          <w:lang w:val="en-US"/>
        </w:rPr>
      </w:pPr>
      <w:r w:rsidRPr="00A4272B">
        <w:rPr>
          <w:b/>
          <w:bCs/>
          <w:lang w:val="en-US"/>
        </w:rPr>
        <w:t>Survey implementation principles</w:t>
      </w:r>
    </w:p>
    <w:p w14:paraId="2A76BDA5" w14:textId="2F0E8E8A" w:rsidR="000F4986" w:rsidRPr="00A4272B" w:rsidRDefault="000F4986">
      <w:pPr>
        <w:numPr>
          <w:ilvl w:val="0"/>
          <w:numId w:val="105"/>
        </w:numPr>
        <w:rPr>
          <w:lang w:val="en-US"/>
        </w:rPr>
      </w:pPr>
      <w:r w:rsidRPr="00A4272B">
        <w:rPr>
          <w:b/>
          <w:bCs/>
          <w:lang w:val="en-US"/>
        </w:rPr>
        <w:t>Breastfeeding protection</w:t>
      </w:r>
      <w:r w:rsidRPr="00A4272B">
        <w:rPr>
          <w:lang w:val="en-US"/>
        </w:rPr>
        <w:t>: Breastfeeding should be protected, promoted, and supported</w:t>
      </w:r>
      <w:r w:rsidR="002A6D39" w:rsidRPr="00A4272B">
        <w:rPr>
          <w:lang w:val="en-US"/>
        </w:rPr>
        <w:t>;</w:t>
      </w:r>
    </w:p>
    <w:p w14:paraId="28562062" w14:textId="11634584" w:rsidR="000F4986" w:rsidRPr="00A4272B" w:rsidRDefault="000F4986">
      <w:pPr>
        <w:numPr>
          <w:ilvl w:val="0"/>
          <w:numId w:val="105"/>
        </w:numPr>
        <w:rPr>
          <w:lang w:val="en-US"/>
        </w:rPr>
      </w:pPr>
      <w:r w:rsidRPr="00A4272B">
        <w:rPr>
          <w:b/>
          <w:bCs/>
          <w:lang w:val="en-US"/>
        </w:rPr>
        <w:t>Health communication</w:t>
      </w:r>
      <w:r w:rsidRPr="00A4272B">
        <w:rPr>
          <w:lang w:val="en-US"/>
        </w:rPr>
        <w:t>: The health benefits of breastfeeding for both mother and baby should be clearly communicated</w:t>
      </w:r>
      <w:r w:rsidR="002A6D39" w:rsidRPr="00A4272B">
        <w:rPr>
          <w:lang w:val="en-US"/>
        </w:rPr>
        <w:t>;</w:t>
      </w:r>
    </w:p>
    <w:p w14:paraId="0B252759" w14:textId="33FA0188" w:rsidR="000F4986" w:rsidRPr="00A4272B" w:rsidRDefault="000F4986">
      <w:pPr>
        <w:numPr>
          <w:ilvl w:val="0"/>
          <w:numId w:val="105"/>
        </w:numPr>
        <w:rPr>
          <w:lang w:val="en-US"/>
        </w:rPr>
      </w:pPr>
      <w:r w:rsidRPr="00A4272B">
        <w:rPr>
          <w:b/>
          <w:bCs/>
          <w:lang w:val="en-US"/>
        </w:rPr>
        <w:t>Sample collection care</w:t>
      </w:r>
      <w:r w:rsidRPr="00A4272B">
        <w:rPr>
          <w:lang w:val="en-US"/>
        </w:rPr>
        <w:t>: Milk sampling should not burden the mother or compromise the infant’s nutritional needs.</w:t>
      </w:r>
    </w:p>
    <w:p w14:paraId="2B632958" w14:textId="63B1C785" w:rsidR="000F4986" w:rsidRPr="00A4272B" w:rsidRDefault="000F4986" w:rsidP="000F4986">
      <w:pPr>
        <w:rPr>
          <w:lang w:val="en-US"/>
        </w:rPr>
      </w:pPr>
      <w:r w:rsidRPr="00A4272B">
        <w:rPr>
          <w:b/>
          <w:bCs/>
          <w:lang w:val="en-US"/>
        </w:rPr>
        <w:t>Summary of survey guidelines</w:t>
      </w:r>
    </w:p>
    <w:p w14:paraId="1635EEA9" w14:textId="337E701A" w:rsidR="000F4986" w:rsidRPr="00A4272B" w:rsidRDefault="000F4986">
      <w:pPr>
        <w:numPr>
          <w:ilvl w:val="0"/>
          <w:numId w:val="106"/>
        </w:numPr>
        <w:rPr>
          <w:lang w:val="en-US"/>
        </w:rPr>
      </w:pPr>
      <w:r w:rsidRPr="00A4272B">
        <w:rPr>
          <w:b/>
          <w:bCs/>
          <w:lang w:val="en-US"/>
        </w:rPr>
        <w:t>National coordinator</w:t>
      </w:r>
      <w:r w:rsidRPr="00A4272B">
        <w:rPr>
          <w:lang w:val="en-US"/>
        </w:rPr>
        <w:t>: Each country should appoint a coordinator responsible for planning and implementing the survey with support from health, laboratory, and administrative staff</w:t>
      </w:r>
      <w:r w:rsidR="002A6D39" w:rsidRPr="00A4272B">
        <w:rPr>
          <w:lang w:val="en-US"/>
        </w:rPr>
        <w:t>;</w:t>
      </w:r>
    </w:p>
    <w:p w14:paraId="2E118D22" w14:textId="3FCE3F9C" w:rsidR="000F4986" w:rsidRPr="00A4272B" w:rsidRDefault="000F4986">
      <w:pPr>
        <w:numPr>
          <w:ilvl w:val="0"/>
          <w:numId w:val="106"/>
        </w:numPr>
        <w:rPr>
          <w:lang w:val="en-US"/>
        </w:rPr>
      </w:pPr>
      <w:r w:rsidRPr="00A4272B">
        <w:rPr>
          <w:b/>
          <w:bCs/>
          <w:lang w:val="en-US"/>
        </w:rPr>
        <w:t>Donor selection</w:t>
      </w:r>
      <w:r w:rsidRPr="00A4272B">
        <w:rPr>
          <w:lang w:val="en-US"/>
        </w:rPr>
        <w:t>: Mothers should be first-time mothers, 3–4 weeks postpartum, breastfeeding only one child</w:t>
      </w:r>
      <w:r w:rsidR="002A6D39" w:rsidRPr="00A4272B">
        <w:rPr>
          <w:lang w:val="en-US"/>
        </w:rPr>
        <w:t>;</w:t>
      </w:r>
    </w:p>
    <w:p w14:paraId="72600C9E" w14:textId="379FAD85" w:rsidR="000F4986" w:rsidRPr="00A4272B" w:rsidRDefault="000F4986">
      <w:pPr>
        <w:numPr>
          <w:ilvl w:val="0"/>
          <w:numId w:val="106"/>
        </w:numPr>
        <w:rPr>
          <w:lang w:val="en-US"/>
        </w:rPr>
      </w:pPr>
      <w:r w:rsidRPr="00A4272B">
        <w:rPr>
          <w:b/>
          <w:bCs/>
          <w:lang w:val="en-US"/>
        </w:rPr>
        <w:t>Number of Ddonors</w:t>
      </w:r>
      <w:r w:rsidRPr="00A4272B">
        <w:rPr>
          <w:lang w:val="en-US"/>
        </w:rPr>
        <w:t>: To ensure statistically reliable data, each country should aim to recruit at least 50 donors. For countries with smaller populations or lower birth rates, extending the sample collection period may increase donor numbers. If fewer donors are available, the impact on statistical power should be evaluated carefully. Samples from these individual donors are pooled to form a composite sample, or “pooled sample.” To improve survey power, more than 50 samples are encouraged, with one sample per million citizens as a guideline. For countries with over 50 million people, an additional sample per million citizens over this threshold is recommended. Countries with populations well over 50 million are encouraged to prepare additional pooled samples if feasible, enhancing statistical validity for tracking POPs concentration changes over time. Stratifying samples by geographic or other criteria is an option where resources allow</w:t>
      </w:r>
      <w:r w:rsidR="002A6D39" w:rsidRPr="00A4272B">
        <w:rPr>
          <w:lang w:val="en-US"/>
        </w:rPr>
        <w:t>;</w:t>
      </w:r>
    </w:p>
    <w:p w14:paraId="69D0FD3C" w14:textId="7447DE45" w:rsidR="000F4986" w:rsidRPr="00A4272B" w:rsidRDefault="000F4986">
      <w:pPr>
        <w:numPr>
          <w:ilvl w:val="0"/>
          <w:numId w:val="106"/>
        </w:numPr>
        <w:rPr>
          <w:lang w:val="en-US"/>
        </w:rPr>
      </w:pPr>
      <w:r w:rsidRPr="00A4272B">
        <w:rPr>
          <w:b/>
          <w:bCs/>
          <w:lang w:val="en-US"/>
        </w:rPr>
        <w:t>Donor selection strategy</w:t>
      </w:r>
      <w:r w:rsidRPr="00A4272B">
        <w:rPr>
          <w:lang w:val="en-US"/>
        </w:rPr>
        <w:t>: Due to time constraints, potential donors should be recruited at post-natal or well-baby clinics, with stratification of participants following previous survey principles</w:t>
      </w:r>
      <w:r w:rsidR="002A6D39" w:rsidRPr="00A4272B">
        <w:rPr>
          <w:lang w:val="en-US"/>
        </w:rPr>
        <w:t>;</w:t>
      </w:r>
    </w:p>
    <w:p w14:paraId="118FE01C" w14:textId="67C646B0" w:rsidR="000F4986" w:rsidRPr="00A4272B" w:rsidRDefault="000F4986">
      <w:pPr>
        <w:numPr>
          <w:ilvl w:val="0"/>
          <w:numId w:val="106"/>
        </w:numPr>
        <w:rPr>
          <w:lang w:val="en-US"/>
        </w:rPr>
      </w:pPr>
      <w:r w:rsidRPr="00A4272B">
        <w:rPr>
          <w:b/>
          <w:bCs/>
          <w:lang w:val="en-US"/>
        </w:rPr>
        <w:t>Sample collection glassware</w:t>
      </w:r>
      <w:r w:rsidRPr="00A4272B">
        <w:rPr>
          <w:lang w:val="en-US"/>
        </w:rPr>
        <w:t>: WHO/UNEP will provide sterilized glassware for sample collection and pooled sample preparation through CVUA Freiburg</w:t>
      </w:r>
      <w:r w:rsidR="002A6D39" w:rsidRPr="00A4272B">
        <w:rPr>
          <w:lang w:val="en-US"/>
        </w:rPr>
        <w:t>;</w:t>
      </w:r>
    </w:p>
    <w:p w14:paraId="57954892" w14:textId="66967146" w:rsidR="000F4986" w:rsidRPr="00A4272B" w:rsidRDefault="000F4986">
      <w:pPr>
        <w:numPr>
          <w:ilvl w:val="0"/>
          <w:numId w:val="106"/>
        </w:numPr>
        <w:rPr>
          <w:lang w:val="en-US"/>
        </w:rPr>
      </w:pPr>
      <w:r w:rsidRPr="00A4272B">
        <w:rPr>
          <w:b/>
          <w:bCs/>
          <w:lang w:val="en-US"/>
        </w:rPr>
        <w:t>Sample collection timing</w:t>
      </w:r>
      <w:r w:rsidRPr="00A4272B">
        <w:rPr>
          <w:lang w:val="en-US"/>
        </w:rPr>
        <w:t>: Sampling should occur between three and eight weeks postpartum. During collection, mothers should complete a questionnaire. A total of at least 50 ml of milk should be collected directly into the provided jar and stored frozen until shipment</w:t>
      </w:r>
      <w:r w:rsidR="002A6D39" w:rsidRPr="00A4272B">
        <w:rPr>
          <w:lang w:val="en-US"/>
        </w:rPr>
        <w:t>;</w:t>
      </w:r>
    </w:p>
    <w:p w14:paraId="150DDDF0" w14:textId="0D91DA95" w:rsidR="000F4986" w:rsidRPr="00A4272B" w:rsidRDefault="000F4986">
      <w:pPr>
        <w:numPr>
          <w:ilvl w:val="0"/>
          <w:numId w:val="106"/>
        </w:numPr>
        <w:rPr>
          <w:lang w:val="en-US"/>
        </w:rPr>
      </w:pPr>
      <w:r w:rsidRPr="00A4272B">
        <w:rPr>
          <w:b/>
          <w:bCs/>
          <w:lang w:val="en-US"/>
        </w:rPr>
        <w:t>Sample preservation</w:t>
      </w:r>
      <w:r w:rsidRPr="00A4272B">
        <w:rPr>
          <w:lang w:val="en-US"/>
        </w:rPr>
        <w:t>: Samples should be preserved by freezing. They may be stored at approximately 4°C for up to 72 hours or at -18°C for longer periods.</w:t>
      </w:r>
    </w:p>
    <w:p w14:paraId="5007EBF2" w14:textId="27F0035E" w:rsidR="000F4986" w:rsidRPr="00A4272B" w:rsidRDefault="000F4986" w:rsidP="000F4986">
      <w:pPr>
        <w:rPr>
          <w:lang w:val="en-US"/>
        </w:rPr>
      </w:pPr>
      <w:r w:rsidRPr="00A4272B">
        <w:rPr>
          <w:b/>
          <w:bCs/>
          <w:lang w:val="en-US"/>
        </w:rPr>
        <w:t>Sample analysis</w:t>
      </w:r>
    </w:p>
    <w:p w14:paraId="5AF37FC0" w14:textId="77777777" w:rsidR="000F4986" w:rsidRPr="00A4272B" w:rsidRDefault="000F4986" w:rsidP="000F4986">
      <w:pPr>
        <w:rPr>
          <w:lang w:val="en-US"/>
        </w:rPr>
      </w:pPr>
      <w:r w:rsidRPr="00A4272B">
        <w:rPr>
          <w:lang w:val="en-US"/>
        </w:rPr>
        <w:t>After collecting 50 individual 50 ml samples, the following procedures apply:</w:t>
      </w:r>
    </w:p>
    <w:p w14:paraId="4A78C49D" w14:textId="7AD59CD7" w:rsidR="000F4986" w:rsidRPr="00A4272B" w:rsidRDefault="000F4986">
      <w:pPr>
        <w:numPr>
          <w:ilvl w:val="0"/>
          <w:numId w:val="107"/>
        </w:numPr>
        <w:rPr>
          <w:lang w:val="en-US"/>
        </w:rPr>
      </w:pPr>
      <w:r w:rsidRPr="00A4272B">
        <w:rPr>
          <w:b/>
          <w:bCs/>
          <w:lang w:val="en-US"/>
        </w:rPr>
        <w:t>Pooled sample preparation</w:t>
      </w:r>
      <w:r w:rsidRPr="00A4272B">
        <w:rPr>
          <w:lang w:val="en-US"/>
        </w:rPr>
        <w:t>: Each individual sample is homogenized by shaking for five minutes. The 50 ml sample is divided into two 25 ml portions:</w:t>
      </w:r>
    </w:p>
    <w:p w14:paraId="161B890A" w14:textId="5A546B35" w:rsidR="000F4986" w:rsidRPr="00A4272B" w:rsidRDefault="000F4986">
      <w:pPr>
        <w:numPr>
          <w:ilvl w:val="1"/>
          <w:numId w:val="108"/>
        </w:numPr>
        <w:rPr>
          <w:lang w:val="en-US"/>
        </w:rPr>
      </w:pPr>
      <w:r w:rsidRPr="00A4272B">
        <w:rPr>
          <w:lang w:val="en-US"/>
        </w:rPr>
        <w:t>One 25 ml portion serves as the national individual sample and is retained by the country</w:t>
      </w:r>
      <w:r w:rsidR="002A6D39" w:rsidRPr="00A4272B">
        <w:rPr>
          <w:lang w:val="en-US"/>
        </w:rPr>
        <w:t>;</w:t>
      </w:r>
    </w:p>
    <w:p w14:paraId="3964FB7B" w14:textId="1B24169C" w:rsidR="000F4986" w:rsidRPr="00A4272B" w:rsidRDefault="000F4986">
      <w:pPr>
        <w:numPr>
          <w:ilvl w:val="1"/>
          <w:numId w:val="108"/>
        </w:numPr>
        <w:rPr>
          <w:lang w:val="en-US"/>
        </w:rPr>
      </w:pPr>
      <w:r w:rsidRPr="00A4272B">
        <w:rPr>
          <w:lang w:val="en-US"/>
        </w:rPr>
        <w:t>The other 25 ml portion is placed in a 2000 ml glass bottle to create the pooled sample (50 x 25 ml = 1250 ml pooled sample)</w:t>
      </w:r>
      <w:r w:rsidR="002A6D39" w:rsidRPr="00A4272B">
        <w:rPr>
          <w:lang w:val="en-US"/>
        </w:rPr>
        <w:t>;</w:t>
      </w:r>
    </w:p>
    <w:p w14:paraId="72107605" w14:textId="32766DEC" w:rsidR="000F4986" w:rsidRPr="00A4272B" w:rsidRDefault="000F4986">
      <w:pPr>
        <w:numPr>
          <w:ilvl w:val="0"/>
          <w:numId w:val="107"/>
        </w:numPr>
        <w:rPr>
          <w:lang w:val="en-US"/>
        </w:rPr>
      </w:pPr>
      <w:r w:rsidRPr="00A4272B">
        <w:rPr>
          <w:b/>
          <w:bCs/>
          <w:lang w:val="en-US"/>
        </w:rPr>
        <w:t>Individual samples</w:t>
      </w:r>
      <w:r w:rsidRPr="00A4272B">
        <w:rPr>
          <w:lang w:val="en-US"/>
        </w:rPr>
        <w:t xml:space="preserve">: Each country can retain 25 ml individual samples for POPs analysis if it has national capacity. Laboratories analyzing these samples to build analytical expertise are recommended to participate </w:t>
      </w:r>
      <w:r w:rsidRPr="00A4272B">
        <w:rPr>
          <w:lang w:val="en-US"/>
        </w:rPr>
        <w:lastRenderedPageBreak/>
        <w:t xml:space="preserve">in interlaboratory studies, such as the UNEP-organized </w:t>
      </w:r>
      <w:r w:rsidRPr="00A4272B">
        <w:rPr>
          <w:i/>
          <w:iCs/>
          <w:lang w:val="en-US"/>
        </w:rPr>
        <w:t>Biennial Global Interlaboratory Assessment on Persistent Organic Pollutants</w:t>
      </w:r>
      <w:r w:rsidRPr="00A4272B">
        <w:rPr>
          <w:lang w:val="en-US"/>
        </w:rPr>
        <w:t>, where reference samples can also be obtained</w:t>
      </w:r>
      <w:r w:rsidR="002A6D39" w:rsidRPr="00A4272B">
        <w:rPr>
          <w:lang w:val="en-US"/>
        </w:rPr>
        <w:t>.</w:t>
      </w:r>
    </w:p>
    <w:p w14:paraId="7C8CA3EF" w14:textId="4F7FFD6E" w:rsidR="000F4986" w:rsidRPr="00A4272B" w:rsidRDefault="000F4986" w:rsidP="000F4986">
      <w:pPr>
        <w:rPr>
          <w:lang w:val="en-US"/>
        </w:rPr>
      </w:pPr>
      <w:r w:rsidRPr="00A4272B">
        <w:rPr>
          <w:lang w:val="en-US"/>
        </w:rPr>
        <w:t>The remaining milk from individual samples should be pooled and sent to the WHO Global Human Milk Bank via WHO reference laboratories.</w:t>
      </w:r>
    </w:p>
    <w:p w14:paraId="3A7A0D6C" w14:textId="77777777" w:rsidR="000F4986" w:rsidRPr="00A4272B" w:rsidRDefault="000F4986" w:rsidP="000F4986">
      <w:pPr>
        <w:rPr>
          <w:lang w:val="en-US"/>
        </w:rPr>
      </w:pPr>
      <w:r w:rsidRPr="00A4272B">
        <w:rPr>
          <w:lang w:val="en-US"/>
        </w:rPr>
        <w:t>Each individual and pooled sample must be labeled with a unique identification code, and all samples should be stored deep-frozen.</w:t>
      </w:r>
    </w:p>
    <w:p w14:paraId="7761BCFA" w14:textId="06C75435" w:rsidR="000F4986" w:rsidRPr="00A4272B" w:rsidRDefault="000F4986" w:rsidP="000F4986">
      <w:pPr>
        <w:rPr>
          <w:lang w:val="en-US"/>
        </w:rPr>
      </w:pPr>
      <w:r w:rsidRPr="00A4272B">
        <w:rPr>
          <w:b/>
          <w:bCs/>
          <w:lang w:val="en-US"/>
        </w:rPr>
        <w:t>Special shipping criteria</w:t>
      </w:r>
    </w:p>
    <w:p w14:paraId="1B439DBC" w14:textId="598EEAE7" w:rsidR="000F4986" w:rsidRPr="00A4272B" w:rsidRDefault="000F4986" w:rsidP="000F4986">
      <w:pPr>
        <w:rPr>
          <w:lang w:val="en-US"/>
        </w:rPr>
      </w:pPr>
      <w:r w:rsidRPr="00A4272B">
        <w:rPr>
          <w:lang w:val="en-US"/>
        </w:rPr>
        <w:t>Shipping requirements, such as using coolers or dry ice, should be discussed with courier services, including airlines. Customs clearance must be secured in advance from departure, transit, and destination countries to ensure timely sample delivery. The pooled sample is then sent to WHO/UNEP reference laboratories for analysis of all POPs listed in the Stockholm Convention, accompanied by a completed summary of information.</w:t>
      </w:r>
    </w:p>
    <w:p w14:paraId="3AEEC2AB" w14:textId="14BAC07C" w:rsidR="00F3536C" w:rsidRPr="00A4272B" w:rsidRDefault="000F4986" w:rsidP="002A04E0">
      <w:pPr>
        <w:pStyle w:val="GMPHeading1"/>
        <w:rPr>
          <w:rFonts w:hint="eastAsia"/>
        </w:rPr>
      </w:pPr>
      <w:r w:rsidRPr="00A4272B">
        <w:br w:type="page"/>
      </w:r>
      <w:bookmarkStart w:id="902" w:name="_Toc187270558"/>
      <w:r w:rsidR="00F3536C" w:rsidRPr="00A4272B">
        <w:lastRenderedPageBreak/>
        <w:t>A</w:t>
      </w:r>
      <w:r w:rsidR="00874453" w:rsidRPr="00A4272B">
        <w:t>ppendix IV</w:t>
      </w:r>
      <w:bookmarkStart w:id="903" w:name="_Toc160507650"/>
      <w:r w:rsidR="00874453" w:rsidRPr="00A4272B">
        <w:t xml:space="preserve">: </w:t>
      </w:r>
      <w:r w:rsidR="00F3536C" w:rsidRPr="00A4272B">
        <w:t>Sampling, storage, transportation, and analytical details for maternal blood (source: Centre de toxicologie du Québec / INSPQ)</w:t>
      </w:r>
      <w:bookmarkEnd w:id="902"/>
      <w:bookmarkEnd w:id="903"/>
    </w:p>
    <w:p w14:paraId="74AEDC94" w14:textId="7A758CC1" w:rsidR="00F3536C" w:rsidRPr="00A4272B" w:rsidRDefault="00F3536C" w:rsidP="000D7B08">
      <w:pPr>
        <w:jc w:val="both"/>
        <w:rPr>
          <w:b/>
          <w:lang w:val="en-US"/>
        </w:rPr>
      </w:pPr>
      <w:r w:rsidRPr="00A4272B">
        <w:rPr>
          <w:b/>
          <w:lang w:val="en-US"/>
        </w:rPr>
        <w:t xml:space="preserve">Sampling protocol for </w:t>
      </w:r>
      <w:r w:rsidR="00C47D09" w:rsidRPr="00A4272B">
        <w:rPr>
          <w:b/>
          <w:lang w:val="en-US"/>
        </w:rPr>
        <w:t>determining</w:t>
      </w:r>
      <w:r w:rsidRPr="00A4272B">
        <w:rPr>
          <w:b/>
          <w:lang w:val="en-US"/>
        </w:rPr>
        <w:t xml:space="preserve"> organochlori</w:t>
      </w:r>
      <w:r w:rsidR="00C47D09" w:rsidRPr="00A4272B">
        <w:rPr>
          <w:b/>
          <w:lang w:val="en-US"/>
        </w:rPr>
        <w:t>ne</w:t>
      </w:r>
      <w:r w:rsidRPr="00A4272B">
        <w:rPr>
          <w:b/>
          <w:lang w:val="en-US"/>
        </w:rPr>
        <w:t xml:space="preserve"> pesticides, PCBs and PBDEs in blood</w:t>
      </w:r>
    </w:p>
    <w:p w14:paraId="40593288" w14:textId="77777777" w:rsidR="00C47D09" w:rsidRPr="00A4272B" w:rsidRDefault="00C47D09" w:rsidP="00C47D09">
      <w:pPr>
        <w:jc w:val="both"/>
        <w:rPr>
          <w:b/>
          <w:lang w:val="en-US"/>
        </w:rPr>
      </w:pPr>
      <w:r w:rsidRPr="00A4272B">
        <w:rPr>
          <w:b/>
          <w:bCs/>
          <w:lang w:val="en-US"/>
        </w:rPr>
        <w:t>Materials</w:t>
      </w:r>
    </w:p>
    <w:p w14:paraId="38F46CF7" w14:textId="77777777" w:rsidR="00C47D09" w:rsidRPr="00A4272B" w:rsidRDefault="00C47D09" w:rsidP="004B62AA">
      <w:pPr>
        <w:ind w:firstLine="619"/>
        <w:jc w:val="both"/>
        <w:rPr>
          <w:bCs/>
          <w:lang w:val="en-US"/>
        </w:rPr>
      </w:pPr>
      <w:r w:rsidRPr="00A4272B">
        <w:rPr>
          <w:bCs/>
          <w:lang w:val="en-US"/>
        </w:rPr>
        <w:t>Blood collection tubes (2 x 6 mL or 1 x 10 mL) with EDTA anticoagulant (lavender top).</w:t>
      </w:r>
    </w:p>
    <w:p w14:paraId="1405063E" w14:textId="77777777" w:rsidR="00C47D09" w:rsidRPr="00A4272B" w:rsidRDefault="00C47D09" w:rsidP="00C47D09">
      <w:pPr>
        <w:jc w:val="both"/>
        <w:rPr>
          <w:b/>
          <w:lang w:val="en-US"/>
        </w:rPr>
      </w:pPr>
      <w:r w:rsidRPr="00A4272B">
        <w:rPr>
          <w:b/>
          <w:bCs/>
          <w:lang w:val="en-US"/>
        </w:rPr>
        <w:t>Sampling Procedure</w:t>
      </w:r>
    </w:p>
    <w:p w14:paraId="1FCD2914" w14:textId="02FDB7D2" w:rsidR="00C47D09" w:rsidRPr="00A4272B" w:rsidRDefault="00C47D09">
      <w:pPr>
        <w:numPr>
          <w:ilvl w:val="0"/>
          <w:numId w:val="111"/>
        </w:numPr>
        <w:jc w:val="both"/>
        <w:rPr>
          <w:bCs/>
          <w:lang w:val="en-US"/>
        </w:rPr>
      </w:pPr>
      <w:r w:rsidRPr="00A4272B">
        <w:rPr>
          <w:bCs/>
          <w:lang w:val="en-US"/>
        </w:rPr>
        <w:t>Draw a 10 mL blood sample from each donor using a lavender-top Vacutainer (EDTA, Becton-Dickinson)</w:t>
      </w:r>
      <w:r w:rsidR="002A6D39" w:rsidRPr="00A4272B">
        <w:rPr>
          <w:bCs/>
          <w:lang w:val="en-US"/>
        </w:rPr>
        <w:t>;</w:t>
      </w:r>
    </w:p>
    <w:p w14:paraId="1CADB2B8" w14:textId="3C406F5C" w:rsidR="00C47D09" w:rsidRPr="00A4272B" w:rsidRDefault="00C47D09">
      <w:pPr>
        <w:numPr>
          <w:ilvl w:val="0"/>
          <w:numId w:val="111"/>
        </w:numPr>
        <w:jc w:val="both"/>
        <w:rPr>
          <w:bCs/>
          <w:lang w:val="en-US"/>
        </w:rPr>
      </w:pPr>
      <w:r w:rsidRPr="00A4272B">
        <w:rPr>
          <w:bCs/>
          <w:lang w:val="en-US"/>
        </w:rPr>
        <w:t>Immediately invert the tube 7–8 times to thoroughly mix the anticoagulant</w:t>
      </w:r>
      <w:r w:rsidR="002A6D39" w:rsidRPr="00A4272B">
        <w:rPr>
          <w:bCs/>
          <w:lang w:val="en-US"/>
        </w:rPr>
        <w:t>;</w:t>
      </w:r>
    </w:p>
    <w:p w14:paraId="4EADF723" w14:textId="17C2AE0F" w:rsidR="00C47D09" w:rsidRPr="00A4272B" w:rsidRDefault="00C47D09">
      <w:pPr>
        <w:numPr>
          <w:ilvl w:val="0"/>
          <w:numId w:val="111"/>
        </w:numPr>
        <w:jc w:val="both"/>
        <w:rPr>
          <w:bCs/>
          <w:lang w:val="en-US"/>
        </w:rPr>
      </w:pPr>
      <w:r w:rsidRPr="00A4272B">
        <w:rPr>
          <w:bCs/>
          <w:lang w:val="en-US"/>
        </w:rPr>
        <w:t>Slowly cool the sample to 4°C, avoiding direct contact with ice to prevent hemolysis</w:t>
      </w:r>
      <w:r w:rsidR="002A6D39" w:rsidRPr="00A4272B">
        <w:rPr>
          <w:bCs/>
          <w:lang w:val="en-US"/>
        </w:rPr>
        <w:t>;</w:t>
      </w:r>
    </w:p>
    <w:p w14:paraId="02EEDFB2" w14:textId="5F86D37A" w:rsidR="00C47D09" w:rsidRPr="00A4272B" w:rsidRDefault="00C47D09">
      <w:pPr>
        <w:numPr>
          <w:ilvl w:val="0"/>
          <w:numId w:val="111"/>
        </w:numPr>
        <w:jc w:val="both"/>
        <w:rPr>
          <w:bCs/>
          <w:lang w:val="en-US"/>
        </w:rPr>
      </w:pPr>
      <w:r w:rsidRPr="00A4272B">
        <w:rPr>
          <w:bCs/>
          <w:lang w:val="en-US"/>
        </w:rPr>
        <w:t>Centrifuge the sample for 10 minutes to separate plasma from red blood cells</w:t>
      </w:r>
      <w:r w:rsidR="002A6D39" w:rsidRPr="00A4272B">
        <w:rPr>
          <w:bCs/>
          <w:lang w:val="en-US"/>
        </w:rPr>
        <w:t>;</w:t>
      </w:r>
    </w:p>
    <w:p w14:paraId="21086B4F" w14:textId="77777777" w:rsidR="00C47D09" w:rsidRPr="00A4272B" w:rsidRDefault="00C47D09">
      <w:pPr>
        <w:numPr>
          <w:ilvl w:val="0"/>
          <w:numId w:val="111"/>
        </w:numPr>
        <w:jc w:val="both"/>
        <w:rPr>
          <w:bCs/>
          <w:lang w:val="en-US"/>
        </w:rPr>
      </w:pPr>
      <w:r w:rsidRPr="00A4272B">
        <w:rPr>
          <w:bCs/>
          <w:lang w:val="en-US"/>
        </w:rPr>
        <w:t>Using a polyethylene pipet (Baxter # P5214-10), transfer the plasma to a 7 mL pre-cleaned glass vial with a Teflon-sealed screw cap (Supelco # 2-7341).</w:t>
      </w:r>
    </w:p>
    <w:p w14:paraId="5B097FA8" w14:textId="77777777" w:rsidR="00C47D09" w:rsidRPr="00A4272B" w:rsidRDefault="00C47D09" w:rsidP="00C47D09">
      <w:pPr>
        <w:jc w:val="both"/>
        <w:rPr>
          <w:b/>
          <w:lang w:val="en-US"/>
        </w:rPr>
      </w:pPr>
      <w:r w:rsidRPr="00A4272B">
        <w:rPr>
          <w:b/>
          <w:bCs/>
          <w:lang w:val="en-US"/>
        </w:rPr>
        <w:t>Storage</w:t>
      </w:r>
    </w:p>
    <w:p w14:paraId="1673253A" w14:textId="1104A289" w:rsidR="00C47D09" w:rsidRPr="00A4272B" w:rsidRDefault="00C47D09">
      <w:pPr>
        <w:numPr>
          <w:ilvl w:val="0"/>
          <w:numId w:val="110"/>
        </w:numPr>
        <w:jc w:val="both"/>
        <w:rPr>
          <w:lang w:val="en-US"/>
        </w:rPr>
      </w:pPr>
      <w:r w:rsidRPr="00A4272B">
        <w:rPr>
          <w:lang w:val="en-US"/>
        </w:rPr>
        <w:t>If shipping within 5 days: Keep the sample at 4°C until shipmen</w:t>
      </w:r>
      <w:r w:rsidR="002A6D39" w:rsidRPr="00A4272B">
        <w:rPr>
          <w:lang w:val="en-US"/>
        </w:rPr>
        <w:t>;</w:t>
      </w:r>
      <w:r w:rsidRPr="00A4272B">
        <w:rPr>
          <w:lang w:val="en-US"/>
        </w:rPr>
        <w:t>.</w:t>
      </w:r>
    </w:p>
    <w:p w14:paraId="5A67E9B3" w14:textId="0EB15AD3" w:rsidR="00C47D09" w:rsidRPr="00A4272B" w:rsidRDefault="00C47D09">
      <w:pPr>
        <w:numPr>
          <w:ilvl w:val="0"/>
          <w:numId w:val="110"/>
        </w:numPr>
        <w:jc w:val="both"/>
        <w:rPr>
          <w:lang w:val="en-US"/>
        </w:rPr>
      </w:pPr>
      <w:r w:rsidRPr="00A4272B">
        <w:rPr>
          <w:lang w:val="en-US"/>
        </w:rPr>
        <w:t>If holding for more than 5 days: Store at -20°C until shipped</w:t>
      </w:r>
      <w:r w:rsidR="002A6D39" w:rsidRPr="00A4272B">
        <w:rPr>
          <w:lang w:val="en-US"/>
        </w:rPr>
        <w:t>;</w:t>
      </w:r>
    </w:p>
    <w:p w14:paraId="5F7D6ABE" w14:textId="77777777" w:rsidR="00C47D09" w:rsidRPr="00A4272B" w:rsidRDefault="00C47D09" w:rsidP="00C47D09">
      <w:pPr>
        <w:jc w:val="both"/>
        <w:rPr>
          <w:lang w:val="en-US"/>
        </w:rPr>
      </w:pPr>
      <w:r w:rsidRPr="00A4272B">
        <w:rPr>
          <w:lang w:val="en-US"/>
        </w:rPr>
        <w:t>The plasma sample remains stable for at least five days at room temperature, so brief exposure to room temperature during transit should not affect the sample quality.</w:t>
      </w:r>
    </w:p>
    <w:p w14:paraId="6974D862" w14:textId="77777777" w:rsidR="00C47D09" w:rsidRPr="00A4272B" w:rsidRDefault="00C47D09" w:rsidP="00C47D09">
      <w:pPr>
        <w:jc w:val="both"/>
        <w:rPr>
          <w:b/>
          <w:lang w:val="en-US"/>
        </w:rPr>
      </w:pPr>
      <w:r w:rsidRPr="00A4272B">
        <w:rPr>
          <w:b/>
          <w:bCs/>
          <w:lang w:val="en-US"/>
        </w:rPr>
        <w:t>Shipping</w:t>
      </w:r>
    </w:p>
    <w:p w14:paraId="429E0DE1" w14:textId="2DE96D93" w:rsidR="00C47D09" w:rsidRPr="00A4272B" w:rsidRDefault="00C47D09">
      <w:pPr>
        <w:numPr>
          <w:ilvl w:val="0"/>
          <w:numId w:val="109"/>
        </w:numPr>
        <w:jc w:val="both"/>
        <w:rPr>
          <w:bCs/>
          <w:lang w:val="en-US"/>
        </w:rPr>
      </w:pPr>
      <w:r w:rsidRPr="00A4272B">
        <w:rPr>
          <w:bCs/>
          <w:lang w:val="en-US"/>
        </w:rPr>
        <w:t>Wrap each tube individually and place it in a shock-resistant container</w:t>
      </w:r>
      <w:r w:rsidR="002A6D39" w:rsidRPr="00A4272B">
        <w:rPr>
          <w:bCs/>
          <w:lang w:val="en-US"/>
        </w:rPr>
        <w:t>;</w:t>
      </w:r>
    </w:p>
    <w:p w14:paraId="44874841" w14:textId="77777777" w:rsidR="00C47D09" w:rsidRPr="00A4272B" w:rsidRDefault="00C47D09">
      <w:pPr>
        <w:numPr>
          <w:ilvl w:val="0"/>
          <w:numId w:val="109"/>
        </w:numPr>
        <w:jc w:val="both"/>
        <w:rPr>
          <w:bCs/>
          <w:lang w:val="en-US"/>
        </w:rPr>
      </w:pPr>
      <w:r w:rsidRPr="00A4272B">
        <w:rPr>
          <w:bCs/>
          <w:lang w:val="en-US"/>
        </w:rPr>
        <w:t>To prevent delays that could compromise sample integrity, use a courier service (e.g., FedEx) for rapid delivery and share the tracking number with the recipient.</w:t>
      </w:r>
    </w:p>
    <w:p w14:paraId="4F90AC83" w14:textId="2356FB26" w:rsidR="00F3536C" w:rsidRPr="00A4272B" w:rsidRDefault="00F3536C" w:rsidP="002A04E0">
      <w:pPr>
        <w:pStyle w:val="GMPHeading1"/>
        <w:rPr>
          <w:rFonts w:hint="eastAsia"/>
        </w:rPr>
      </w:pPr>
      <w:r w:rsidRPr="00A4272B">
        <w:br w:type="page"/>
      </w:r>
      <w:bookmarkStart w:id="904" w:name="_Toc287973490"/>
      <w:bookmarkStart w:id="905" w:name="_Toc288232644"/>
      <w:bookmarkStart w:id="906" w:name="_Toc288745863"/>
      <w:bookmarkStart w:id="907" w:name="_Toc187270559"/>
      <w:r w:rsidRPr="00A4272B">
        <w:lastRenderedPageBreak/>
        <w:t>A</w:t>
      </w:r>
      <w:r w:rsidR="00874453" w:rsidRPr="00A4272B">
        <w:t>ppendix V</w:t>
      </w:r>
      <w:bookmarkStart w:id="908" w:name="_Toc287973491"/>
      <w:bookmarkStart w:id="909" w:name="_Toc288232645"/>
      <w:bookmarkStart w:id="910" w:name="_Toc288745864"/>
      <w:bookmarkStart w:id="911" w:name="_Toc160507652"/>
      <w:bookmarkEnd w:id="904"/>
      <w:bookmarkEnd w:id="905"/>
      <w:bookmarkEnd w:id="906"/>
      <w:r w:rsidR="00874453" w:rsidRPr="00A4272B">
        <w:t xml:space="preserve">: </w:t>
      </w:r>
      <w:r w:rsidRPr="00A4272B">
        <w:t>Water solubility, octanol-water, and organic carbon partitioning coefficients of POPs</w:t>
      </w:r>
      <w:bookmarkEnd w:id="907"/>
      <w:bookmarkEnd w:id="908"/>
      <w:bookmarkEnd w:id="909"/>
      <w:bookmarkEnd w:id="910"/>
      <w:bookmarkEnd w:id="9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79"/>
        <w:gridCol w:w="1835"/>
        <w:gridCol w:w="1560"/>
        <w:gridCol w:w="724"/>
        <w:gridCol w:w="756"/>
        <w:gridCol w:w="675"/>
      </w:tblGrid>
      <w:tr w:rsidR="00F3536C" w:rsidRPr="00A4272B" w14:paraId="66967372" w14:textId="77777777" w:rsidTr="00A41632">
        <w:tc>
          <w:tcPr>
            <w:tcW w:w="3579" w:type="dxa"/>
          </w:tcPr>
          <w:p w14:paraId="7C36ECDC" w14:textId="77777777" w:rsidR="00F3536C" w:rsidRPr="00A4272B" w:rsidRDefault="00F3536C" w:rsidP="000C1560">
            <w:pPr>
              <w:spacing w:before="40" w:after="40"/>
              <w:rPr>
                <w:lang w:val="en-US"/>
              </w:rPr>
            </w:pPr>
            <w:r w:rsidRPr="00A4272B">
              <w:rPr>
                <w:lang w:val="en-US"/>
              </w:rPr>
              <w:t>Listed Chemical</w:t>
            </w:r>
          </w:p>
        </w:tc>
        <w:tc>
          <w:tcPr>
            <w:tcW w:w="1835" w:type="dxa"/>
          </w:tcPr>
          <w:p w14:paraId="6229BADE" w14:textId="77777777" w:rsidR="00F3536C" w:rsidRPr="00A4272B" w:rsidRDefault="00F3536C" w:rsidP="000C1560">
            <w:pPr>
              <w:spacing w:before="40" w:after="40"/>
              <w:rPr>
                <w:lang w:val="en-US"/>
              </w:rPr>
            </w:pPr>
            <w:r w:rsidRPr="00A4272B">
              <w:rPr>
                <w:lang w:val="en-US"/>
              </w:rPr>
              <w:t>Representative Analyte in water</w:t>
            </w:r>
          </w:p>
        </w:tc>
        <w:tc>
          <w:tcPr>
            <w:tcW w:w="1560" w:type="dxa"/>
          </w:tcPr>
          <w:p w14:paraId="75F2B5BB" w14:textId="77777777" w:rsidR="00F3536C" w:rsidRPr="00A4272B" w:rsidRDefault="00F3536C" w:rsidP="000C1560">
            <w:pPr>
              <w:spacing w:before="40" w:after="40"/>
              <w:rPr>
                <w:lang w:val="en-US"/>
              </w:rPr>
            </w:pPr>
            <w:r w:rsidRPr="00A4272B">
              <w:rPr>
                <w:lang w:val="en-US"/>
              </w:rPr>
              <w:t>Water solubility</w:t>
            </w:r>
            <w:r w:rsidRPr="00A4272B">
              <w:rPr>
                <w:vertAlign w:val="superscript"/>
                <w:lang w:val="en-US"/>
              </w:rPr>
              <w:t xml:space="preserve">1 </w:t>
            </w:r>
            <w:r w:rsidRPr="00A4272B">
              <w:rPr>
                <w:lang w:val="en-US"/>
              </w:rPr>
              <w:t>(mg/L) at 25</w:t>
            </w:r>
            <w:r w:rsidRPr="00A4272B">
              <w:rPr>
                <w:vertAlign w:val="superscript"/>
                <w:lang w:val="en-US"/>
              </w:rPr>
              <w:t>o</w:t>
            </w:r>
            <w:r w:rsidRPr="00A4272B">
              <w:rPr>
                <w:lang w:val="en-US"/>
              </w:rPr>
              <w:t>C</w:t>
            </w:r>
          </w:p>
        </w:tc>
        <w:tc>
          <w:tcPr>
            <w:tcW w:w="724" w:type="dxa"/>
          </w:tcPr>
          <w:p w14:paraId="7B32B407" w14:textId="77777777" w:rsidR="00F3536C" w:rsidRPr="00A4272B" w:rsidRDefault="00F3536C" w:rsidP="000C1560">
            <w:pPr>
              <w:spacing w:before="40" w:after="40"/>
              <w:rPr>
                <w:lang w:val="en-US"/>
              </w:rPr>
            </w:pPr>
            <w:r w:rsidRPr="00A4272B">
              <w:rPr>
                <w:lang w:val="en-US"/>
              </w:rPr>
              <w:t>Log Kow</w:t>
            </w:r>
          </w:p>
        </w:tc>
        <w:tc>
          <w:tcPr>
            <w:tcW w:w="756" w:type="dxa"/>
          </w:tcPr>
          <w:p w14:paraId="63315C5D" w14:textId="77777777" w:rsidR="00F3536C" w:rsidRPr="00A4272B" w:rsidRDefault="00F3536C" w:rsidP="000C1560">
            <w:pPr>
              <w:spacing w:before="40" w:after="40"/>
              <w:rPr>
                <w:vertAlign w:val="superscript"/>
                <w:lang w:val="en-US"/>
              </w:rPr>
            </w:pPr>
            <w:r w:rsidRPr="00A4272B">
              <w:rPr>
                <w:lang w:val="en-US"/>
              </w:rPr>
              <w:t>Log Koc</w:t>
            </w:r>
            <w:r w:rsidRPr="00A4272B">
              <w:rPr>
                <w:vertAlign w:val="superscript"/>
                <w:lang w:val="en-US"/>
              </w:rPr>
              <w:t>2</w:t>
            </w:r>
          </w:p>
        </w:tc>
        <w:tc>
          <w:tcPr>
            <w:tcW w:w="675" w:type="dxa"/>
          </w:tcPr>
          <w:p w14:paraId="77B1444F" w14:textId="77777777" w:rsidR="00F3536C" w:rsidRPr="00A4272B" w:rsidRDefault="00F3536C" w:rsidP="000C1560">
            <w:pPr>
              <w:spacing w:before="40" w:after="40"/>
              <w:rPr>
                <w:lang w:val="en-US"/>
              </w:rPr>
            </w:pPr>
            <w:r w:rsidRPr="00A4272B">
              <w:rPr>
                <w:lang w:val="en-US"/>
              </w:rPr>
              <w:t>Ref</w:t>
            </w:r>
            <w:r w:rsidRPr="00A4272B">
              <w:rPr>
                <w:vertAlign w:val="superscript"/>
                <w:lang w:val="en-US"/>
              </w:rPr>
              <w:t>3</w:t>
            </w:r>
          </w:p>
        </w:tc>
      </w:tr>
      <w:tr w:rsidR="00F3536C" w:rsidRPr="00A4272B" w14:paraId="5BA5EEE2" w14:textId="77777777" w:rsidTr="00A41632">
        <w:tc>
          <w:tcPr>
            <w:tcW w:w="3579" w:type="dxa"/>
          </w:tcPr>
          <w:p w14:paraId="34D7DA38" w14:textId="77777777" w:rsidR="00F3536C" w:rsidRPr="00A4272B" w:rsidRDefault="00F3536C" w:rsidP="000C1560">
            <w:pPr>
              <w:autoSpaceDE w:val="0"/>
              <w:autoSpaceDN w:val="0"/>
              <w:adjustRightInd w:val="0"/>
              <w:spacing w:before="40" w:after="40"/>
              <w:rPr>
                <w:lang w:val="en-US"/>
              </w:rPr>
            </w:pPr>
            <w:r w:rsidRPr="00A4272B">
              <w:rPr>
                <w:lang w:val="en-US"/>
              </w:rPr>
              <w:t>Aldrin</w:t>
            </w:r>
          </w:p>
        </w:tc>
        <w:tc>
          <w:tcPr>
            <w:tcW w:w="1835" w:type="dxa"/>
          </w:tcPr>
          <w:p w14:paraId="57DB6F35" w14:textId="77777777" w:rsidR="00F3536C" w:rsidRPr="00A4272B" w:rsidRDefault="00F3536C" w:rsidP="000C1560">
            <w:pPr>
              <w:autoSpaceDE w:val="0"/>
              <w:autoSpaceDN w:val="0"/>
              <w:adjustRightInd w:val="0"/>
              <w:spacing w:before="40" w:after="40"/>
              <w:rPr>
                <w:lang w:val="en-US"/>
              </w:rPr>
            </w:pPr>
            <w:r w:rsidRPr="00A4272B">
              <w:rPr>
                <w:lang w:val="en-US"/>
              </w:rPr>
              <w:t>Aldrin</w:t>
            </w:r>
          </w:p>
        </w:tc>
        <w:tc>
          <w:tcPr>
            <w:tcW w:w="1560" w:type="dxa"/>
          </w:tcPr>
          <w:p w14:paraId="18462E6E" w14:textId="77777777" w:rsidR="00F3536C" w:rsidRPr="00A4272B" w:rsidRDefault="00F3536C" w:rsidP="000C1560">
            <w:pPr>
              <w:spacing w:before="40" w:after="40"/>
              <w:jc w:val="center"/>
              <w:rPr>
                <w:lang w:val="en-US"/>
              </w:rPr>
            </w:pPr>
            <w:r w:rsidRPr="00A4272B">
              <w:rPr>
                <w:lang w:val="en-US"/>
              </w:rPr>
              <w:t>0.02</w:t>
            </w:r>
          </w:p>
        </w:tc>
        <w:tc>
          <w:tcPr>
            <w:tcW w:w="724" w:type="dxa"/>
          </w:tcPr>
          <w:p w14:paraId="576FF432" w14:textId="77777777" w:rsidR="00F3536C" w:rsidRPr="00A4272B" w:rsidRDefault="00F3536C" w:rsidP="000C1560">
            <w:pPr>
              <w:spacing w:before="40" w:after="40"/>
              <w:jc w:val="center"/>
              <w:rPr>
                <w:lang w:val="en-US"/>
              </w:rPr>
            </w:pPr>
            <w:r w:rsidRPr="00A4272B">
              <w:rPr>
                <w:lang w:val="en-US"/>
              </w:rPr>
              <w:t>3.0</w:t>
            </w:r>
          </w:p>
        </w:tc>
        <w:tc>
          <w:tcPr>
            <w:tcW w:w="756" w:type="dxa"/>
          </w:tcPr>
          <w:p w14:paraId="7CF811E1" w14:textId="77777777" w:rsidR="00F3536C" w:rsidRPr="00A4272B" w:rsidRDefault="00F3536C" w:rsidP="000C1560">
            <w:pPr>
              <w:spacing w:before="40" w:after="40"/>
              <w:jc w:val="center"/>
              <w:rPr>
                <w:lang w:val="en-US"/>
              </w:rPr>
            </w:pPr>
            <w:r w:rsidRPr="00A4272B">
              <w:rPr>
                <w:lang w:val="en-US"/>
              </w:rPr>
              <w:t>2.6</w:t>
            </w:r>
          </w:p>
        </w:tc>
        <w:tc>
          <w:tcPr>
            <w:tcW w:w="675" w:type="dxa"/>
          </w:tcPr>
          <w:p w14:paraId="53D2DE45" w14:textId="77777777" w:rsidR="00F3536C" w:rsidRPr="00A4272B" w:rsidRDefault="00F3536C" w:rsidP="000C1560">
            <w:pPr>
              <w:spacing w:before="40" w:after="40"/>
              <w:jc w:val="center"/>
              <w:rPr>
                <w:lang w:val="en-US"/>
              </w:rPr>
            </w:pPr>
            <w:r w:rsidRPr="00A4272B">
              <w:rPr>
                <w:lang w:val="en-US"/>
              </w:rPr>
              <w:t>1</w:t>
            </w:r>
          </w:p>
        </w:tc>
      </w:tr>
      <w:tr w:rsidR="00F3536C" w:rsidRPr="00A4272B" w14:paraId="7B748DE7" w14:textId="77777777" w:rsidTr="00A41632">
        <w:tc>
          <w:tcPr>
            <w:tcW w:w="3579" w:type="dxa"/>
          </w:tcPr>
          <w:p w14:paraId="07CA2A93" w14:textId="77777777" w:rsidR="00F3536C" w:rsidRPr="00A4272B" w:rsidRDefault="00F3536C" w:rsidP="000C1560">
            <w:pPr>
              <w:autoSpaceDE w:val="0"/>
              <w:autoSpaceDN w:val="0"/>
              <w:adjustRightInd w:val="0"/>
              <w:spacing w:before="40" w:after="40"/>
              <w:rPr>
                <w:lang w:val="en-US"/>
              </w:rPr>
            </w:pPr>
            <w:r w:rsidRPr="00A4272B">
              <w:rPr>
                <w:lang w:val="en-US"/>
              </w:rPr>
              <w:t>Chlordane</w:t>
            </w:r>
          </w:p>
        </w:tc>
        <w:tc>
          <w:tcPr>
            <w:tcW w:w="1835" w:type="dxa"/>
          </w:tcPr>
          <w:p w14:paraId="71CFEE0A" w14:textId="77777777" w:rsidR="00F3536C" w:rsidRPr="00A4272B" w:rsidRDefault="00F3536C" w:rsidP="000C1560">
            <w:pPr>
              <w:autoSpaceDE w:val="0"/>
              <w:autoSpaceDN w:val="0"/>
              <w:adjustRightInd w:val="0"/>
              <w:spacing w:before="40" w:after="40"/>
              <w:rPr>
                <w:lang w:val="en-US"/>
              </w:rPr>
            </w:pPr>
            <w:r w:rsidRPr="00A4272B">
              <w:rPr>
                <w:i/>
                <w:lang w:val="en-US"/>
              </w:rPr>
              <w:t>cis</w:t>
            </w:r>
            <w:r w:rsidRPr="00A4272B">
              <w:rPr>
                <w:lang w:val="en-US"/>
              </w:rPr>
              <w:t>-chlordane</w:t>
            </w:r>
          </w:p>
        </w:tc>
        <w:tc>
          <w:tcPr>
            <w:tcW w:w="1560" w:type="dxa"/>
          </w:tcPr>
          <w:p w14:paraId="50EBEF04" w14:textId="77777777" w:rsidR="00F3536C" w:rsidRPr="00A4272B" w:rsidRDefault="00F3536C" w:rsidP="000C1560">
            <w:pPr>
              <w:spacing w:before="40" w:after="40"/>
              <w:jc w:val="center"/>
              <w:rPr>
                <w:lang w:val="en-US"/>
              </w:rPr>
            </w:pPr>
            <w:r w:rsidRPr="00A4272B">
              <w:rPr>
                <w:lang w:val="en-US"/>
              </w:rPr>
              <w:t>0.056</w:t>
            </w:r>
          </w:p>
        </w:tc>
        <w:tc>
          <w:tcPr>
            <w:tcW w:w="724" w:type="dxa"/>
          </w:tcPr>
          <w:p w14:paraId="063D5030" w14:textId="77777777" w:rsidR="00F3536C" w:rsidRPr="00A4272B" w:rsidRDefault="00F3536C" w:rsidP="000C1560">
            <w:pPr>
              <w:spacing w:before="40" w:after="40"/>
              <w:jc w:val="center"/>
              <w:rPr>
                <w:lang w:val="en-US"/>
              </w:rPr>
            </w:pPr>
            <w:r w:rsidRPr="00A4272B">
              <w:rPr>
                <w:lang w:val="en-US"/>
              </w:rPr>
              <w:t>6.0</w:t>
            </w:r>
          </w:p>
        </w:tc>
        <w:tc>
          <w:tcPr>
            <w:tcW w:w="756" w:type="dxa"/>
          </w:tcPr>
          <w:p w14:paraId="7939EBD8" w14:textId="77777777" w:rsidR="00F3536C" w:rsidRPr="00A4272B" w:rsidRDefault="00F3536C" w:rsidP="000C1560">
            <w:pPr>
              <w:spacing w:before="40" w:after="40"/>
              <w:jc w:val="center"/>
              <w:rPr>
                <w:lang w:val="en-US"/>
              </w:rPr>
            </w:pPr>
            <w:r w:rsidRPr="00A4272B">
              <w:rPr>
                <w:lang w:val="en-US"/>
              </w:rPr>
              <w:t>5.5</w:t>
            </w:r>
          </w:p>
        </w:tc>
        <w:tc>
          <w:tcPr>
            <w:tcW w:w="675" w:type="dxa"/>
          </w:tcPr>
          <w:p w14:paraId="3E19B654" w14:textId="77777777" w:rsidR="00F3536C" w:rsidRPr="00A4272B" w:rsidRDefault="00F3536C" w:rsidP="000C1560">
            <w:pPr>
              <w:spacing w:before="40" w:after="40"/>
              <w:jc w:val="center"/>
              <w:rPr>
                <w:lang w:val="en-US"/>
              </w:rPr>
            </w:pPr>
            <w:r w:rsidRPr="00A4272B">
              <w:rPr>
                <w:lang w:val="en-US"/>
              </w:rPr>
              <w:t>1</w:t>
            </w:r>
          </w:p>
        </w:tc>
      </w:tr>
      <w:tr w:rsidR="00F3536C" w:rsidRPr="00A4272B" w14:paraId="708FE268" w14:textId="77777777" w:rsidTr="00A41632">
        <w:tc>
          <w:tcPr>
            <w:tcW w:w="3579" w:type="dxa"/>
          </w:tcPr>
          <w:p w14:paraId="4174CB82" w14:textId="77777777" w:rsidR="00F3536C" w:rsidRPr="00A4272B" w:rsidRDefault="00F3536C" w:rsidP="000C1560">
            <w:pPr>
              <w:autoSpaceDE w:val="0"/>
              <w:autoSpaceDN w:val="0"/>
              <w:adjustRightInd w:val="0"/>
              <w:spacing w:before="40" w:after="40"/>
              <w:rPr>
                <w:lang w:val="en-US"/>
              </w:rPr>
            </w:pPr>
            <w:r w:rsidRPr="00A4272B">
              <w:rPr>
                <w:lang w:val="en-US"/>
              </w:rPr>
              <w:t>Chlordecone</w:t>
            </w:r>
          </w:p>
        </w:tc>
        <w:tc>
          <w:tcPr>
            <w:tcW w:w="1835" w:type="dxa"/>
          </w:tcPr>
          <w:p w14:paraId="38B005FB" w14:textId="77777777" w:rsidR="00F3536C" w:rsidRPr="00A4272B" w:rsidRDefault="00F3536C" w:rsidP="000C1560">
            <w:pPr>
              <w:autoSpaceDE w:val="0"/>
              <w:autoSpaceDN w:val="0"/>
              <w:adjustRightInd w:val="0"/>
              <w:spacing w:before="40" w:after="40"/>
              <w:rPr>
                <w:lang w:val="en-US"/>
              </w:rPr>
            </w:pPr>
            <w:r w:rsidRPr="00A4272B">
              <w:rPr>
                <w:lang w:val="en-US"/>
              </w:rPr>
              <w:t>Chlordecone</w:t>
            </w:r>
          </w:p>
        </w:tc>
        <w:tc>
          <w:tcPr>
            <w:tcW w:w="1560" w:type="dxa"/>
          </w:tcPr>
          <w:p w14:paraId="53E23A29" w14:textId="77777777" w:rsidR="00F3536C" w:rsidRPr="00A4272B" w:rsidRDefault="00F3536C" w:rsidP="000C1560">
            <w:pPr>
              <w:spacing w:before="40" w:after="40"/>
              <w:jc w:val="center"/>
              <w:rPr>
                <w:lang w:val="en-US"/>
              </w:rPr>
            </w:pPr>
            <w:r w:rsidRPr="00A4272B">
              <w:rPr>
                <w:lang w:val="en-US"/>
              </w:rPr>
              <w:t>2.7</w:t>
            </w:r>
          </w:p>
        </w:tc>
        <w:tc>
          <w:tcPr>
            <w:tcW w:w="724" w:type="dxa"/>
          </w:tcPr>
          <w:p w14:paraId="28DE17C7" w14:textId="77777777" w:rsidR="00F3536C" w:rsidRPr="00A4272B" w:rsidRDefault="00F3536C" w:rsidP="000C1560">
            <w:pPr>
              <w:spacing w:before="40" w:after="40"/>
              <w:jc w:val="center"/>
              <w:rPr>
                <w:lang w:val="en-US"/>
              </w:rPr>
            </w:pPr>
            <w:r w:rsidRPr="00A4272B">
              <w:rPr>
                <w:lang w:val="en-US"/>
              </w:rPr>
              <w:t>4.5</w:t>
            </w:r>
          </w:p>
        </w:tc>
        <w:tc>
          <w:tcPr>
            <w:tcW w:w="756" w:type="dxa"/>
          </w:tcPr>
          <w:p w14:paraId="6B4301CF" w14:textId="77777777" w:rsidR="00F3536C" w:rsidRPr="00A4272B" w:rsidRDefault="00F3536C" w:rsidP="000C1560">
            <w:pPr>
              <w:spacing w:before="40" w:after="40"/>
              <w:jc w:val="center"/>
              <w:rPr>
                <w:lang w:val="en-US"/>
              </w:rPr>
            </w:pPr>
            <w:r w:rsidRPr="00A4272B">
              <w:rPr>
                <w:lang w:val="en-US"/>
              </w:rPr>
              <w:t>3.4</w:t>
            </w:r>
          </w:p>
        </w:tc>
        <w:tc>
          <w:tcPr>
            <w:tcW w:w="675" w:type="dxa"/>
          </w:tcPr>
          <w:p w14:paraId="04A95E36" w14:textId="77777777" w:rsidR="00F3536C" w:rsidRPr="00A4272B" w:rsidRDefault="00F3536C" w:rsidP="000C1560">
            <w:pPr>
              <w:spacing w:before="40" w:after="40"/>
              <w:jc w:val="center"/>
              <w:rPr>
                <w:lang w:val="en-US"/>
              </w:rPr>
            </w:pPr>
            <w:r w:rsidRPr="00A4272B">
              <w:rPr>
                <w:lang w:val="en-US"/>
              </w:rPr>
              <w:t>2</w:t>
            </w:r>
          </w:p>
        </w:tc>
      </w:tr>
      <w:tr w:rsidR="00F3536C" w:rsidRPr="00A4272B" w14:paraId="7DF17D41" w14:textId="77777777" w:rsidTr="00A41632">
        <w:tc>
          <w:tcPr>
            <w:tcW w:w="3579" w:type="dxa"/>
          </w:tcPr>
          <w:p w14:paraId="5AED90BD" w14:textId="77777777" w:rsidR="00F3536C" w:rsidRPr="00A4272B" w:rsidRDefault="00F3536C" w:rsidP="000C1560">
            <w:pPr>
              <w:autoSpaceDE w:val="0"/>
              <w:autoSpaceDN w:val="0"/>
              <w:adjustRightInd w:val="0"/>
              <w:spacing w:before="40" w:after="40"/>
              <w:rPr>
                <w:lang w:val="en-US"/>
              </w:rPr>
            </w:pPr>
            <w:r w:rsidRPr="00A4272B">
              <w:rPr>
                <w:lang w:val="en-US"/>
              </w:rPr>
              <w:t>DDT</w:t>
            </w:r>
          </w:p>
        </w:tc>
        <w:tc>
          <w:tcPr>
            <w:tcW w:w="1835" w:type="dxa"/>
          </w:tcPr>
          <w:p w14:paraId="66D67E4C" w14:textId="77777777" w:rsidR="00F3536C" w:rsidRPr="00A4272B" w:rsidRDefault="00F3536C" w:rsidP="000C1560">
            <w:pPr>
              <w:autoSpaceDE w:val="0"/>
              <w:autoSpaceDN w:val="0"/>
              <w:adjustRightInd w:val="0"/>
              <w:spacing w:before="40" w:after="40"/>
              <w:rPr>
                <w:lang w:val="en-US"/>
              </w:rPr>
            </w:pPr>
            <w:r w:rsidRPr="00A4272B">
              <w:rPr>
                <w:lang w:val="en-US"/>
              </w:rPr>
              <w:t>4,4’-DDT</w:t>
            </w:r>
          </w:p>
        </w:tc>
        <w:tc>
          <w:tcPr>
            <w:tcW w:w="1560" w:type="dxa"/>
          </w:tcPr>
          <w:p w14:paraId="4DB80911" w14:textId="77777777" w:rsidR="00F3536C" w:rsidRPr="00A4272B" w:rsidRDefault="00F3536C" w:rsidP="000C1560">
            <w:pPr>
              <w:spacing w:before="40" w:after="40"/>
              <w:jc w:val="center"/>
              <w:rPr>
                <w:lang w:val="en-US"/>
              </w:rPr>
            </w:pPr>
            <w:r w:rsidRPr="00A4272B">
              <w:rPr>
                <w:lang w:val="en-US"/>
              </w:rPr>
              <w:t>0.0055</w:t>
            </w:r>
          </w:p>
        </w:tc>
        <w:tc>
          <w:tcPr>
            <w:tcW w:w="724" w:type="dxa"/>
          </w:tcPr>
          <w:p w14:paraId="2840BAC0" w14:textId="77777777" w:rsidR="00F3536C" w:rsidRPr="00A4272B" w:rsidRDefault="00F3536C" w:rsidP="000C1560">
            <w:pPr>
              <w:spacing w:before="40" w:after="40"/>
              <w:jc w:val="center"/>
              <w:rPr>
                <w:lang w:val="en-US"/>
              </w:rPr>
            </w:pPr>
            <w:r w:rsidRPr="00A4272B">
              <w:rPr>
                <w:lang w:val="en-US"/>
              </w:rPr>
              <w:t>6.2</w:t>
            </w:r>
          </w:p>
        </w:tc>
        <w:tc>
          <w:tcPr>
            <w:tcW w:w="756" w:type="dxa"/>
          </w:tcPr>
          <w:p w14:paraId="56492EF7" w14:textId="77777777" w:rsidR="00F3536C" w:rsidRPr="00A4272B" w:rsidRDefault="00F3536C" w:rsidP="000C1560">
            <w:pPr>
              <w:spacing w:before="40" w:after="40"/>
              <w:jc w:val="center"/>
              <w:rPr>
                <w:lang w:val="en-US"/>
              </w:rPr>
            </w:pPr>
            <w:r w:rsidRPr="00A4272B">
              <w:rPr>
                <w:lang w:val="en-US"/>
              </w:rPr>
              <w:t>5.4</w:t>
            </w:r>
          </w:p>
        </w:tc>
        <w:tc>
          <w:tcPr>
            <w:tcW w:w="675" w:type="dxa"/>
          </w:tcPr>
          <w:p w14:paraId="509BA40E" w14:textId="77777777" w:rsidR="00F3536C" w:rsidRPr="00A4272B" w:rsidRDefault="00F3536C" w:rsidP="000C1560">
            <w:pPr>
              <w:spacing w:before="40" w:after="40"/>
              <w:jc w:val="center"/>
              <w:rPr>
                <w:lang w:val="en-US"/>
              </w:rPr>
            </w:pPr>
            <w:r w:rsidRPr="00A4272B">
              <w:rPr>
                <w:lang w:val="en-US"/>
              </w:rPr>
              <w:t>1</w:t>
            </w:r>
          </w:p>
        </w:tc>
      </w:tr>
      <w:tr w:rsidR="00F3536C" w:rsidRPr="00A4272B" w14:paraId="186381AD" w14:textId="77777777" w:rsidTr="00A41632">
        <w:tc>
          <w:tcPr>
            <w:tcW w:w="3579" w:type="dxa"/>
          </w:tcPr>
          <w:p w14:paraId="345F3474" w14:textId="77777777" w:rsidR="00F3536C" w:rsidRPr="00A4272B" w:rsidRDefault="00F3536C" w:rsidP="000C1560">
            <w:pPr>
              <w:autoSpaceDE w:val="0"/>
              <w:autoSpaceDN w:val="0"/>
              <w:adjustRightInd w:val="0"/>
              <w:spacing w:before="40" w:after="40"/>
              <w:rPr>
                <w:lang w:val="en-US"/>
              </w:rPr>
            </w:pPr>
          </w:p>
        </w:tc>
        <w:tc>
          <w:tcPr>
            <w:tcW w:w="1835" w:type="dxa"/>
          </w:tcPr>
          <w:p w14:paraId="436C1A23" w14:textId="77777777" w:rsidR="00F3536C" w:rsidRPr="00A4272B" w:rsidRDefault="00F3536C" w:rsidP="000C1560">
            <w:pPr>
              <w:autoSpaceDE w:val="0"/>
              <w:autoSpaceDN w:val="0"/>
              <w:adjustRightInd w:val="0"/>
              <w:spacing w:before="40" w:after="40"/>
              <w:rPr>
                <w:lang w:val="en-US"/>
              </w:rPr>
            </w:pPr>
            <w:r w:rsidRPr="00A4272B">
              <w:rPr>
                <w:lang w:val="en-US"/>
              </w:rPr>
              <w:t>4,4’-DDE</w:t>
            </w:r>
          </w:p>
        </w:tc>
        <w:tc>
          <w:tcPr>
            <w:tcW w:w="1560" w:type="dxa"/>
          </w:tcPr>
          <w:p w14:paraId="25337BF2" w14:textId="77777777" w:rsidR="00F3536C" w:rsidRPr="00A4272B" w:rsidRDefault="00F3536C" w:rsidP="000C1560">
            <w:pPr>
              <w:spacing w:before="40" w:after="40"/>
              <w:jc w:val="center"/>
              <w:rPr>
                <w:lang w:val="en-US"/>
              </w:rPr>
            </w:pPr>
            <w:r w:rsidRPr="00A4272B">
              <w:rPr>
                <w:lang w:val="en-US"/>
              </w:rPr>
              <w:t>0.04</w:t>
            </w:r>
          </w:p>
        </w:tc>
        <w:tc>
          <w:tcPr>
            <w:tcW w:w="724" w:type="dxa"/>
          </w:tcPr>
          <w:p w14:paraId="4326B47A" w14:textId="77777777" w:rsidR="00F3536C" w:rsidRPr="00A4272B" w:rsidRDefault="00F3536C" w:rsidP="000C1560">
            <w:pPr>
              <w:spacing w:before="40" w:after="40"/>
              <w:jc w:val="center"/>
              <w:rPr>
                <w:lang w:val="en-US"/>
              </w:rPr>
            </w:pPr>
            <w:r w:rsidRPr="00A4272B">
              <w:rPr>
                <w:lang w:val="en-US"/>
              </w:rPr>
              <w:t>5.7</w:t>
            </w:r>
          </w:p>
        </w:tc>
        <w:tc>
          <w:tcPr>
            <w:tcW w:w="756" w:type="dxa"/>
          </w:tcPr>
          <w:p w14:paraId="3EE683B0" w14:textId="77777777" w:rsidR="00F3536C" w:rsidRPr="00A4272B" w:rsidRDefault="00F3536C" w:rsidP="000C1560">
            <w:pPr>
              <w:spacing w:before="40" w:after="40"/>
              <w:jc w:val="center"/>
              <w:rPr>
                <w:lang w:val="en-US"/>
              </w:rPr>
            </w:pPr>
            <w:r w:rsidRPr="00A4272B">
              <w:rPr>
                <w:lang w:val="en-US"/>
              </w:rPr>
              <w:t>5.0</w:t>
            </w:r>
          </w:p>
        </w:tc>
        <w:tc>
          <w:tcPr>
            <w:tcW w:w="675" w:type="dxa"/>
          </w:tcPr>
          <w:p w14:paraId="2C56C8D6" w14:textId="77777777" w:rsidR="00F3536C" w:rsidRPr="00A4272B" w:rsidRDefault="00F3536C" w:rsidP="000C1560">
            <w:pPr>
              <w:spacing w:before="40" w:after="40"/>
              <w:jc w:val="center"/>
              <w:rPr>
                <w:lang w:val="en-US"/>
              </w:rPr>
            </w:pPr>
            <w:r w:rsidRPr="00A4272B">
              <w:rPr>
                <w:lang w:val="en-US"/>
              </w:rPr>
              <w:t>1</w:t>
            </w:r>
          </w:p>
        </w:tc>
      </w:tr>
      <w:tr w:rsidR="00F3536C" w:rsidRPr="00A4272B" w14:paraId="2883D302" w14:textId="77777777" w:rsidTr="00A41632">
        <w:tc>
          <w:tcPr>
            <w:tcW w:w="3579" w:type="dxa"/>
          </w:tcPr>
          <w:p w14:paraId="3C728BB6" w14:textId="77777777" w:rsidR="00F3536C" w:rsidRPr="00A4272B" w:rsidRDefault="00F3536C" w:rsidP="000C1560">
            <w:pPr>
              <w:autoSpaceDE w:val="0"/>
              <w:autoSpaceDN w:val="0"/>
              <w:adjustRightInd w:val="0"/>
              <w:spacing w:before="40" w:after="40"/>
              <w:rPr>
                <w:lang w:val="en-US"/>
              </w:rPr>
            </w:pPr>
            <w:r w:rsidRPr="00A4272B">
              <w:rPr>
                <w:lang w:val="en-US"/>
              </w:rPr>
              <w:t>Dieldrin</w:t>
            </w:r>
          </w:p>
        </w:tc>
        <w:tc>
          <w:tcPr>
            <w:tcW w:w="1835" w:type="dxa"/>
          </w:tcPr>
          <w:p w14:paraId="116691FF" w14:textId="77777777" w:rsidR="00F3536C" w:rsidRPr="00A4272B" w:rsidRDefault="00F3536C" w:rsidP="000C1560">
            <w:pPr>
              <w:autoSpaceDE w:val="0"/>
              <w:autoSpaceDN w:val="0"/>
              <w:adjustRightInd w:val="0"/>
              <w:spacing w:before="40" w:after="40"/>
              <w:rPr>
                <w:lang w:val="en-US"/>
              </w:rPr>
            </w:pPr>
            <w:r w:rsidRPr="00A4272B">
              <w:rPr>
                <w:lang w:val="en-US"/>
              </w:rPr>
              <w:t>Dieldrin</w:t>
            </w:r>
          </w:p>
        </w:tc>
        <w:tc>
          <w:tcPr>
            <w:tcW w:w="1560" w:type="dxa"/>
          </w:tcPr>
          <w:p w14:paraId="26FBA50D" w14:textId="77777777" w:rsidR="00F3536C" w:rsidRPr="00A4272B" w:rsidRDefault="00F3536C" w:rsidP="000C1560">
            <w:pPr>
              <w:spacing w:before="40" w:after="40"/>
              <w:jc w:val="center"/>
              <w:rPr>
                <w:lang w:val="en-US"/>
              </w:rPr>
            </w:pPr>
            <w:r w:rsidRPr="00A4272B">
              <w:rPr>
                <w:lang w:val="en-US"/>
              </w:rPr>
              <w:t>0.17</w:t>
            </w:r>
          </w:p>
        </w:tc>
        <w:tc>
          <w:tcPr>
            <w:tcW w:w="724" w:type="dxa"/>
          </w:tcPr>
          <w:p w14:paraId="1EF7AD28" w14:textId="77777777" w:rsidR="00F3536C" w:rsidRPr="00A4272B" w:rsidRDefault="00F3536C" w:rsidP="000C1560">
            <w:pPr>
              <w:spacing w:before="40" w:after="40"/>
              <w:jc w:val="center"/>
              <w:rPr>
                <w:lang w:val="en-US"/>
              </w:rPr>
            </w:pPr>
            <w:r w:rsidRPr="00A4272B">
              <w:rPr>
                <w:lang w:val="en-US"/>
              </w:rPr>
              <w:t>5.2</w:t>
            </w:r>
          </w:p>
        </w:tc>
        <w:tc>
          <w:tcPr>
            <w:tcW w:w="756" w:type="dxa"/>
          </w:tcPr>
          <w:p w14:paraId="1EBA8B4F" w14:textId="77777777" w:rsidR="00F3536C" w:rsidRPr="00A4272B" w:rsidRDefault="00F3536C" w:rsidP="000C1560">
            <w:pPr>
              <w:spacing w:before="40" w:after="40"/>
              <w:jc w:val="center"/>
              <w:rPr>
                <w:lang w:val="en-US"/>
              </w:rPr>
            </w:pPr>
            <w:r w:rsidRPr="00A4272B">
              <w:rPr>
                <w:lang w:val="en-US"/>
              </w:rPr>
              <w:t>4.1</w:t>
            </w:r>
          </w:p>
        </w:tc>
        <w:tc>
          <w:tcPr>
            <w:tcW w:w="675" w:type="dxa"/>
          </w:tcPr>
          <w:p w14:paraId="757F1CE1" w14:textId="77777777" w:rsidR="00F3536C" w:rsidRPr="00A4272B" w:rsidRDefault="00F3536C" w:rsidP="000C1560">
            <w:pPr>
              <w:spacing w:before="40" w:after="40"/>
              <w:jc w:val="center"/>
              <w:rPr>
                <w:lang w:val="en-US"/>
              </w:rPr>
            </w:pPr>
            <w:r w:rsidRPr="00A4272B">
              <w:rPr>
                <w:lang w:val="en-US"/>
              </w:rPr>
              <w:t>1</w:t>
            </w:r>
          </w:p>
        </w:tc>
      </w:tr>
      <w:tr w:rsidR="00F3536C" w:rsidRPr="00A4272B" w14:paraId="2C2966BB" w14:textId="77777777" w:rsidTr="00A41632">
        <w:tc>
          <w:tcPr>
            <w:tcW w:w="3579" w:type="dxa"/>
          </w:tcPr>
          <w:p w14:paraId="6442C386" w14:textId="77777777" w:rsidR="00F3536C" w:rsidRPr="00A4272B" w:rsidRDefault="00F3536C" w:rsidP="000C1560">
            <w:pPr>
              <w:autoSpaceDE w:val="0"/>
              <w:autoSpaceDN w:val="0"/>
              <w:adjustRightInd w:val="0"/>
              <w:spacing w:before="40" w:after="40"/>
              <w:rPr>
                <w:lang w:val="en-US"/>
              </w:rPr>
            </w:pPr>
            <w:r w:rsidRPr="00A4272B">
              <w:rPr>
                <w:lang w:val="en-US"/>
              </w:rPr>
              <w:t>Endrin</w:t>
            </w:r>
          </w:p>
        </w:tc>
        <w:tc>
          <w:tcPr>
            <w:tcW w:w="1835" w:type="dxa"/>
          </w:tcPr>
          <w:p w14:paraId="7053D6AD" w14:textId="77777777" w:rsidR="00F3536C" w:rsidRPr="00A4272B" w:rsidRDefault="00F3536C" w:rsidP="000C1560">
            <w:pPr>
              <w:autoSpaceDE w:val="0"/>
              <w:autoSpaceDN w:val="0"/>
              <w:adjustRightInd w:val="0"/>
              <w:spacing w:before="40" w:after="40"/>
              <w:rPr>
                <w:lang w:val="en-US"/>
              </w:rPr>
            </w:pPr>
            <w:r w:rsidRPr="00A4272B">
              <w:rPr>
                <w:lang w:val="en-US"/>
              </w:rPr>
              <w:t>Endrin</w:t>
            </w:r>
          </w:p>
        </w:tc>
        <w:tc>
          <w:tcPr>
            <w:tcW w:w="1560" w:type="dxa"/>
          </w:tcPr>
          <w:p w14:paraId="5B5F935F" w14:textId="77777777" w:rsidR="00F3536C" w:rsidRPr="00A4272B" w:rsidRDefault="00F3536C" w:rsidP="000C1560">
            <w:pPr>
              <w:spacing w:before="40" w:after="40"/>
              <w:jc w:val="center"/>
              <w:rPr>
                <w:lang w:val="en-US"/>
              </w:rPr>
            </w:pPr>
            <w:r w:rsidRPr="00A4272B">
              <w:rPr>
                <w:lang w:val="en-US"/>
              </w:rPr>
              <w:t>0.23</w:t>
            </w:r>
          </w:p>
        </w:tc>
        <w:tc>
          <w:tcPr>
            <w:tcW w:w="724" w:type="dxa"/>
          </w:tcPr>
          <w:p w14:paraId="7CA58C55" w14:textId="77777777" w:rsidR="00F3536C" w:rsidRPr="00A4272B" w:rsidRDefault="00F3536C" w:rsidP="000C1560">
            <w:pPr>
              <w:spacing w:before="40" w:after="40"/>
              <w:jc w:val="center"/>
              <w:rPr>
                <w:lang w:val="en-US"/>
              </w:rPr>
            </w:pPr>
            <w:r w:rsidRPr="00A4272B">
              <w:rPr>
                <w:lang w:val="en-US"/>
              </w:rPr>
              <w:t>5.2</w:t>
            </w:r>
          </w:p>
        </w:tc>
        <w:tc>
          <w:tcPr>
            <w:tcW w:w="756" w:type="dxa"/>
          </w:tcPr>
          <w:p w14:paraId="76059D80" w14:textId="77777777" w:rsidR="00F3536C" w:rsidRPr="00A4272B" w:rsidRDefault="00F3536C" w:rsidP="000C1560">
            <w:pPr>
              <w:spacing w:before="40" w:after="40"/>
              <w:jc w:val="center"/>
              <w:rPr>
                <w:lang w:val="en-US"/>
              </w:rPr>
            </w:pPr>
            <w:r w:rsidRPr="00A4272B">
              <w:rPr>
                <w:lang w:val="en-US"/>
              </w:rPr>
              <w:t>4.0</w:t>
            </w:r>
          </w:p>
        </w:tc>
        <w:tc>
          <w:tcPr>
            <w:tcW w:w="675" w:type="dxa"/>
          </w:tcPr>
          <w:p w14:paraId="507824D2" w14:textId="77777777" w:rsidR="00F3536C" w:rsidRPr="00A4272B" w:rsidRDefault="00F3536C" w:rsidP="000C1560">
            <w:pPr>
              <w:spacing w:before="40" w:after="40"/>
              <w:jc w:val="center"/>
              <w:rPr>
                <w:lang w:val="en-US"/>
              </w:rPr>
            </w:pPr>
            <w:r w:rsidRPr="00A4272B">
              <w:rPr>
                <w:lang w:val="en-US"/>
              </w:rPr>
              <w:t>1</w:t>
            </w:r>
          </w:p>
        </w:tc>
      </w:tr>
      <w:tr w:rsidR="00F3536C" w:rsidRPr="00A4272B" w14:paraId="71DCE43C" w14:textId="77777777" w:rsidTr="00A41632">
        <w:tc>
          <w:tcPr>
            <w:tcW w:w="3579" w:type="dxa"/>
          </w:tcPr>
          <w:p w14:paraId="4B56D0A0" w14:textId="77777777" w:rsidR="00F3536C" w:rsidRPr="00A4272B" w:rsidRDefault="00F3536C" w:rsidP="000C1560">
            <w:pPr>
              <w:autoSpaceDE w:val="0"/>
              <w:autoSpaceDN w:val="0"/>
              <w:adjustRightInd w:val="0"/>
              <w:spacing w:before="40" w:after="40"/>
              <w:rPr>
                <w:lang w:val="en-US"/>
              </w:rPr>
            </w:pPr>
            <w:r w:rsidRPr="00A4272B">
              <w:rPr>
                <w:lang w:val="en-US"/>
              </w:rPr>
              <w:t>Endosulfan</w:t>
            </w:r>
          </w:p>
        </w:tc>
        <w:tc>
          <w:tcPr>
            <w:tcW w:w="1835" w:type="dxa"/>
          </w:tcPr>
          <w:p w14:paraId="5C8E68E8" w14:textId="11FF112C" w:rsidR="00F3536C" w:rsidRPr="00A4272B" w:rsidRDefault="002A6D39" w:rsidP="000C1560">
            <w:pPr>
              <w:autoSpaceDE w:val="0"/>
              <w:autoSpaceDN w:val="0"/>
              <w:adjustRightInd w:val="0"/>
              <w:spacing w:before="40" w:after="40"/>
              <w:rPr>
                <w:lang w:val="en-US"/>
              </w:rPr>
            </w:pPr>
            <w:r w:rsidRPr="00A4272B">
              <w:rPr>
                <w:lang w:val="en-US"/>
              </w:rPr>
              <w:t>Alpha-endosulfan</w:t>
            </w:r>
          </w:p>
        </w:tc>
        <w:tc>
          <w:tcPr>
            <w:tcW w:w="1560" w:type="dxa"/>
          </w:tcPr>
          <w:p w14:paraId="5E5B83DE" w14:textId="77777777" w:rsidR="00F3536C" w:rsidRPr="00A4272B" w:rsidRDefault="00F3536C" w:rsidP="000C1560">
            <w:pPr>
              <w:tabs>
                <w:tab w:val="left" w:pos="456"/>
                <w:tab w:val="center" w:pos="778"/>
              </w:tabs>
              <w:spacing w:before="40" w:after="40"/>
              <w:jc w:val="center"/>
              <w:rPr>
                <w:lang w:val="en-US"/>
              </w:rPr>
            </w:pPr>
            <w:r w:rsidRPr="00A4272B">
              <w:rPr>
                <w:lang w:val="en-US"/>
              </w:rPr>
              <w:t>0.5</w:t>
            </w:r>
          </w:p>
        </w:tc>
        <w:tc>
          <w:tcPr>
            <w:tcW w:w="724" w:type="dxa"/>
          </w:tcPr>
          <w:p w14:paraId="77DEB197" w14:textId="77777777" w:rsidR="00F3536C" w:rsidRPr="00A4272B" w:rsidRDefault="00F3536C" w:rsidP="000C1560">
            <w:pPr>
              <w:spacing w:before="40" w:after="40"/>
              <w:jc w:val="center"/>
              <w:rPr>
                <w:lang w:val="en-US"/>
              </w:rPr>
            </w:pPr>
            <w:r w:rsidRPr="00A4272B">
              <w:rPr>
                <w:lang w:val="en-US"/>
              </w:rPr>
              <w:t>4.9</w:t>
            </w:r>
          </w:p>
        </w:tc>
        <w:tc>
          <w:tcPr>
            <w:tcW w:w="756" w:type="dxa"/>
          </w:tcPr>
          <w:p w14:paraId="354FD4CF" w14:textId="77777777" w:rsidR="00F3536C" w:rsidRPr="00A4272B" w:rsidRDefault="00F3536C" w:rsidP="000C1560">
            <w:pPr>
              <w:spacing w:before="40" w:after="40"/>
              <w:jc w:val="center"/>
              <w:rPr>
                <w:lang w:val="en-US"/>
              </w:rPr>
            </w:pPr>
            <w:r w:rsidRPr="00A4272B">
              <w:rPr>
                <w:lang w:val="en-US"/>
              </w:rPr>
              <w:t>3.6</w:t>
            </w:r>
          </w:p>
        </w:tc>
        <w:tc>
          <w:tcPr>
            <w:tcW w:w="675" w:type="dxa"/>
          </w:tcPr>
          <w:p w14:paraId="52A3D2DA" w14:textId="77777777" w:rsidR="00F3536C" w:rsidRPr="00A4272B" w:rsidRDefault="00F3536C" w:rsidP="000C1560">
            <w:pPr>
              <w:spacing w:before="40" w:after="40"/>
              <w:jc w:val="center"/>
              <w:rPr>
                <w:lang w:val="en-US"/>
              </w:rPr>
            </w:pPr>
            <w:r w:rsidRPr="00A4272B">
              <w:rPr>
                <w:lang w:val="en-US"/>
              </w:rPr>
              <w:t>2,3</w:t>
            </w:r>
          </w:p>
        </w:tc>
      </w:tr>
      <w:tr w:rsidR="00F3536C" w:rsidRPr="00A4272B" w14:paraId="0D311C1C" w14:textId="77777777" w:rsidTr="00A41632">
        <w:tc>
          <w:tcPr>
            <w:tcW w:w="3579" w:type="dxa"/>
          </w:tcPr>
          <w:p w14:paraId="422CD958" w14:textId="77777777" w:rsidR="00F3536C" w:rsidRPr="00A4272B" w:rsidRDefault="00F3536C" w:rsidP="000C1560">
            <w:pPr>
              <w:autoSpaceDE w:val="0"/>
              <w:autoSpaceDN w:val="0"/>
              <w:adjustRightInd w:val="0"/>
              <w:spacing w:before="40" w:after="40"/>
              <w:rPr>
                <w:lang w:val="en-US"/>
              </w:rPr>
            </w:pPr>
          </w:p>
        </w:tc>
        <w:tc>
          <w:tcPr>
            <w:tcW w:w="1835" w:type="dxa"/>
          </w:tcPr>
          <w:p w14:paraId="4D9ACF13" w14:textId="77777777" w:rsidR="00F3536C" w:rsidRPr="00A4272B" w:rsidRDefault="00F3536C" w:rsidP="000C1560">
            <w:pPr>
              <w:autoSpaceDE w:val="0"/>
              <w:autoSpaceDN w:val="0"/>
              <w:adjustRightInd w:val="0"/>
              <w:spacing w:before="40" w:after="40"/>
              <w:rPr>
                <w:lang w:val="en-US"/>
              </w:rPr>
            </w:pPr>
            <w:r w:rsidRPr="00A4272B">
              <w:rPr>
                <w:lang w:val="en-US"/>
              </w:rPr>
              <w:t>Endosulfan sulfate</w:t>
            </w:r>
          </w:p>
        </w:tc>
        <w:tc>
          <w:tcPr>
            <w:tcW w:w="1560" w:type="dxa"/>
          </w:tcPr>
          <w:p w14:paraId="4706D808" w14:textId="77777777" w:rsidR="00F3536C" w:rsidRPr="00A4272B" w:rsidRDefault="00F3536C" w:rsidP="000C1560">
            <w:pPr>
              <w:spacing w:before="40" w:after="40"/>
              <w:jc w:val="center"/>
              <w:rPr>
                <w:lang w:val="en-US"/>
              </w:rPr>
            </w:pPr>
            <w:r w:rsidRPr="00A4272B">
              <w:rPr>
                <w:lang w:val="en-US"/>
              </w:rPr>
              <w:t>0.22</w:t>
            </w:r>
          </w:p>
        </w:tc>
        <w:tc>
          <w:tcPr>
            <w:tcW w:w="724" w:type="dxa"/>
          </w:tcPr>
          <w:p w14:paraId="6C9A735C" w14:textId="77777777" w:rsidR="00F3536C" w:rsidRPr="00A4272B" w:rsidRDefault="00F3536C" w:rsidP="000C1560">
            <w:pPr>
              <w:spacing w:before="40" w:after="40"/>
              <w:jc w:val="center"/>
              <w:rPr>
                <w:lang w:val="en-US"/>
              </w:rPr>
            </w:pPr>
            <w:r w:rsidRPr="00A4272B">
              <w:rPr>
                <w:lang w:val="en-US"/>
              </w:rPr>
              <w:t>3.6</w:t>
            </w:r>
          </w:p>
        </w:tc>
        <w:tc>
          <w:tcPr>
            <w:tcW w:w="756" w:type="dxa"/>
          </w:tcPr>
          <w:p w14:paraId="7C48830F" w14:textId="77777777" w:rsidR="00F3536C" w:rsidRPr="00A4272B" w:rsidRDefault="00F3536C" w:rsidP="000C1560">
            <w:pPr>
              <w:spacing w:before="40" w:after="40"/>
              <w:jc w:val="center"/>
              <w:rPr>
                <w:lang w:val="en-US"/>
              </w:rPr>
            </w:pPr>
            <w:r w:rsidRPr="00A4272B">
              <w:rPr>
                <w:lang w:val="en-US"/>
              </w:rPr>
              <w:t>3.2</w:t>
            </w:r>
          </w:p>
        </w:tc>
        <w:tc>
          <w:tcPr>
            <w:tcW w:w="675" w:type="dxa"/>
          </w:tcPr>
          <w:p w14:paraId="04D8D35C" w14:textId="77777777" w:rsidR="00F3536C" w:rsidRPr="00A4272B" w:rsidRDefault="00F3536C" w:rsidP="000C1560">
            <w:pPr>
              <w:spacing w:before="40" w:after="40"/>
              <w:jc w:val="center"/>
              <w:rPr>
                <w:lang w:val="en-US"/>
              </w:rPr>
            </w:pPr>
            <w:r w:rsidRPr="00A4272B">
              <w:rPr>
                <w:lang w:val="en-US"/>
              </w:rPr>
              <w:t>2,3</w:t>
            </w:r>
          </w:p>
        </w:tc>
      </w:tr>
      <w:tr w:rsidR="00F3536C" w:rsidRPr="00A4272B" w14:paraId="63B39903" w14:textId="77777777" w:rsidTr="00A41632">
        <w:tc>
          <w:tcPr>
            <w:tcW w:w="3579" w:type="dxa"/>
          </w:tcPr>
          <w:p w14:paraId="30100DAD" w14:textId="77777777" w:rsidR="00F3536C" w:rsidRPr="00A4272B" w:rsidRDefault="00F3536C" w:rsidP="000C1560">
            <w:pPr>
              <w:autoSpaceDE w:val="0"/>
              <w:autoSpaceDN w:val="0"/>
              <w:adjustRightInd w:val="0"/>
              <w:spacing w:before="40" w:after="40"/>
              <w:rPr>
                <w:lang w:val="en-US"/>
              </w:rPr>
            </w:pPr>
            <w:r w:rsidRPr="00A4272B">
              <w:rPr>
                <w:lang w:val="en-US"/>
              </w:rPr>
              <w:t>HCB</w:t>
            </w:r>
          </w:p>
        </w:tc>
        <w:tc>
          <w:tcPr>
            <w:tcW w:w="1835" w:type="dxa"/>
          </w:tcPr>
          <w:p w14:paraId="72E985D4" w14:textId="77777777" w:rsidR="00F3536C" w:rsidRPr="00A4272B" w:rsidRDefault="00F3536C" w:rsidP="000C1560">
            <w:pPr>
              <w:autoSpaceDE w:val="0"/>
              <w:autoSpaceDN w:val="0"/>
              <w:adjustRightInd w:val="0"/>
              <w:spacing w:before="40" w:after="40"/>
              <w:rPr>
                <w:lang w:val="en-US"/>
              </w:rPr>
            </w:pPr>
            <w:r w:rsidRPr="00A4272B">
              <w:rPr>
                <w:lang w:val="en-US"/>
              </w:rPr>
              <w:t>HCB</w:t>
            </w:r>
          </w:p>
        </w:tc>
        <w:tc>
          <w:tcPr>
            <w:tcW w:w="1560" w:type="dxa"/>
          </w:tcPr>
          <w:p w14:paraId="03C00A02" w14:textId="77777777" w:rsidR="00F3536C" w:rsidRPr="00A4272B" w:rsidRDefault="00F3536C" w:rsidP="000C1560">
            <w:pPr>
              <w:spacing w:before="40" w:after="40"/>
              <w:jc w:val="center"/>
              <w:rPr>
                <w:lang w:val="en-US"/>
              </w:rPr>
            </w:pPr>
            <w:r w:rsidRPr="00A4272B">
              <w:rPr>
                <w:lang w:val="en-US"/>
              </w:rPr>
              <w:t>0.005</w:t>
            </w:r>
          </w:p>
        </w:tc>
        <w:tc>
          <w:tcPr>
            <w:tcW w:w="724" w:type="dxa"/>
          </w:tcPr>
          <w:p w14:paraId="794CA918" w14:textId="77777777" w:rsidR="00F3536C" w:rsidRPr="00A4272B" w:rsidRDefault="00F3536C" w:rsidP="000C1560">
            <w:pPr>
              <w:spacing w:before="40" w:after="40"/>
              <w:jc w:val="center"/>
              <w:rPr>
                <w:lang w:val="en-US"/>
              </w:rPr>
            </w:pPr>
            <w:r w:rsidRPr="00A4272B">
              <w:rPr>
                <w:lang w:val="en-US"/>
              </w:rPr>
              <w:t>5.5</w:t>
            </w:r>
          </w:p>
        </w:tc>
        <w:tc>
          <w:tcPr>
            <w:tcW w:w="756" w:type="dxa"/>
          </w:tcPr>
          <w:p w14:paraId="0CFFEAAB" w14:textId="77777777" w:rsidR="00F3536C" w:rsidRPr="00A4272B" w:rsidRDefault="00F3536C" w:rsidP="000C1560">
            <w:pPr>
              <w:spacing w:before="40" w:after="40"/>
              <w:jc w:val="center"/>
              <w:rPr>
                <w:lang w:val="en-US"/>
              </w:rPr>
            </w:pPr>
            <w:r w:rsidRPr="00A4272B">
              <w:rPr>
                <w:lang w:val="en-US"/>
              </w:rPr>
              <w:t>5.0</w:t>
            </w:r>
          </w:p>
        </w:tc>
        <w:tc>
          <w:tcPr>
            <w:tcW w:w="675" w:type="dxa"/>
          </w:tcPr>
          <w:p w14:paraId="50DA59CB" w14:textId="77777777" w:rsidR="00F3536C" w:rsidRPr="00A4272B" w:rsidRDefault="00F3536C" w:rsidP="000C1560">
            <w:pPr>
              <w:spacing w:before="40" w:after="40"/>
              <w:jc w:val="center"/>
              <w:rPr>
                <w:lang w:val="en-US"/>
              </w:rPr>
            </w:pPr>
            <w:r w:rsidRPr="00A4272B">
              <w:rPr>
                <w:lang w:val="en-US"/>
              </w:rPr>
              <w:t>1</w:t>
            </w:r>
          </w:p>
        </w:tc>
      </w:tr>
      <w:tr w:rsidR="00F3536C" w:rsidRPr="00A4272B" w14:paraId="20690646" w14:textId="77777777" w:rsidTr="00A41632">
        <w:tc>
          <w:tcPr>
            <w:tcW w:w="3579" w:type="dxa"/>
          </w:tcPr>
          <w:p w14:paraId="7C01E0E0" w14:textId="77777777" w:rsidR="00F3536C" w:rsidRPr="00A4272B" w:rsidRDefault="00F3536C" w:rsidP="000C1560">
            <w:pPr>
              <w:autoSpaceDE w:val="0"/>
              <w:autoSpaceDN w:val="0"/>
              <w:adjustRightInd w:val="0"/>
              <w:spacing w:before="40" w:after="40"/>
              <w:rPr>
                <w:lang w:val="en-US"/>
              </w:rPr>
            </w:pPr>
            <w:r w:rsidRPr="00A4272B">
              <w:rPr>
                <w:lang w:val="en-US"/>
              </w:rPr>
              <w:t>Pentachlorobenzene</w:t>
            </w:r>
          </w:p>
        </w:tc>
        <w:tc>
          <w:tcPr>
            <w:tcW w:w="1835" w:type="dxa"/>
          </w:tcPr>
          <w:p w14:paraId="6F1CFAF1" w14:textId="1E988E32" w:rsidR="00F3536C" w:rsidRPr="00A4272B" w:rsidRDefault="002A6D39" w:rsidP="000C1560">
            <w:pPr>
              <w:autoSpaceDE w:val="0"/>
              <w:autoSpaceDN w:val="0"/>
              <w:adjustRightInd w:val="0"/>
              <w:spacing w:before="40" w:after="40"/>
              <w:rPr>
                <w:lang w:val="en-US"/>
              </w:rPr>
            </w:pPr>
            <w:r w:rsidRPr="00A4272B">
              <w:rPr>
                <w:lang w:val="en-US"/>
              </w:rPr>
              <w:t>PeCB</w:t>
            </w:r>
          </w:p>
        </w:tc>
        <w:tc>
          <w:tcPr>
            <w:tcW w:w="1560" w:type="dxa"/>
          </w:tcPr>
          <w:p w14:paraId="45D3DC46" w14:textId="77777777" w:rsidR="00F3536C" w:rsidRPr="00A4272B" w:rsidRDefault="00F3536C" w:rsidP="000C1560">
            <w:pPr>
              <w:spacing w:before="40" w:after="40"/>
              <w:jc w:val="center"/>
              <w:rPr>
                <w:lang w:val="en-US"/>
              </w:rPr>
            </w:pPr>
            <w:r w:rsidRPr="00A4272B">
              <w:rPr>
                <w:lang w:val="en-US"/>
              </w:rPr>
              <w:t>0.65</w:t>
            </w:r>
          </w:p>
        </w:tc>
        <w:tc>
          <w:tcPr>
            <w:tcW w:w="724" w:type="dxa"/>
          </w:tcPr>
          <w:p w14:paraId="6BB6327C" w14:textId="77777777" w:rsidR="00F3536C" w:rsidRPr="00A4272B" w:rsidRDefault="00F3536C" w:rsidP="000C1560">
            <w:pPr>
              <w:spacing w:before="40" w:after="40"/>
              <w:jc w:val="center"/>
              <w:rPr>
                <w:lang w:val="en-US"/>
              </w:rPr>
            </w:pPr>
            <w:r w:rsidRPr="00A4272B">
              <w:rPr>
                <w:lang w:val="en-US"/>
              </w:rPr>
              <w:t>5.0</w:t>
            </w:r>
          </w:p>
        </w:tc>
        <w:tc>
          <w:tcPr>
            <w:tcW w:w="756" w:type="dxa"/>
          </w:tcPr>
          <w:p w14:paraId="47BB9CB5" w14:textId="77777777" w:rsidR="00F3536C" w:rsidRPr="00A4272B" w:rsidRDefault="00F3536C" w:rsidP="000C1560">
            <w:pPr>
              <w:spacing w:before="40" w:after="40"/>
              <w:jc w:val="center"/>
              <w:rPr>
                <w:lang w:val="en-US"/>
              </w:rPr>
            </w:pPr>
            <w:r w:rsidRPr="00A4272B">
              <w:rPr>
                <w:lang w:val="en-US"/>
              </w:rPr>
              <w:t>4.5</w:t>
            </w:r>
          </w:p>
        </w:tc>
        <w:tc>
          <w:tcPr>
            <w:tcW w:w="675" w:type="dxa"/>
          </w:tcPr>
          <w:p w14:paraId="0377A7B2" w14:textId="77777777" w:rsidR="00F3536C" w:rsidRPr="00A4272B" w:rsidRDefault="00F3536C" w:rsidP="000C1560">
            <w:pPr>
              <w:spacing w:before="40" w:after="40"/>
              <w:jc w:val="center"/>
              <w:rPr>
                <w:lang w:val="en-US"/>
              </w:rPr>
            </w:pPr>
            <w:r w:rsidRPr="00A4272B">
              <w:rPr>
                <w:lang w:val="en-US"/>
              </w:rPr>
              <w:t>1</w:t>
            </w:r>
          </w:p>
        </w:tc>
      </w:tr>
      <w:tr w:rsidR="00F3536C" w:rsidRPr="00A4272B" w14:paraId="340356D3" w14:textId="77777777" w:rsidTr="00A41632">
        <w:tc>
          <w:tcPr>
            <w:tcW w:w="3579" w:type="dxa"/>
          </w:tcPr>
          <w:p w14:paraId="78225E27" w14:textId="77777777" w:rsidR="00F3536C" w:rsidRPr="00A4272B" w:rsidRDefault="00F3536C" w:rsidP="000C1560">
            <w:pPr>
              <w:autoSpaceDE w:val="0"/>
              <w:autoSpaceDN w:val="0"/>
              <w:adjustRightInd w:val="0"/>
              <w:spacing w:before="40" w:after="40"/>
              <w:rPr>
                <w:lang w:val="en-US"/>
              </w:rPr>
            </w:pPr>
            <w:r w:rsidRPr="00A4272B">
              <w:rPr>
                <w:lang w:val="en-US"/>
              </w:rPr>
              <w:t>Heptachlor</w:t>
            </w:r>
          </w:p>
        </w:tc>
        <w:tc>
          <w:tcPr>
            <w:tcW w:w="1835" w:type="dxa"/>
          </w:tcPr>
          <w:p w14:paraId="5982FD3F" w14:textId="77777777" w:rsidR="00F3536C" w:rsidRPr="00A4272B" w:rsidRDefault="00F3536C" w:rsidP="000C1560">
            <w:pPr>
              <w:autoSpaceDE w:val="0"/>
              <w:autoSpaceDN w:val="0"/>
              <w:adjustRightInd w:val="0"/>
              <w:spacing w:before="40" w:after="40"/>
              <w:rPr>
                <w:lang w:val="en-US"/>
              </w:rPr>
            </w:pPr>
            <w:r w:rsidRPr="00A4272B">
              <w:rPr>
                <w:lang w:val="en-US"/>
              </w:rPr>
              <w:t>Heptachlor epoxide</w:t>
            </w:r>
          </w:p>
        </w:tc>
        <w:tc>
          <w:tcPr>
            <w:tcW w:w="1560" w:type="dxa"/>
          </w:tcPr>
          <w:p w14:paraId="113A3620" w14:textId="77777777" w:rsidR="00F3536C" w:rsidRPr="00A4272B" w:rsidRDefault="00F3536C" w:rsidP="000C1560">
            <w:pPr>
              <w:spacing w:before="40" w:after="40"/>
              <w:jc w:val="center"/>
              <w:rPr>
                <w:lang w:val="en-US"/>
              </w:rPr>
            </w:pPr>
            <w:r w:rsidRPr="00A4272B">
              <w:rPr>
                <w:lang w:val="en-US"/>
              </w:rPr>
              <w:t>0.35</w:t>
            </w:r>
          </w:p>
        </w:tc>
        <w:tc>
          <w:tcPr>
            <w:tcW w:w="724" w:type="dxa"/>
          </w:tcPr>
          <w:p w14:paraId="013B341C" w14:textId="77777777" w:rsidR="00F3536C" w:rsidRPr="00A4272B" w:rsidRDefault="00F3536C" w:rsidP="000C1560">
            <w:pPr>
              <w:spacing w:before="40" w:after="40"/>
              <w:jc w:val="center"/>
              <w:rPr>
                <w:lang w:val="en-US"/>
              </w:rPr>
            </w:pPr>
            <w:r w:rsidRPr="00A4272B">
              <w:rPr>
                <w:lang w:val="en-US"/>
              </w:rPr>
              <w:t>5.0</w:t>
            </w:r>
          </w:p>
        </w:tc>
        <w:tc>
          <w:tcPr>
            <w:tcW w:w="756" w:type="dxa"/>
          </w:tcPr>
          <w:p w14:paraId="574AB86A" w14:textId="77777777" w:rsidR="00F3536C" w:rsidRPr="00A4272B" w:rsidRDefault="00F3536C" w:rsidP="000C1560">
            <w:pPr>
              <w:spacing w:before="40" w:after="40"/>
              <w:jc w:val="center"/>
              <w:rPr>
                <w:lang w:val="en-US"/>
              </w:rPr>
            </w:pPr>
            <w:r w:rsidRPr="00A4272B">
              <w:rPr>
                <w:lang w:val="en-US"/>
              </w:rPr>
              <w:t>4.0</w:t>
            </w:r>
          </w:p>
        </w:tc>
        <w:tc>
          <w:tcPr>
            <w:tcW w:w="675" w:type="dxa"/>
          </w:tcPr>
          <w:p w14:paraId="689194B8" w14:textId="77777777" w:rsidR="00F3536C" w:rsidRPr="00A4272B" w:rsidRDefault="00F3536C" w:rsidP="000C1560">
            <w:pPr>
              <w:spacing w:before="40" w:after="40"/>
              <w:jc w:val="center"/>
              <w:rPr>
                <w:lang w:val="en-US"/>
              </w:rPr>
            </w:pPr>
            <w:r w:rsidRPr="00A4272B">
              <w:rPr>
                <w:lang w:val="en-US"/>
              </w:rPr>
              <w:t>1</w:t>
            </w:r>
          </w:p>
        </w:tc>
      </w:tr>
      <w:tr w:rsidR="00F3536C" w:rsidRPr="00A4272B" w14:paraId="4425AD5C" w14:textId="77777777" w:rsidTr="00A41632">
        <w:tc>
          <w:tcPr>
            <w:tcW w:w="3579" w:type="dxa"/>
          </w:tcPr>
          <w:p w14:paraId="7F26996A" w14:textId="77777777" w:rsidR="00F3536C" w:rsidRPr="00A4272B" w:rsidRDefault="00F3536C" w:rsidP="000C1560">
            <w:pPr>
              <w:autoSpaceDE w:val="0"/>
              <w:autoSpaceDN w:val="0"/>
              <w:adjustRightInd w:val="0"/>
              <w:spacing w:before="40" w:after="40"/>
              <w:rPr>
                <w:lang w:val="en-US"/>
              </w:rPr>
            </w:pPr>
            <w:r w:rsidRPr="00A4272B">
              <w:rPr>
                <w:lang w:val="en-US"/>
              </w:rPr>
              <w:t>Hexabromobiphenyl</w:t>
            </w:r>
          </w:p>
        </w:tc>
        <w:tc>
          <w:tcPr>
            <w:tcW w:w="1835" w:type="dxa"/>
          </w:tcPr>
          <w:p w14:paraId="06D883A1" w14:textId="77777777" w:rsidR="00F3536C" w:rsidRPr="00A4272B" w:rsidRDefault="00F3536C" w:rsidP="000C1560">
            <w:pPr>
              <w:autoSpaceDE w:val="0"/>
              <w:autoSpaceDN w:val="0"/>
              <w:adjustRightInd w:val="0"/>
              <w:spacing w:before="40" w:after="40"/>
              <w:rPr>
                <w:lang w:val="en-US"/>
              </w:rPr>
            </w:pPr>
            <w:r w:rsidRPr="00A4272B">
              <w:rPr>
                <w:lang w:val="en-US"/>
              </w:rPr>
              <w:t>HBB</w:t>
            </w:r>
          </w:p>
        </w:tc>
        <w:tc>
          <w:tcPr>
            <w:tcW w:w="1560" w:type="dxa"/>
          </w:tcPr>
          <w:p w14:paraId="3B3E5E60" w14:textId="77777777" w:rsidR="00F3536C" w:rsidRPr="00A4272B" w:rsidRDefault="00F3536C" w:rsidP="000C1560">
            <w:pPr>
              <w:spacing w:before="40" w:after="40"/>
              <w:jc w:val="center"/>
              <w:rPr>
                <w:lang w:val="en-US"/>
              </w:rPr>
            </w:pPr>
            <w:r w:rsidRPr="00A4272B">
              <w:rPr>
                <w:lang w:val="en-US"/>
              </w:rPr>
              <w:t>0.011</w:t>
            </w:r>
          </w:p>
        </w:tc>
        <w:tc>
          <w:tcPr>
            <w:tcW w:w="724" w:type="dxa"/>
          </w:tcPr>
          <w:p w14:paraId="62B76D21" w14:textId="77777777" w:rsidR="00F3536C" w:rsidRPr="00A4272B" w:rsidRDefault="00F3536C" w:rsidP="000C1560">
            <w:pPr>
              <w:spacing w:before="40" w:after="40"/>
              <w:jc w:val="center"/>
              <w:rPr>
                <w:lang w:val="en-US"/>
              </w:rPr>
            </w:pPr>
            <w:r w:rsidRPr="00A4272B">
              <w:rPr>
                <w:lang w:val="en-US"/>
              </w:rPr>
              <w:t>6.4</w:t>
            </w:r>
          </w:p>
        </w:tc>
        <w:tc>
          <w:tcPr>
            <w:tcW w:w="756" w:type="dxa"/>
          </w:tcPr>
          <w:p w14:paraId="31E2662D" w14:textId="77777777" w:rsidR="00F3536C" w:rsidRPr="00A4272B" w:rsidRDefault="00F3536C" w:rsidP="000C1560">
            <w:pPr>
              <w:spacing w:before="40" w:after="40"/>
              <w:jc w:val="center"/>
              <w:rPr>
                <w:lang w:val="en-US"/>
              </w:rPr>
            </w:pPr>
            <w:r w:rsidRPr="00A4272B">
              <w:rPr>
                <w:lang w:val="en-US"/>
              </w:rPr>
              <w:t>5.9</w:t>
            </w:r>
          </w:p>
        </w:tc>
        <w:tc>
          <w:tcPr>
            <w:tcW w:w="675" w:type="dxa"/>
          </w:tcPr>
          <w:p w14:paraId="5576A85C" w14:textId="77777777" w:rsidR="00F3536C" w:rsidRPr="00A4272B" w:rsidRDefault="00F3536C" w:rsidP="000C1560">
            <w:pPr>
              <w:spacing w:before="40" w:after="40"/>
              <w:jc w:val="center"/>
              <w:rPr>
                <w:lang w:val="en-US"/>
              </w:rPr>
            </w:pPr>
            <w:r w:rsidRPr="00A4272B">
              <w:rPr>
                <w:lang w:val="en-US"/>
              </w:rPr>
              <w:t>4</w:t>
            </w:r>
          </w:p>
        </w:tc>
      </w:tr>
      <w:tr w:rsidR="00F3536C" w:rsidRPr="00A4272B" w14:paraId="29BB87FD" w14:textId="77777777" w:rsidTr="00A41632">
        <w:tc>
          <w:tcPr>
            <w:tcW w:w="3579" w:type="dxa"/>
          </w:tcPr>
          <w:p w14:paraId="74787763" w14:textId="77777777" w:rsidR="00F3536C" w:rsidRPr="00A4272B" w:rsidRDefault="00F3536C" w:rsidP="000C1560">
            <w:pPr>
              <w:autoSpaceDE w:val="0"/>
              <w:autoSpaceDN w:val="0"/>
              <w:adjustRightInd w:val="0"/>
              <w:spacing w:before="40" w:after="40"/>
              <w:rPr>
                <w:lang w:val="en-US"/>
              </w:rPr>
            </w:pPr>
            <w:r w:rsidRPr="00A4272B">
              <w:rPr>
                <w:lang w:val="en-US"/>
              </w:rPr>
              <w:t>Hexachlorocyclohexanes</w:t>
            </w:r>
          </w:p>
        </w:tc>
        <w:tc>
          <w:tcPr>
            <w:tcW w:w="1835" w:type="dxa"/>
          </w:tcPr>
          <w:p w14:paraId="4C89106B" w14:textId="5E23E0E8" w:rsidR="00F3536C" w:rsidRPr="00A4272B" w:rsidRDefault="002A6D39" w:rsidP="000C1560">
            <w:pPr>
              <w:autoSpaceDE w:val="0"/>
              <w:autoSpaceDN w:val="0"/>
              <w:adjustRightInd w:val="0"/>
              <w:spacing w:before="40" w:after="40"/>
              <w:rPr>
                <w:lang w:val="en-US"/>
              </w:rPr>
            </w:pPr>
            <w:r w:rsidRPr="00A4272B">
              <w:rPr>
                <w:lang w:val="en-US"/>
              </w:rPr>
              <w:t>Alpha-</w:t>
            </w:r>
            <w:r w:rsidR="00F3536C" w:rsidRPr="00A4272B">
              <w:rPr>
                <w:lang w:val="en-US"/>
              </w:rPr>
              <w:t>HCH</w:t>
            </w:r>
          </w:p>
        </w:tc>
        <w:tc>
          <w:tcPr>
            <w:tcW w:w="1560" w:type="dxa"/>
          </w:tcPr>
          <w:p w14:paraId="4147B1A9" w14:textId="77777777" w:rsidR="00F3536C" w:rsidRPr="00A4272B" w:rsidRDefault="00F3536C" w:rsidP="000C1560">
            <w:pPr>
              <w:spacing w:before="40" w:after="40"/>
              <w:jc w:val="center"/>
              <w:rPr>
                <w:lang w:val="en-US"/>
              </w:rPr>
            </w:pPr>
            <w:r w:rsidRPr="00A4272B">
              <w:rPr>
                <w:lang w:val="en-US"/>
              </w:rPr>
              <w:t>1.0</w:t>
            </w:r>
          </w:p>
        </w:tc>
        <w:tc>
          <w:tcPr>
            <w:tcW w:w="724" w:type="dxa"/>
          </w:tcPr>
          <w:p w14:paraId="76778399" w14:textId="77777777" w:rsidR="00F3536C" w:rsidRPr="00A4272B" w:rsidRDefault="00F3536C" w:rsidP="000C1560">
            <w:pPr>
              <w:spacing w:before="40" w:after="40"/>
              <w:jc w:val="center"/>
              <w:rPr>
                <w:lang w:val="en-US"/>
              </w:rPr>
            </w:pPr>
            <w:r w:rsidRPr="00A4272B">
              <w:rPr>
                <w:lang w:val="en-US"/>
              </w:rPr>
              <w:t>3.8</w:t>
            </w:r>
          </w:p>
        </w:tc>
        <w:tc>
          <w:tcPr>
            <w:tcW w:w="756" w:type="dxa"/>
          </w:tcPr>
          <w:p w14:paraId="6200714D" w14:textId="77777777" w:rsidR="00F3536C" w:rsidRPr="00A4272B" w:rsidRDefault="00F3536C" w:rsidP="000C1560">
            <w:pPr>
              <w:spacing w:before="40" w:after="40"/>
              <w:jc w:val="center"/>
              <w:rPr>
                <w:lang w:val="en-US"/>
              </w:rPr>
            </w:pPr>
            <w:r w:rsidRPr="00A4272B">
              <w:rPr>
                <w:lang w:val="en-US"/>
              </w:rPr>
              <w:t>3.8</w:t>
            </w:r>
          </w:p>
        </w:tc>
        <w:tc>
          <w:tcPr>
            <w:tcW w:w="675" w:type="dxa"/>
          </w:tcPr>
          <w:p w14:paraId="46078664" w14:textId="77777777" w:rsidR="00F3536C" w:rsidRPr="00A4272B" w:rsidRDefault="00F3536C" w:rsidP="000C1560">
            <w:pPr>
              <w:spacing w:before="40" w:after="40"/>
              <w:jc w:val="center"/>
              <w:rPr>
                <w:lang w:val="en-US"/>
              </w:rPr>
            </w:pPr>
            <w:r w:rsidRPr="00A4272B">
              <w:rPr>
                <w:lang w:val="en-US"/>
              </w:rPr>
              <w:t>1</w:t>
            </w:r>
          </w:p>
        </w:tc>
      </w:tr>
      <w:tr w:rsidR="00F3536C" w:rsidRPr="00A4272B" w14:paraId="14070D38" w14:textId="77777777" w:rsidTr="00A41632">
        <w:tc>
          <w:tcPr>
            <w:tcW w:w="3579" w:type="dxa"/>
          </w:tcPr>
          <w:p w14:paraId="1A5CD0B3" w14:textId="77777777" w:rsidR="00F3536C" w:rsidRPr="00A4272B" w:rsidRDefault="00F3536C" w:rsidP="000C1560">
            <w:pPr>
              <w:autoSpaceDE w:val="0"/>
              <w:autoSpaceDN w:val="0"/>
              <w:adjustRightInd w:val="0"/>
              <w:spacing w:before="40" w:after="40"/>
              <w:rPr>
                <w:lang w:val="en-US"/>
              </w:rPr>
            </w:pPr>
          </w:p>
        </w:tc>
        <w:tc>
          <w:tcPr>
            <w:tcW w:w="1835" w:type="dxa"/>
          </w:tcPr>
          <w:p w14:paraId="75BF2A0E" w14:textId="50D3662C" w:rsidR="00F3536C" w:rsidRPr="00A4272B" w:rsidRDefault="002A6D39" w:rsidP="000C1560">
            <w:pPr>
              <w:autoSpaceDE w:val="0"/>
              <w:autoSpaceDN w:val="0"/>
              <w:adjustRightInd w:val="0"/>
              <w:spacing w:before="40" w:after="40"/>
              <w:rPr>
                <w:lang w:val="en-US"/>
              </w:rPr>
            </w:pPr>
            <w:r w:rsidRPr="00A4272B">
              <w:rPr>
                <w:lang w:val="en-US"/>
              </w:rPr>
              <w:t>Beta</w:t>
            </w:r>
            <w:r w:rsidR="00F3536C" w:rsidRPr="00A4272B">
              <w:rPr>
                <w:lang w:val="en-US"/>
              </w:rPr>
              <w:t>-HCH</w:t>
            </w:r>
          </w:p>
        </w:tc>
        <w:tc>
          <w:tcPr>
            <w:tcW w:w="1560" w:type="dxa"/>
          </w:tcPr>
          <w:p w14:paraId="41BD62C8" w14:textId="77777777" w:rsidR="00F3536C" w:rsidRPr="00A4272B" w:rsidRDefault="00F3536C" w:rsidP="000C1560">
            <w:pPr>
              <w:spacing w:before="40" w:after="40"/>
              <w:jc w:val="center"/>
              <w:rPr>
                <w:lang w:val="en-US"/>
              </w:rPr>
            </w:pPr>
            <w:r w:rsidRPr="00A4272B">
              <w:rPr>
                <w:lang w:val="en-US"/>
              </w:rPr>
              <w:t>7.3</w:t>
            </w:r>
          </w:p>
        </w:tc>
        <w:tc>
          <w:tcPr>
            <w:tcW w:w="724" w:type="dxa"/>
          </w:tcPr>
          <w:p w14:paraId="19836AB3" w14:textId="77777777" w:rsidR="00F3536C" w:rsidRPr="00A4272B" w:rsidRDefault="00F3536C" w:rsidP="000C1560">
            <w:pPr>
              <w:spacing w:before="40" w:after="40"/>
              <w:jc w:val="center"/>
              <w:rPr>
                <w:lang w:val="en-US"/>
              </w:rPr>
            </w:pPr>
            <w:r w:rsidRPr="00A4272B">
              <w:rPr>
                <w:lang w:val="en-US"/>
              </w:rPr>
              <w:t>3.7</w:t>
            </w:r>
          </w:p>
        </w:tc>
        <w:tc>
          <w:tcPr>
            <w:tcW w:w="756" w:type="dxa"/>
          </w:tcPr>
          <w:p w14:paraId="61A118E9" w14:textId="77777777" w:rsidR="00F3536C" w:rsidRPr="00A4272B" w:rsidRDefault="00F3536C" w:rsidP="000C1560">
            <w:pPr>
              <w:spacing w:before="40" w:after="40"/>
              <w:jc w:val="center"/>
              <w:rPr>
                <w:lang w:val="en-US"/>
              </w:rPr>
            </w:pPr>
            <w:r w:rsidRPr="00A4272B">
              <w:rPr>
                <w:lang w:val="en-US"/>
              </w:rPr>
              <w:t>3.0</w:t>
            </w:r>
          </w:p>
        </w:tc>
        <w:tc>
          <w:tcPr>
            <w:tcW w:w="675" w:type="dxa"/>
          </w:tcPr>
          <w:p w14:paraId="7C459236" w14:textId="77777777" w:rsidR="00F3536C" w:rsidRPr="00A4272B" w:rsidRDefault="00F3536C" w:rsidP="000C1560">
            <w:pPr>
              <w:spacing w:before="40" w:after="40"/>
              <w:jc w:val="center"/>
              <w:rPr>
                <w:lang w:val="en-US"/>
              </w:rPr>
            </w:pPr>
            <w:r w:rsidRPr="00A4272B">
              <w:rPr>
                <w:lang w:val="en-US"/>
              </w:rPr>
              <w:t>1</w:t>
            </w:r>
          </w:p>
        </w:tc>
      </w:tr>
      <w:tr w:rsidR="00F3536C" w:rsidRPr="00A4272B" w14:paraId="04ED824D" w14:textId="77777777" w:rsidTr="00A41632">
        <w:tc>
          <w:tcPr>
            <w:tcW w:w="3579" w:type="dxa"/>
          </w:tcPr>
          <w:p w14:paraId="6D92CA86" w14:textId="77777777" w:rsidR="00F3536C" w:rsidRPr="00A4272B" w:rsidRDefault="00F3536C" w:rsidP="000C1560">
            <w:pPr>
              <w:autoSpaceDE w:val="0"/>
              <w:autoSpaceDN w:val="0"/>
              <w:adjustRightInd w:val="0"/>
              <w:spacing w:before="40" w:after="40"/>
              <w:rPr>
                <w:lang w:val="en-US"/>
              </w:rPr>
            </w:pPr>
            <w:r w:rsidRPr="00A4272B">
              <w:rPr>
                <w:lang w:val="en-US"/>
              </w:rPr>
              <w:t>Mirex</w:t>
            </w:r>
          </w:p>
        </w:tc>
        <w:tc>
          <w:tcPr>
            <w:tcW w:w="1835" w:type="dxa"/>
          </w:tcPr>
          <w:p w14:paraId="337064D3" w14:textId="77777777" w:rsidR="00F3536C" w:rsidRPr="00A4272B" w:rsidRDefault="00F3536C" w:rsidP="000C1560">
            <w:pPr>
              <w:autoSpaceDE w:val="0"/>
              <w:autoSpaceDN w:val="0"/>
              <w:adjustRightInd w:val="0"/>
              <w:spacing w:before="40" w:after="40"/>
              <w:rPr>
                <w:lang w:val="en-US"/>
              </w:rPr>
            </w:pPr>
            <w:r w:rsidRPr="00A4272B">
              <w:rPr>
                <w:lang w:val="en-US"/>
              </w:rPr>
              <w:t>Mirex</w:t>
            </w:r>
          </w:p>
        </w:tc>
        <w:tc>
          <w:tcPr>
            <w:tcW w:w="1560" w:type="dxa"/>
          </w:tcPr>
          <w:p w14:paraId="79D8CD16" w14:textId="77777777" w:rsidR="00F3536C" w:rsidRPr="00A4272B" w:rsidRDefault="00F3536C" w:rsidP="000C1560">
            <w:pPr>
              <w:spacing w:before="40" w:after="40"/>
              <w:jc w:val="center"/>
              <w:rPr>
                <w:lang w:val="en-US"/>
              </w:rPr>
            </w:pPr>
            <w:r w:rsidRPr="00A4272B">
              <w:rPr>
                <w:lang w:val="en-US"/>
              </w:rPr>
              <w:t>6.5x10</w:t>
            </w:r>
            <w:r w:rsidRPr="00A4272B">
              <w:rPr>
                <w:vertAlign w:val="superscript"/>
                <w:lang w:val="en-US"/>
              </w:rPr>
              <w:t>-5</w:t>
            </w:r>
          </w:p>
        </w:tc>
        <w:tc>
          <w:tcPr>
            <w:tcW w:w="724" w:type="dxa"/>
          </w:tcPr>
          <w:p w14:paraId="0D40CE6A" w14:textId="77777777" w:rsidR="00F3536C" w:rsidRPr="00A4272B" w:rsidRDefault="00F3536C" w:rsidP="000C1560">
            <w:pPr>
              <w:spacing w:before="40" w:after="40"/>
              <w:jc w:val="center"/>
              <w:rPr>
                <w:lang w:val="en-US"/>
              </w:rPr>
            </w:pPr>
            <w:r w:rsidRPr="00A4272B">
              <w:rPr>
                <w:lang w:val="en-US"/>
              </w:rPr>
              <w:t>6.9</w:t>
            </w:r>
          </w:p>
        </w:tc>
        <w:tc>
          <w:tcPr>
            <w:tcW w:w="756" w:type="dxa"/>
          </w:tcPr>
          <w:p w14:paraId="0A3B7115" w14:textId="77777777" w:rsidR="00F3536C" w:rsidRPr="00A4272B" w:rsidRDefault="00F3536C" w:rsidP="000C1560">
            <w:pPr>
              <w:spacing w:before="40" w:after="40"/>
              <w:jc w:val="center"/>
              <w:rPr>
                <w:lang w:val="en-US"/>
              </w:rPr>
            </w:pPr>
            <w:r w:rsidRPr="00A4272B">
              <w:rPr>
                <w:lang w:val="en-US"/>
              </w:rPr>
              <w:t>6.0</w:t>
            </w:r>
          </w:p>
        </w:tc>
        <w:tc>
          <w:tcPr>
            <w:tcW w:w="675" w:type="dxa"/>
          </w:tcPr>
          <w:p w14:paraId="256DEB6D" w14:textId="77777777" w:rsidR="00F3536C" w:rsidRPr="00A4272B" w:rsidRDefault="00F3536C" w:rsidP="000C1560">
            <w:pPr>
              <w:spacing w:before="40" w:after="40"/>
              <w:jc w:val="center"/>
              <w:rPr>
                <w:lang w:val="en-US"/>
              </w:rPr>
            </w:pPr>
            <w:r w:rsidRPr="00A4272B">
              <w:rPr>
                <w:lang w:val="en-US"/>
              </w:rPr>
              <w:t>1</w:t>
            </w:r>
          </w:p>
        </w:tc>
      </w:tr>
      <w:tr w:rsidR="00F3536C" w:rsidRPr="00A4272B" w14:paraId="3875FF0D" w14:textId="77777777" w:rsidTr="00A41632">
        <w:tc>
          <w:tcPr>
            <w:tcW w:w="3579" w:type="dxa"/>
          </w:tcPr>
          <w:p w14:paraId="26AC8550" w14:textId="77777777" w:rsidR="00F3536C" w:rsidRPr="00A4272B" w:rsidRDefault="00F3536C" w:rsidP="000C1560">
            <w:pPr>
              <w:autoSpaceDE w:val="0"/>
              <w:autoSpaceDN w:val="0"/>
              <w:adjustRightInd w:val="0"/>
              <w:spacing w:before="40" w:after="40"/>
              <w:rPr>
                <w:lang w:val="en-US"/>
              </w:rPr>
            </w:pPr>
            <w:r w:rsidRPr="00A4272B">
              <w:rPr>
                <w:lang w:val="en-US"/>
              </w:rPr>
              <w:t>Perfluorooctane sulfonate (PFOS)</w:t>
            </w:r>
          </w:p>
        </w:tc>
        <w:tc>
          <w:tcPr>
            <w:tcW w:w="1835" w:type="dxa"/>
          </w:tcPr>
          <w:p w14:paraId="43831086" w14:textId="77777777" w:rsidR="00F3536C" w:rsidRPr="00A4272B" w:rsidRDefault="00F3536C" w:rsidP="000C1560">
            <w:pPr>
              <w:autoSpaceDE w:val="0"/>
              <w:autoSpaceDN w:val="0"/>
              <w:adjustRightInd w:val="0"/>
              <w:spacing w:before="40" w:after="40"/>
              <w:rPr>
                <w:lang w:val="en-US"/>
              </w:rPr>
            </w:pPr>
            <w:r w:rsidRPr="00A4272B">
              <w:rPr>
                <w:lang w:val="en-US"/>
              </w:rPr>
              <w:t>PFOS</w:t>
            </w:r>
          </w:p>
        </w:tc>
        <w:tc>
          <w:tcPr>
            <w:tcW w:w="1560" w:type="dxa"/>
          </w:tcPr>
          <w:p w14:paraId="161DC2F1" w14:textId="77777777" w:rsidR="00F3536C" w:rsidRPr="00A4272B" w:rsidRDefault="00F3536C" w:rsidP="000C1560">
            <w:pPr>
              <w:spacing w:before="40" w:after="40"/>
              <w:jc w:val="center"/>
              <w:rPr>
                <w:lang w:val="en-US"/>
              </w:rPr>
            </w:pPr>
            <w:r w:rsidRPr="00A4272B">
              <w:rPr>
                <w:lang w:val="en-US"/>
              </w:rPr>
              <w:t>680</w:t>
            </w:r>
          </w:p>
        </w:tc>
        <w:tc>
          <w:tcPr>
            <w:tcW w:w="724" w:type="dxa"/>
          </w:tcPr>
          <w:p w14:paraId="0ECC5E5D" w14:textId="77777777" w:rsidR="00F3536C" w:rsidRPr="00A4272B" w:rsidRDefault="00F3536C" w:rsidP="000C1560">
            <w:pPr>
              <w:spacing w:before="40" w:after="40"/>
              <w:jc w:val="center"/>
              <w:rPr>
                <w:lang w:val="en-US"/>
              </w:rPr>
            </w:pPr>
            <w:r w:rsidRPr="00A4272B">
              <w:rPr>
                <w:lang w:val="en-US"/>
              </w:rPr>
              <w:t>-</w:t>
            </w:r>
          </w:p>
        </w:tc>
        <w:tc>
          <w:tcPr>
            <w:tcW w:w="756" w:type="dxa"/>
          </w:tcPr>
          <w:p w14:paraId="514CBBD9" w14:textId="77777777" w:rsidR="00F3536C" w:rsidRPr="00A4272B" w:rsidRDefault="00F3536C" w:rsidP="000C1560">
            <w:pPr>
              <w:spacing w:before="40" w:after="40"/>
              <w:jc w:val="center"/>
              <w:rPr>
                <w:lang w:val="en-US"/>
              </w:rPr>
            </w:pPr>
            <w:r w:rsidRPr="00A4272B">
              <w:rPr>
                <w:lang w:val="en-US"/>
              </w:rPr>
              <w:t>2.6</w:t>
            </w:r>
          </w:p>
        </w:tc>
        <w:tc>
          <w:tcPr>
            <w:tcW w:w="675" w:type="dxa"/>
          </w:tcPr>
          <w:p w14:paraId="07CF582A" w14:textId="77777777" w:rsidR="00F3536C" w:rsidRPr="00A4272B" w:rsidRDefault="00F3536C" w:rsidP="000C1560">
            <w:pPr>
              <w:spacing w:before="40" w:after="40"/>
              <w:jc w:val="center"/>
              <w:rPr>
                <w:lang w:val="en-US"/>
              </w:rPr>
            </w:pPr>
            <w:r w:rsidRPr="00A4272B">
              <w:rPr>
                <w:lang w:val="en-US"/>
              </w:rPr>
              <w:t>5,6</w:t>
            </w:r>
          </w:p>
        </w:tc>
      </w:tr>
      <w:tr w:rsidR="00F3536C" w:rsidRPr="00A4272B" w14:paraId="688D694A" w14:textId="77777777" w:rsidTr="00A41632">
        <w:tc>
          <w:tcPr>
            <w:tcW w:w="3579" w:type="dxa"/>
          </w:tcPr>
          <w:p w14:paraId="21C66D9E" w14:textId="77777777" w:rsidR="00F3536C" w:rsidRPr="00A4272B" w:rsidRDefault="00F3536C" w:rsidP="000C1560">
            <w:pPr>
              <w:autoSpaceDE w:val="0"/>
              <w:autoSpaceDN w:val="0"/>
              <w:adjustRightInd w:val="0"/>
              <w:spacing w:before="40" w:after="40"/>
              <w:rPr>
                <w:lang w:val="en-US"/>
              </w:rPr>
            </w:pPr>
            <w:r w:rsidRPr="00A4272B">
              <w:rPr>
                <w:lang w:val="en-US"/>
              </w:rPr>
              <w:t>Polychlorinated biphenyls (PCB)</w:t>
            </w:r>
          </w:p>
        </w:tc>
        <w:tc>
          <w:tcPr>
            <w:tcW w:w="1835" w:type="dxa"/>
          </w:tcPr>
          <w:p w14:paraId="5467FC59" w14:textId="77777777" w:rsidR="00F3536C" w:rsidRPr="00A4272B" w:rsidRDefault="00F3536C" w:rsidP="000C1560">
            <w:pPr>
              <w:autoSpaceDE w:val="0"/>
              <w:autoSpaceDN w:val="0"/>
              <w:adjustRightInd w:val="0"/>
              <w:spacing w:before="40" w:after="40"/>
              <w:rPr>
                <w:lang w:val="en-US"/>
              </w:rPr>
            </w:pPr>
            <w:r w:rsidRPr="00A4272B">
              <w:rPr>
                <w:lang w:val="en-US"/>
              </w:rPr>
              <w:t>PCB 28</w:t>
            </w:r>
          </w:p>
        </w:tc>
        <w:tc>
          <w:tcPr>
            <w:tcW w:w="1560" w:type="dxa"/>
          </w:tcPr>
          <w:p w14:paraId="3448B3C8" w14:textId="77777777" w:rsidR="00F3536C" w:rsidRPr="00A4272B" w:rsidRDefault="00F3536C" w:rsidP="000C1560">
            <w:pPr>
              <w:spacing w:before="40" w:after="40"/>
              <w:jc w:val="center"/>
              <w:rPr>
                <w:lang w:val="en-US"/>
              </w:rPr>
            </w:pPr>
            <w:r w:rsidRPr="00A4272B">
              <w:rPr>
                <w:lang w:val="en-US"/>
              </w:rPr>
              <w:t>0.16</w:t>
            </w:r>
          </w:p>
        </w:tc>
        <w:tc>
          <w:tcPr>
            <w:tcW w:w="724" w:type="dxa"/>
          </w:tcPr>
          <w:p w14:paraId="6425C424" w14:textId="77777777" w:rsidR="00F3536C" w:rsidRPr="00A4272B" w:rsidRDefault="00F3536C" w:rsidP="000C1560">
            <w:pPr>
              <w:spacing w:before="40" w:after="40"/>
              <w:jc w:val="center"/>
              <w:rPr>
                <w:lang w:val="en-US"/>
              </w:rPr>
            </w:pPr>
            <w:r w:rsidRPr="00A4272B">
              <w:rPr>
                <w:lang w:val="en-US"/>
              </w:rPr>
              <w:t>5.8</w:t>
            </w:r>
          </w:p>
        </w:tc>
        <w:tc>
          <w:tcPr>
            <w:tcW w:w="756" w:type="dxa"/>
          </w:tcPr>
          <w:p w14:paraId="17E273AB" w14:textId="77777777" w:rsidR="00F3536C" w:rsidRPr="00A4272B" w:rsidRDefault="00F3536C" w:rsidP="000C1560">
            <w:pPr>
              <w:spacing w:before="40" w:after="40"/>
              <w:jc w:val="center"/>
              <w:rPr>
                <w:lang w:val="en-US"/>
              </w:rPr>
            </w:pPr>
            <w:r w:rsidRPr="00A4272B">
              <w:rPr>
                <w:lang w:val="en-US"/>
              </w:rPr>
              <w:t>5.3</w:t>
            </w:r>
          </w:p>
        </w:tc>
        <w:tc>
          <w:tcPr>
            <w:tcW w:w="675" w:type="dxa"/>
          </w:tcPr>
          <w:p w14:paraId="657C31BF" w14:textId="77777777" w:rsidR="00F3536C" w:rsidRPr="00A4272B" w:rsidRDefault="00F3536C" w:rsidP="000C1560">
            <w:pPr>
              <w:spacing w:before="40" w:after="40"/>
              <w:jc w:val="center"/>
              <w:rPr>
                <w:lang w:val="en-US"/>
              </w:rPr>
            </w:pPr>
            <w:r w:rsidRPr="00A4272B">
              <w:rPr>
                <w:lang w:val="en-US"/>
              </w:rPr>
              <w:t>1</w:t>
            </w:r>
          </w:p>
        </w:tc>
      </w:tr>
      <w:tr w:rsidR="00F3536C" w:rsidRPr="00A4272B" w14:paraId="25DAF62E" w14:textId="77777777" w:rsidTr="00A41632">
        <w:tc>
          <w:tcPr>
            <w:tcW w:w="3579" w:type="dxa"/>
          </w:tcPr>
          <w:p w14:paraId="140D3438" w14:textId="77777777" w:rsidR="00F3536C" w:rsidRPr="00A4272B" w:rsidRDefault="00F3536C" w:rsidP="000C1560">
            <w:pPr>
              <w:autoSpaceDE w:val="0"/>
              <w:autoSpaceDN w:val="0"/>
              <w:adjustRightInd w:val="0"/>
              <w:spacing w:before="40" w:after="40"/>
              <w:rPr>
                <w:lang w:val="en-US"/>
              </w:rPr>
            </w:pPr>
          </w:p>
        </w:tc>
        <w:tc>
          <w:tcPr>
            <w:tcW w:w="1835" w:type="dxa"/>
          </w:tcPr>
          <w:p w14:paraId="5999173E" w14:textId="77777777" w:rsidR="00F3536C" w:rsidRPr="00A4272B" w:rsidRDefault="00F3536C" w:rsidP="000C1560">
            <w:pPr>
              <w:autoSpaceDE w:val="0"/>
              <w:autoSpaceDN w:val="0"/>
              <w:adjustRightInd w:val="0"/>
              <w:spacing w:before="40" w:after="40"/>
              <w:rPr>
                <w:lang w:val="en-US"/>
              </w:rPr>
            </w:pPr>
            <w:r w:rsidRPr="00A4272B">
              <w:rPr>
                <w:lang w:val="en-US"/>
              </w:rPr>
              <w:t>PCB 52</w:t>
            </w:r>
          </w:p>
        </w:tc>
        <w:tc>
          <w:tcPr>
            <w:tcW w:w="1560" w:type="dxa"/>
          </w:tcPr>
          <w:p w14:paraId="611D89A0" w14:textId="77777777" w:rsidR="00F3536C" w:rsidRPr="00A4272B" w:rsidRDefault="00F3536C" w:rsidP="000C1560">
            <w:pPr>
              <w:spacing w:before="40" w:after="40"/>
              <w:jc w:val="center"/>
              <w:rPr>
                <w:lang w:val="en-US"/>
              </w:rPr>
            </w:pPr>
            <w:r w:rsidRPr="00A4272B">
              <w:rPr>
                <w:lang w:val="en-US"/>
              </w:rPr>
              <w:t>0.03</w:t>
            </w:r>
          </w:p>
        </w:tc>
        <w:tc>
          <w:tcPr>
            <w:tcW w:w="724" w:type="dxa"/>
          </w:tcPr>
          <w:p w14:paraId="4535B2BD" w14:textId="77777777" w:rsidR="00F3536C" w:rsidRPr="00A4272B" w:rsidRDefault="00F3536C" w:rsidP="000C1560">
            <w:pPr>
              <w:spacing w:before="40" w:after="40"/>
              <w:jc w:val="center"/>
              <w:rPr>
                <w:lang w:val="en-US"/>
              </w:rPr>
            </w:pPr>
            <w:r w:rsidRPr="00A4272B">
              <w:rPr>
                <w:lang w:val="en-US"/>
              </w:rPr>
              <w:t>6.1</w:t>
            </w:r>
          </w:p>
        </w:tc>
        <w:tc>
          <w:tcPr>
            <w:tcW w:w="756" w:type="dxa"/>
          </w:tcPr>
          <w:p w14:paraId="3816E0EA" w14:textId="77777777" w:rsidR="00F3536C" w:rsidRPr="00A4272B" w:rsidRDefault="00F3536C" w:rsidP="000C1560">
            <w:pPr>
              <w:spacing w:before="40" w:after="40"/>
              <w:jc w:val="center"/>
              <w:rPr>
                <w:lang w:val="en-US"/>
              </w:rPr>
            </w:pPr>
            <w:r w:rsidRPr="00A4272B">
              <w:rPr>
                <w:lang w:val="en-US"/>
              </w:rPr>
              <w:t>5.6</w:t>
            </w:r>
          </w:p>
        </w:tc>
        <w:tc>
          <w:tcPr>
            <w:tcW w:w="675" w:type="dxa"/>
          </w:tcPr>
          <w:p w14:paraId="60BF4C32" w14:textId="77777777" w:rsidR="00F3536C" w:rsidRPr="00A4272B" w:rsidRDefault="00F3536C" w:rsidP="000C1560">
            <w:pPr>
              <w:spacing w:before="40" w:after="40"/>
              <w:jc w:val="center"/>
              <w:rPr>
                <w:lang w:val="en-US"/>
              </w:rPr>
            </w:pPr>
            <w:r w:rsidRPr="00A4272B">
              <w:rPr>
                <w:lang w:val="en-US"/>
              </w:rPr>
              <w:t>1</w:t>
            </w:r>
          </w:p>
        </w:tc>
      </w:tr>
      <w:tr w:rsidR="00F3536C" w:rsidRPr="00A4272B" w14:paraId="307BF722" w14:textId="77777777" w:rsidTr="00A41632">
        <w:tc>
          <w:tcPr>
            <w:tcW w:w="3579" w:type="dxa"/>
          </w:tcPr>
          <w:p w14:paraId="5C22F849" w14:textId="77777777" w:rsidR="00F3536C" w:rsidRPr="00A4272B" w:rsidRDefault="00F3536C" w:rsidP="000C1560">
            <w:pPr>
              <w:autoSpaceDE w:val="0"/>
              <w:autoSpaceDN w:val="0"/>
              <w:adjustRightInd w:val="0"/>
              <w:spacing w:before="40" w:after="40"/>
              <w:rPr>
                <w:lang w:val="en-US"/>
              </w:rPr>
            </w:pPr>
          </w:p>
        </w:tc>
        <w:tc>
          <w:tcPr>
            <w:tcW w:w="1835" w:type="dxa"/>
          </w:tcPr>
          <w:p w14:paraId="449BDD7D" w14:textId="77777777" w:rsidR="00F3536C" w:rsidRPr="00A4272B" w:rsidRDefault="00F3536C" w:rsidP="000C1560">
            <w:pPr>
              <w:autoSpaceDE w:val="0"/>
              <w:autoSpaceDN w:val="0"/>
              <w:adjustRightInd w:val="0"/>
              <w:spacing w:before="40" w:after="40"/>
              <w:rPr>
                <w:lang w:val="en-US"/>
              </w:rPr>
            </w:pPr>
            <w:r w:rsidRPr="00A4272B">
              <w:rPr>
                <w:lang w:val="en-US"/>
              </w:rPr>
              <w:t>PCB 101</w:t>
            </w:r>
          </w:p>
        </w:tc>
        <w:tc>
          <w:tcPr>
            <w:tcW w:w="1560" w:type="dxa"/>
          </w:tcPr>
          <w:p w14:paraId="2A8CDD80" w14:textId="77777777" w:rsidR="00F3536C" w:rsidRPr="00A4272B" w:rsidRDefault="00F3536C" w:rsidP="000C1560">
            <w:pPr>
              <w:spacing w:before="40" w:after="40"/>
              <w:jc w:val="center"/>
              <w:rPr>
                <w:lang w:val="en-US"/>
              </w:rPr>
            </w:pPr>
            <w:r w:rsidRPr="00A4272B">
              <w:rPr>
                <w:lang w:val="en-US"/>
              </w:rPr>
              <w:t>0.01</w:t>
            </w:r>
          </w:p>
        </w:tc>
        <w:tc>
          <w:tcPr>
            <w:tcW w:w="724" w:type="dxa"/>
          </w:tcPr>
          <w:p w14:paraId="791A5036" w14:textId="77777777" w:rsidR="00F3536C" w:rsidRPr="00A4272B" w:rsidRDefault="00F3536C" w:rsidP="000C1560">
            <w:pPr>
              <w:spacing w:before="40" w:after="40"/>
              <w:jc w:val="center"/>
              <w:rPr>
                <w:lang w:val="en-US"/>
              </w:rPr>
            </w:pPr>
            <w:r w:rsidRPr="00A4272B">
              <w:rPr>
                <w:lang w:val="en-US"/>
              </w:rPr>
              <w:t>6.4</w:t>
            </w:r>
          </w:p>
        </w:tc>
        <w:tc>
          <w:tcPr>
            <w:tcW w:w="756" w:type="dxa"/>
          </w:tcPr>
          <w:p w14:paraId="01842A39" w14:textId="77777777" w:rsidR="00F3536C" w:rsidRPr="00A4272B" w:rsidRDefault="00F3536C" w:rsidP="000C1560">
            <w:pPr>
              <w:spacing w:before="40" w:after="40"/>
              <w:jc w:val="center"/>
              <w:rPr>
                <w:lang w:val="en-US"/>
              </w:rPr>
            </w:pPr>
            <w:r w:rsidRPr="00A4272B">
              <w:rPr>
                <w:lang w:val="en-US"/>
              </w:rPr>
              <w:t>5.9</w:t>
            </w:r>
          </w:p>
        </w:tc>
        <w:tc>
          <w:tcPr>
            <w:tcW w:w="675" w:type="dxa"/>
          </w:tcPr>
          <w:p w14:paraId="465470E6" w14:textId="77777777" w:rsidR="00F3536C" w:rsidRPr="00A4272B" w:rsidRDefault="00F3536C" w:rsidP="000C1560">
            <w:pPr>
              <w:spacing w:before="40" w:after="40"/>
              <w:jc w:val="center"/>
              <w:rPr>
                <w:lang w:val="en-US"/>
              </w:rPr>
            </w:pPr>
            <w:r w:rsidRPr="00A4272B">
              <w:rPr>
                <w:lang w:val="en-US"/>
              </w:rPr>
              <w:t>1</w:t>
            </w:r>
          </w:p>
        </w:tc>
      </w:tr>
      <w:tr w:rsidR="00F3536C" w:rsidRPr="00A4272B" w14:paraId="5C0DC2DB" w14:textId="77777777" w:rsidTr="00A41632">
        <w:tc>
          <w:tcPr>
            <w:tcW w:w="3579" w:type="dxa"/>
          </w:tcPr>
          <w:p w14:paraId="1EC48E8C" w14:textId="77777777" w:rsidR="00F3536C" w:rsidRPr="00A4272B" w:rsidRDefault="00F3536C" w:rsidP="000C1560">
            <w:pPr>
              <w:autoSpaceDE w:val="0"/>
              <w:autoSpaceDN w:val="0"/>
              <w:adjustRightInd w:val="0"/>
              <w:spacing w:before="40" w:after="40"/>
              <w:rPr>
                <w:lang w:val="en-US"/>
              </w:rPr>
            </w:pPr>
          </w:p>
        </w:tc>
        <w:tc>
          <w:tcPr>
            <w:tcW w:w="1835" w:type="dxa"/>
          </w:tcPr>
          <w:p w14:paraId="759D575D" w14:textId="77777777" w:rsidR="00F3536C" w:rsidRPr="00A4272B" w:rsidRDefault="00F3536C" w:rsidP="000C1560">
            <w:pPr>
              <w:autoSpaceDE w:val="0"/>
              <w:autoSpaceDN w:val="0"/>
              <w:adjustRightInd w:val="0"/>
              <w:spacing w:before="40" w:after="40"/>
              <w:rPr>
                <w:lang w:val="en-US"/>
              </w:rPr>
            </w:pPr>
            <w:r w:rsidRPr="00A4272B">
              <w:rPr>
                <w:lang w:val="en-US"/>
              </w:rPr>
              <w:t>PCB 153</w:t>
            </w:r>
          </w:p>
        </w:tc>
        <w:tc>
          <w:tcPr>
            <w:tcW w:w="1560" w:type="dxa"/>
          </w:tcPr>
          <w:p w14:paraId="302D8811" w14:textId="77777777" w:rsidR="00F3536C" w:rsidRPr="00A4272B" w:rsidRDefault="00F3536C" w:rsidP="000C1560">
            <w:pPr>
              <w:spacing w:before="40" w:after="40"/>
              <w:jc w:val="center"/>
              <w:rPr>
                <w:lang w:val="en-US"/>
              </w:rPr>
            </w:pPr>
            <w:r w:rsidRPr="00A4272B">
              <w:rPr>
                <w:lang w:val="en-US"/>
              </w:rPr>
              <w:t>0.001</w:t>
            </w:r>
          </w:p>
        </w:tc>
        <w:tc>
          <w:tcPr>
            <w:tcW w:w="724" w:type="dxa"/>
          </w:tcPr>
          <w:p w14:paraId="5DC9C2A0" w14:textId="77777777" w:rsidR="00F3536C" w:rsidRPr="00A4272B" w:rsidRDefault="00F3536C" w:rsidP="000C1560">
            <w:pPr>
              <w:spacing w:before="40" w:after="40"/>
              <w:jc w:val="center"/>
              <w:rPr>
                <w:lang w:val="en-US"/>
              </w:rPr>
            </w:pPr>
            <w:r w:rsidRPr="00A4272B">
              <w:rPr>
                <w:lang w:val="en-US"/>
              </w:rPr>
              <w:t>6.9</w:t>
            </w:r>
          </w:p>
        </w:tc>
        <w:tc>
          <w:tcPr>
            <w:tcW w:w="756" w:type="dxa"/>
          </w:tcPr>
          <w:p w14:paraId="203C54C9" w14:textId="77777777" w:rsidR="00F3536C" w:rsidRPr="00A4272B" w:rsidRDefault="00F3536C" w:rsidP="000C1560">
            <w:pPr>
              <w:spacing w:before="40" w:after="40"/>
              <w:jc w:val="center"/>
              <w:rPr>
                <w:lang w:val="en-US"/>
              </w:rPr>
            </w:pPr>
            <w:r w:rsidRPr="00A4272B">
              <w:rPr>
                <w:lang w:val="en-US"/>
              </w:rPr>
              <w:t>6.4</w:t>
            </w:r>
          </w:p>
        </w:tc>
        <w:tc>
          <w:tcPr>
            <w:tcW w:w="675" w:type="dxa"/>
          </w:tcPr>
          <w:p w14:paraId="458D62A2" w14:textId="77777777" w:rsidR="00F3536C" w:rsidRPr="00A4272B" w:rsidRDefault="00F3536C" w:rsidP="000C1560">
            <w:pPr>
              <w:spacing w:before="40" w:after="40"/>
              <w:jc w:val="center"/>
              <w:rPr>
                <w:lang w:val="en-US"/>
              </w:rPr>
            </w:pPr>
            <w:r w:rsidRPr="00A4272B">
              <w:rPr>
                <w:lang w:val="en-US"/>
              </w:rPr>
              <w:t>1</w:t>
            </w:r>
          </w:p>
        </w:tc>
      </w:tr>
      <w:tr w:rsidR="00F3536C" w:rsidRPr="00A4272B" w14:paraId="3C6C77A3" w14:textId="77777777" w:rsidTr="00A41632">
        <w:tc>
          <w:tcPr>
            <w:tcW w:w="3579" w:type="dxa"/>
          </w:tcPr>
          <w:p w14:paraId="16F93BE1" w14:textId="77777777" w:rsidR="00F3536C" w:rsidRPr="00A4272B" w:rsidRDefault="00F3536C" w:rsidP="000C1560">
            <w:pPr>
              <w:autoSpaceDE w:val="0"/>
              <w:autoSpaceDN w:val="0"/>
              <w:adjustRightInd w:val="0"/>
              <w:spacing w:before="40" w:after="40"/>
              <w:rPr>
                <w:lang w:val="en-US"/>
              </w:rPr>
            </w:pPr>
            <w:r w:rsidRPr="00A4272B">
              <w:rPr>
                <w:lang w:val="en-US"/>
              </w:rPr>
              <w:t>Polychlorinated dibenzo-</w:t>
            </w:r>
            <w:r w:rsidRPr="00A4272B">
              <w:rPr>
                <w:i/>
                <w:lang w:val="en-US"/>
              </w:rPr>
              <w:t>p</w:t>
            </w:r>
            <w:r w:rsidRPr="00A4272B">
              <w:rPr>
                <w:lang w:val="en-US"/>
              </w:rPr>
              <w:t xml:space="preserve">-dioxins (PCDD) </w:t>
            </w:r>
          </w:p>
        </w:tc>
        <w:tc>
          <w:tcPr>
            <w:tcW w:w="1835" w:type="dxa"/>
          </w:tcPr>
          <w:p w14:paraId="727AE4ED" w14:textId="77777777" w:rsidR="00F3536C" w:rsidRPr="00A4272B" w:rsidRDefault="00F3536C" w:rsidP="000C1560">
            <w:pPr>
              <w:autoSpaceDE w:val="0"/>
              <w:autoSpaceDN w:val="0"/>
              <w:adjustRightInd w:val="0"/>
              <w:spacing w:before="40" w:after="40"/>
              <w:rPr>
                <w:lang w:val="en-US"/>
              </w:rPr>
            </w:pPr>
            <w:r w:rsidRPr="00A4272B">
              <w:rPr>
                <w:lang w:val="en-US"/>
              </w:rPr>
              <w:t>TCDD</w:t>
            </w:r>
          </w:p>
        </w:tc>
        <w:tc>
          <w:tcPr>
            <w:tcW w:w="1560" w:type="dxa"/>
          </w:tcPr>
          <w:p w14:paraId="6FAD4F28" w14:textId="77777777" w:rsidR="00F3536C" w:rsidRPr="00A4272B" w:rsidRDefault="00F3536C" w:rsidP="000C1560">
            <w:pPr>
              <w:spacing w:before="40" w:after="40"/>
              <w:jc w:val="center"/>
              <w:rPr>
                <w:lang w:val="en-US"/>
              </w:rPr>
            </w:pPr>
            <w:r w:rsidRPr="00A4272B">
              <w:rPr>
                <w:lang w:val="en-US"/>
              </w:rPr>
              <w:t>1.93x10</w:t>
            </w:r>
            <w:r w:rsidRPr="00A4272B">
              <w:rPr>
                <w:vertAlign w:val="superscript"/>
                <w:lang w:val="en-US"/>
              </w:rPr>
              <w:t>-5</w:t>
            </w:r>
          </w:p>
        </w:tc>
        <w:tc>
          <w:tcPr>
            <w:tcW w:w="724" w:type="dxa"/>
          </w:tcPr>
          <w:p w14:paraId="66C2A37F" w14:textId="77777777" w:rsidR="00F3536C" w:rsidRPr="00A4272B" w:rsidRDefault="00F3536C" w:rsidP="000C1560">
            <w:pPr>
              <w:spacing w:before="40" w:after="40"/>
              <w:jc w:val="center"/>
              <w:rPr>
                <w:lang w:val="en-US"/>
              </w:rPr>
            </w:pPr>
            <w:r w:rsidRPr="00A4272B">
              <w:rPr>
                <w:lang w:val="en-US"/>
              </w:rPr>
              <w:t>6.8</w:t>
            </w:r>
          </w:p>
        </w:tc>
        <w:tc>
          <w:tcPr>
            <w:tcW w:w="756" w:type="dxa"/>
          </w:tcPr>
          <w:p w14:paraId="5407239D" w14:textId="77777777" w:rsidR="00F3536C" w:rsidRPr="00A4272B" w:rsidRDefault="00F3536C" w:rsidP="000C1560">
            <w:pPr>
              <w:spacing w:before="40" w:after="40"/>
              <w:jc w:val="center"/>
              <w:rPr>
                <w:lang w:val="en-US"/>
              </w:rPr>
            </w:pPr>
            <w:r w:rsidRPr="00A4272B">
              <w:rPr>
                <w:lang w:val="en-US"/>
              </w:rPr>
              <w:t>6.3</w:t>
            </w:r>
          </w:p>
        </w:tc>
        <w:tc>
          <w:tcPr>
            <w:tcW w:w="675" w:type="dxa"/>
          </w:tcPr>
          <w:p w14:paraId="30EE2E21" w14:textId="77777777" w:rsidR="00F3536C" w:rsidRPr="00A4272B" w:rsidRDefault="00F3536C" w:rsidP="000C1560">
            <w:pPr>
              <w:spacing w:before="40" w:after="40"/>
              <w:jc w:val="center"/>
              <w:rPr>
                <w:lang w:val="en-US"/>
              </w:rPr>
            </w:pPr>
            <w:r w:rsidRPr="00A4272B">
              <w:rPr>
                <w:lang w:val="en-US"/>
              </w:rPr>
              <w:t>1</w:t>
            </w:r>
          </w:p>
        </w:tc>
      </w:tr>
      <w:tr w:rsidR="00F3536C" w:rsidRPr="00A4272B" w14:paraId="36D9CC25" w14:textId="77777777" w:rsidTr="00A41632">
        <w:tc>
          <w:tcPr>
            <w:tcW w:w="3579" w:type="dxa"/>
          </w:tcPr>
          <w:p w14:paraId="28368547" w14:textId="77777777" w:rsidR="00F3536C" w:rsidRPr="00A4272B" w:rsidRDefault="00F3536C" w:rsidP="000C1560">
            <w:pPr>
              <w:autoSpaceDE w:val="0"/>
              <w:autoSpaceDN w:val="0"/>
              <w:adjustRightInd w:val="0"/>
              <w:spacing w:before="40" w:after="40"/>
              <w:rPr>
                <w:lang w:val="en-US"/>
              </w:rPr>
            </w:pPr>
            <w:r w:rsidRPr="00A4272B">
              <w:rPr>
                <w:lang w:val="en-US"/>
              </w:rPr>
              <w:t>Polychlorinated dibenzofurans (PCDF)</w:t>
            </w:r>
          </w:p>
        </w:tc>
        <w:tc>
          <w:tcPr>
            <w:tcW w:w="1835" w:type="dxa"/>
          </w:tcPr>
          <w:p w14:paraId="4EA3BF32" w14:textId="77777777" w:rsidR="00F3536C" w:rsidRPr="00A4272B" w:rsidRDefault="00F3536C" w:rsidP="000C1560">
            <w:pPr>
              <w:autoSpaceDE w:val="0"/>
              <w:autoSpaceDN w:val="0"/>
              <w:adjustRightInd w:val="0"/>
              <w:spacing w:before="40" w:after="40"/>
              <w:rPr>
                <w:lang w:val="en-US"/>
              </w:rPr>
            </w:pPr>
            <w:r w:rsidRPr="00A4272B">
              <w:rPr>
                <w:lang w:val="en-US"/>
              </w:rPr>
              <w:t>TCDF</w:t>
            </w:r>
          </w:p>
        </w:tc>
        <w:tc>
          <w:tcPr>
            <w:tcW w:w="1560" w:type="dxa"/>
          </w:tcPr>
          <w:p w14:paraId="7AEAC929" w14:textId="77777777" w:rsidR="00F3536C" w:rsidRPr="00A4272B" w:rsidRDefault="00F3536C" w:rsidP="000C1560">
            <w:pPr>
              <w:spacing w:before="40" w:after="40"/>
              <w:jc w:val="center"/>
              <w:rPr>
                <w:lang w:val="en-US"/>
              </w:rPr>
            </w:pPr>
            <w:r w:rsidRPr="00A4272B">
              <w:rPr>
                <w:lang w:val="en-US"/>
              </w:rPr>
              <w:t>4.19x10</w:t>
            </w:r>
            <w:r w:rsidRPr="00A4272B">
              <w:rPr>
                <w:vertAlign w:val="superscript"/>
                <w:lang w:val="en-US"/>
              </w:rPr>
              <w:t>-4</w:t>
            </w:r>
          </w:p>
        </w:tc>
        <w:tc>
          <w:tcPr>
            <w:tcW w:w="724" w:type="dxa"/>
          </w:tcPr>
          <w:p w14:paraId="1C342E98" w14:textId="77777777" w:rsidR="00F3536C" w:rsidRPr="00A4272B" w:rsidRDefault="00F3536C" w:rsidP="000C1560">
            <w:pPr>
              <w:spacing w:before="40" w:after="40"/>
              <w:jc w:val="center"/>
              <w:rPr>
                <w:lang w:val="en-US"/>
              </w:rPr>
            </w:pPr>
            <w:r w:rsidRPr="00A4272B">
              <w:rPr>
                <w:lang w:val="en-US"/>
              </w:rPr>
              <w:t>6.5</w:t>
            </w:r>
          </w:p>
        </w:tc>
        <w:tc>
          <w:tcPr>
            <w:tcW w:w="756" w:type="dxa"/>
          </w:tcPr>
          <w:p w14:paraId="18EC4B12" w14:textId="77777777" w:rsidR="00F3536C" w:rsidRPr="00A4272B" w:rsidRDefault="00F3536C" w:rsidP="000C1560">
            <w:pPr>
              <w:spacing w:before="40" w:after="40"/>
              <w:jc w:val="center"/>
              <w:rPr>
                <w:lang w:val="en-US"/>
              </w:rPr>
            </w:pPr>
            <w:r w:rsidRPr="00A4272B">
              <w:rPr>
                <w:lang w:val="en-US"/>
              </w:rPr>
              <w:t>6.0</w:t>
            </w:r>
          </w:p>
        </w:tc>
        <w:tc>
          <w:tcPr>
            <w:tcW w:w="675" w:type="dxa"/>
          </w:tcPr>
          <w:p w14:paraId="3C08C0D0" w14:textId="77777777" w:rsidR="00F3536C" w:rsidRPr="00A4272B" w:rsidRDefault="00F3536C" w:rsidP="000C1560">
            <w:pPr>
              <w:spacing w:before="40" w:after="40"/>
              <w:jc w:val="center"/>
              <w:rPr>
                <w:lang w:val="en-US"/>
              </w:rPr>
            </w:pPr>
            <w:r w:rsidRPr="00A4272B">
              <w:rPr>
                <w:lang w:val="en-US"/>
              </w:rPr>
              <w:t>1</w:t>
            </w:r>
          </w:p>
        </w:tc>
      </w:tr>
      <w:tr w:rsidR="00F3536C" w:rsidRPr="00A4272B" w14:paraId="23BAF2F0" w14:textId="77777777" w:rsidTr="00A41632">
        <w:tc>
          <w:tcPr>
            <w:tcW w:w="3579" w:type="dxa"/>
          </w:tcPr>
          <w:p w14:paraId="5C798673" w14:textId="77777777" w:rsidR="00F3536C" w:rsidRPr="00A4272B" w:rsidRDefault="00F3536C" w:rsidP="000C1560">
            <w:pPr>
              <w:autoSpaceDE w:val="0"/>
              <w:autoSpaceDN w:val="0"/>
              <w:adjustRightInd w:val="0"/>
              <w:spacing w:before="40" w:after="40"/>
              <w:rPr>
                <w:lang w:val="en-US"/>
              </w:rPr>
            </w:pPr>
            <w:r w:rsidRPr="00A4272B">
              <w:rPr>
                <w:lang w:val="en-US"/>
              </w:rPr>
              <w:t>Toxaphene</w:t>
            </w:r>
          </w:p>
        </w:tc>
        <w:tc>
          <w:tcPr>
            <w:tcW w:w="1835" w:type="dxa"/>
          </w:tcPr>
          <w:p w14:paraId="3D27CFE8" w14:textId="77777777" w:rsidR="00F3536C" w:rsidRPr="00A4272B" w:rsidRDefault="00F3536C" w:rsidP="000C1560">
            <w:pPr>
              <w:autoSpaceDE w:val="0"/>
              <w:autoSpaceDN w:val="0"/>
              <w:adjustRightInd w:val="0"/>
              <w:spacing w:before="40" w:after="40"/>
              <w:rPr>
                <w:lang w:val="en-US"/>
              </w:rPr>
            </w:pPr>
            <w:r w:rsidRPr="00A4272B">
              <w:rPr>
                <w:lang w:val="en-US"/>
              </w:rPr>
              <w:t>P26</w:t>
            </w:r>
          </w:p>
        </w:tc>
        <w:tc>
          <w:tcPr>
            <w:tcW w:w="1560" w:type="dxa"/>
          </w:tcPr>
          <w:p w14:paraId="3B5FC0DD" w14:textId="77777777" w:rsidR="00F3536C" w:rsidRPr="00A4272B" w:rsidRDefault="00F3536C" w:rsidP="000C1560">
            <w:pPr>
              <w:spacing w:before="40" w:after="40"/>
              <w:jc w:val="center"/>
              <w:rPr>
                <w:lang w:val="en-US"/>
              </w:rPr>
            </w:pPr>
            <w:r w:rsidRPr="00A4272B">
              <w:rPr>
                <w:lang w:val="en-US"/>
              </w:rPr>
              <w:t>-</w:t>
            </w:r>
          </w:p>
        </w:tc>
        <w:tc>
          <w:tcPr>
            <w:tcW w:w="724" w:type="dxa"/>
          </w:tcPr>
          <w:p w14:paraId="63769FFF" w14:textId="77777777" w:rsidR="00F3536C" w:rsidRPr="00A4272B" w:rsidRDefault="00F3536C" w:rsidP="000C1560">
            <w:pPr>
              <w:spacing w:before="40" w:after="40"/>
              <w:jc w:val="center"/>
              <w:rPr>
                <w:lang w:val="en-US"/>
              </w:rPr>
            </w:pPr>
            <w:r w:rsidRPr="00A4272B">
              <w:rPr>
                <w:lang w:val="en-US"/>
              </w:rPr>
              <w:t>5.5</w:t>
            </w:r>
          </w:p>
        </w:tc>
        <w:tc>
          <w:tcPr>
            <w:tcW w:w="756" w:type="dxa"/>
          </w:tcPr>
          <w:p w14:paraId="58E4DEF0" w14:textId="77777777" w:rsidR="00F3536C" w:rsidRPr="00A4272B" w:rsidRDefault="00F3536C" w:rsidP="000C1560">
            <w:pPr>
              <w:spacing w:before="40" w:after="40"/>
              <w:jc w:val="center"/>
              <w:rPr>
                <w:lang w:val="en-US"/>
              </w:rPr>
            </w:pPr>
            <w:r w:rsidRPr="00A4272B">
              <w:rPr>
                <w:lang w:val="en-US"/>
              </w:rPr>
              <w:t>5.0</w:t>
            </w:r>
          </w:p>
        </w:tc>
        <w:tc>
          <w:tcPr>
            <w:tcW w:w="675" w:type="dxa"/>
          </w:tcPr>
          <w:p w14:paraId="5F498D34" w14:textId="77777777" w:rsidR="00F3536C" w:rsidRPr="00A4272B" w:rsidRDefault="00F3536C" w:rsidP="000C1560">
            <w:pPr>
              <w:spacing w:before="40" w:after="40"/>
              <w:jc w:val="center"/>
              <w:rPr>
                <w:lang w:val="en-US"/>
              </w:rPr>
            </w:pPr>
            <w:r w:rsidRPr="00A4272B">
              <w:rPr>
                <w:lang w:val="en-US"/>
              </w:rPr>
              <w:t>7</w:t>
            </w:r>
          </w:p>
        </w:tc>
      </w:tr>
      <w:tr w:rsidR="00F3536C" w:rsidRPr="00A4272B" w14:paraId="3D881BDB" w14:textId="77777777" w:rsidTr="00A41632">
        <w:tc>
          <w:tcPr>
            <w:tcW w:w="3579" w:type="dxa"/>
          </w:tcPr>
          <w:p w14:paraId="56069C01" w14:textId="77777777" w:rsidR="00F3536C" w:rsidRPr="00A4272B" w:rsidRDefault="00F3536C" w:rsidP="000C1560">
            <w:pPr>
              <w:autoSpaceDE w:val="0"/>
              <w:autoSpaceDN w:val="0"/>
              <w:adjustRightInd w:val="0"/>
              <w:spacing w:before="40" w:after="40"/>
              <w:rPr>
                <w:lang w:val="en-US"/>
              </w:rPr>
            </w:pPr>
          </w:p>
        </w:tc>
        <w:tc>
          <w:tcPr>
            <w:tcW w:w="1835" w:type="dxa"/>
          </w:tcPr>
          <w:p w14:paraId="569BC2C1" w14:textId="77777777" w:rsidR="00F3536C" w:rsidRPr="00A4272B" w:rsidRDefault="00F3536C" w:rsidP="000C1560">
            <w:pPr>
              <w:autoSpaceDE w:val="0"/>
              <w:autoSpaceDN w:val="0"/>
              <w:adjustRightInd w:val="0"/>
              <w:spacing w:before="40" w:after="40"/>
              <w:rPr>
                <w:lang w:val="en-US"/>
              </w:rPr>
            </w:pPr>
            <w:r w:rsidRPr="00A4272B">
              <w:rPr>
                <w:lang w:val="en-US"/>
              </w:rPr>
              <w:t>P50</w:t>
            </w:r>
          </w:p>
        </w:tc>
        <w:tc>
          <w:tcPr>
            <w:tcW w:w="1560" w:type="dxa"/>
          </w:tcPr>
          <w:p w14:paraId="308B51A3" w14:textId="77777777" w:rsidR="00F3536C" w:rsidRPr="00A4272B" w:rsidRDefault="00F3536C" w:rsidP="000C1560">
            <w:pPr>
              <w:spacing w:before="40" w:after="40"/>
              <w:jc w:val="center"/>
              <w:rPr>
                <w:lang w:val="en-US"/>
              </w:rPr>
            </w:pPr>
            <w:r w:rsidRPr="00A4272B">
              <w:rPr>
                <w:lang w:val="en-US"/>
              </w:rPr>
              <w:t>-</w:t>
            </w:r>
          </w:p>
        </w:tc>
        <w:tc>
          <w:tcPr>
            <w:tcW w:w="724" w:type="dxa"/>
          </w:tcPr>
          <w:p w14:paraId="6BC7A6CA" w14:textId="77777777" w:rsidR="00F3536C" w:rsidRPr="00A4272B" w:rsidRDefault="00F3536C" w:rsidP="000C1560">
            <w:pPr>
              <w:spacing w:before="40" w:after="40"/>
              <w:jc w:val="center"/>
              <w:rPr>
                <w:lang w:val="en-US"/>
              </w:rPr>
            </w:pPr>
            <w:r w:rsidRPr="00A4272B">
              <w:rPr>
                <w:lang w:val="en-US"/>
              </w:rPr>
              <w:t>5.8</w:t>
            </w:r>
          </w:p>
        </w:tc>
        <w:tc>
          <w:tcPr>
            <w:tcW w:w="756" w:type="dxa"/>
          </w:tcPr>
          <w:p w14:paraId="655685A6" w14:textId="77777777" w:rsidR="00F3536C" w:rsidRPr="00A4272B" w:rsidRDefault="00F3536C" w:rsidP="000C1560">
            <w:pPr>
              <w:spacing w:before="40" w:after="40"/>
              <w:jc w:val="center"/>
              <w:rPr>
                <w:lang w:val="en-US"/>
              </w:rPr>
            </w:pPr>
            <w:r w:rsidRPr="00A4272B">
              <w:rPr>
                <w:lang w:val="en-US"/>
              </w:rPr>
              <w:t>5.3</w:t>
            </w:r>
          </w:p>
        </w:tc>
        <w:tc>
          <w:tcPr>
            <w:tcW w:w="675" w:type="dxa"/>
          </w:tcPr>
          <w:p w14:paraId="43520B4B" w14:textId="77777777" w:rsidR="00F3536C" w:rsidRPr="00A4272B" w:rsidRDefault="00F3536C" w:rsidP="000C1560">
            <w:pPr>
              <w:spacing w:before="40" w:after="40"/>
              <w:jc w:val="center"/>
              <w:rPr>
                <w:lang w:val="en-US"/>
              </w:rPr>
            </w:pPr>
            <w:r w:rsidRPr="00A4272B">
              <w:rPr>
                <w:lang w:val="en-US"/>
              </w:rPr>
              <w:t>7</w:t>
            </w:r>
          </w:p>
        </w:tc>
      </w:tr>
      <w:tr w:rsidR="00F3536C" w:rsidRPr="00A4272B" w14:paraId="09A4AA2A" w14:textId="77777777" w:rsidTr="00A41632">
        <w:tc>
          <w:tcPr>
            <w:tcW w:w="3579" w:type="dxa"/>
          </w:tcPr>
          <w:p w14:paraId="29A171B5" w14:textId="77777777" w:rsidR="00F3536C" w:rsidRPr="00A4272B" w:rsidRDefault="00F3536C" w:rsidP="000C1560">
            <w:pPr>
              <w:spacing w:before="40" w:after="40"/>
              <w:rPr>
                <w:lang w:val="en-US"/>
              </w:rPr>
            </w:pPr>
            <w:r w:rsidRPr="00A4272B">
              <w:rPr>
                <w:lang w:val="en-US"/>
              </w:rPr>
              <w:t>Pentabromo diphenyl ethers</w:t>
            </w:r>
            <w:r w:rsidRPr="00A4272B">
              <w:rPr>
                <w:lang w:val="en-US"/>
              </w:rPr>
              <w:tab/>
            </w:r>
          </w:p>
        </w:tc>
        <w:tc>
          <w:tcPr>
            <w:tcW w:w="1835" w:type="dxa"/>
          </w:tcPr>
          <w:p w14:paraId="3193FBBB" w14:textId="77777777" w:rsidR="00F3536C" w:rsidRPr="00A4272B" w:rsidRDefault="00F3536C" w:rsidP="000C1560">
            <w:pPr>
              <w:spacing w:before="40" w:after="40"/>
              <w:rPr>
                <w:lang w:val="en-US"/>
              </w:rPr>
            </w:pPr>
            <w:r w:rsidRPr="00A4272B">
              <w:rPr>
                <w:lang w:val="en-US"/>
              </w:rPr>
              <w:t>BDE 47</w:t>
            </w:r>
          </w:p>
        </w:tc>
        <w:tc>
          <w:tcPr>
            <w:tcW w:w="1560" w:type="dxa"/>
          </w:tcPr>
          <w:p w14:paraId="152CF9A5" w14:textId="77777777" w:rsidR="00F3536C" w:rsidRPr="00A4272B" w:rsidRDefault="00F3536C" w:rsidP="000C1560">
            <w:pPr>
              <w:spacing w:before="40" w:after="40"/>
              <w:jc w:val="center"/>
              <w:rPr>
                <w:lang w:val="en-US"/>
              </w:rPr>
            </w:pPr>
            <w:r w:rsidRPr="00A4272B">
              <w:rPr>
                <w:lang w:val="en-US"/>
              </w:rPr>
              <w:t>0.011</w:t>
            </w:r>
          </w:p>
        </w:tc>
        <w:tc>
          <w:tcPr>
            <w:tcW w:w="724" w:type="dxa"/>
          </w:tcPr>
          <w:p w14:paraId="7971F811" w14:textId="77777777" w:rsidR="00F3536C" w:rsidRPr="00A4272B" w:rsidRDefault="00F3536C" w:rsidP="000C1560">
            <w:pPr>
              <w:spacing w:before="40" w:after="40"/>
              <w:jc w:val="center"/>
              <w:rPr>
                <w:lang w:val="en-US"/>
              </w:rPr>
            </w:pPr>
            <w:r w:rsidRPr="00A4272B">
              <w:rPr>
                <w:lang w:val="en-US"/>
              </w:rPr>
              <w:t>6.8</w:t>
            </w:r>
          </w:p>
        </w:tc>
        <w:tc>
          <w:tcPr>
            <w:tcW w:w="756" w:type="dxa"/>
          </w:tcPr>
          <w:p w14:paraId="2446AF2B" w14:textId="77777777" w:rsidR="00F3536C" w:rsidRPr="00A4272B" w:rsidRDefault="00F3536C" w:rsidP="000C1560">
            <w:pPr>
              <w:spacing w:before="40" w:after="40"/>
              <w:rPr>
                <w:lang w:val="en-US"/>
              </w:rPr>
            </w:pPr>
            <w:r w:rsidRPr="00A4272B">
              <w:rPr>
                <w:lang w:val="en-US"/>
              </w:rPr>
              <w:t>6.3</w:t>
            </w:r>
          </w:p>
        </w:tc>
        <w:tc>
          <w:tcPr>
            <w:tcW w:w="675" w:type="dxa"/>
          </w:tcPr>
          <w:p w14:paraId="46BADC5D" w14:textId="77777777" w:rsidR="00F3536C" w:rsidRPr="00A4272B" w:rsidRDefault="00F3536C" w:rsidP="000C1560">
            <w:pPr>
              <w:spacing w:before="40" w:after="40"/>
              <w:jc w:val="center"/>
              <w:rPr>
                <w:lang w:val="en-US"/>
              </w:rPr>
            </w:pPr>
            <w:r w:rsidRPr="00A4272B">
              <w:rPr>
                <w:lang w:val="en-US"/>
              </w:rPr>
              <w:t>8,9</w:t>
            </w:r>
          </w:p>
        </w:tc>
      </w:tr>
      <w:tr w:rsidR="00F3536C" w:rsidRPr="00A4272B" w14:paraId="68ADEE13" w14:textId="77777777" w:rsidTr="00A41632">
        <w:tc>
          <w:tcPr>
            <w:tcW w:w="3579" w:type="dxa"/>
          </w:tcPr>
          <w:p w14:paraId="0D20C096" w14:textId="77777777" w:rsidR="00F3536C" w:rsidRPr="00A4272B" w:rsidRDefault="00F3536C" w:rsidP="000C1560">
            <w:pPr>
              <w:spacing w:before="40" w:after="40"/>
              <w:rPr>
                <w:lang w:val="en-US"/>
              </w:rPr>
            </w:pPr>
            <w:r w:rsidRPr="00A4272B">
              <w:rPr>
                <w:lang w:val="en-US"/>
              </w:rPr>
              <w:tab/>
            </w:r>
          </w:p>
        </w:tc>
        <w:tc>
          <w:tcPr>
            <w:tcW w:w="1835" w:type="dxa"/>
          </w:tcPr>
          <w:p w14:paraId="3C88FE3A" w14:textId="77777777" w:rsidR="00F3536C" w:rsidRPr="00A4272B" w:rsidRDefault="00F3536C" w:rsidP="000C1560">
            <w:pPr>
              <w:spacing w:before="40" w:after="40"/>
              <w:rPr>
                <w:lang w:val="en-US"/>
              </w:rPr>
            </w:pPr>
            <w:r w:rsidRPr="00A4272B">
              <w:rPr>
                <w:lang w:val="en-US"/>
              </w:rPr>
              <w:t>BDE 99</w:t>
            </w:r>
          </w:p>
        </w:tc>
        <w:tc>
          <w:tcPr>
            <w:tcW w:w="1560" w:type="dxa"/>
          </w:tcPr>
          <w:p w14:paraId="6E8DD8B3" w14:textId="77777777" w:rsidR="00F3536C" w:rsidRPr="00A4272B" w:rsidRDefault="00F3536C" w:rsidP="000C1560">
            <w:pPr>
              <w:spacing w:before="40" w:after="40"/>
              <w:jc w:val="center"/>
              <w:rPr>
                <w:lang w:val="en-US"/>
              </w:rPr>
            </w:pPr>
            <w:r w:rsidRPr="00A4272B">
              <w:rPr>
                <w:lang w:val="en-US"/>
              </w:rPr>
              <w:t>0.0024</w:t>
            </w:r>
          </w:p>
        </w:tc>
        <w:tc>
          <w:tcPr>
            <w:tcW w:w="724" w:type="dxa"/>
          </w:tcPr>
          <w:p w14:paraId="52BF3EDE" w14:textId="77777777" w:rsidR="00F3536C" w:rsidRPr="00A4272B" w:rsidRDefault="00F3536C" w:rsidP="000C1560">
            <w:pPr>
              <w:spacing w:before="40" w:after="40"/>
              <w:jc w:val="center"/>
              <w:rPr>
                <w:lang w:val="en-US"/>
              </w:rPr>
            </w:pPr>
            <w:r w:rsidRPr="00A4272B">
              <w:rPr>
                <w:lang w:val="en-US"/>
              </w:rPr>
              <w:t>7.3</w:t>
            </w:r>
          </w:p>
        </w:tc>
        <w:tc>
          <w:tcPr>
            <w:tcW w:w="756" w:type="dxa"/>
          </w:tcPr>
          <w:p w14:paraId="0DDB9D99" w14:textId="77777777" w:rsidR="00F3536C" w:rsidRPr="00A4272B" w:rsidRDefault="00F3536C" w:rsidP="000C1560">
            <w:pPr>
              <w:spacing w:before="40" w:after="40"/>
              <w:rPr>
                <w:lang w:val="en-US"/>
              </w:rPr>
            </w:pPr>
            <w:r w:rsidRPr="00A4272B">
              <w:rPr>
                <w:lang w:val="en-US"/>
              </w:rPr>
              <w:t>6.8</w:t>
            </w:r>
          </w:p>
        </w:tc>
        <w:tc>
          <w:tcPr>
            <w:tcW w:w="675" w:type="dxa"/>
          </w:tcPr>
          <w:p w14:paraId="3D39ACFB" w14:textId="77777777" w:rsidR="00F3536C" w:rsidRPr="00A4272B" w:rsidRDefault="00F3536C" w:rsidP="000C1560">
            <w:pPr>
              <w:spacing w:before="40" w:after="40"/>
              <w:jc w:val="center"/>
              <w:rPr>
                <w:lang w:val="en-US"/>
              </w:rPr>
            </w:pPr>
            <w:r w:rsidRPr="00A4272B">
              <w:rPr>
                <w:lang w:val="en-US"/>
              </w:rPr>
              <w:t>8,9</w:t>
            </w:r>
          </w:p>
        </w:tc>
      </w:tr>
      <w:tr w:rsidR="00F3536C" w:rsidRPr="00A4272B" w14:paraId="4716899F" w14:textId="77777777" w:rsidTr="00A41632">
        <w:tc>
          <w:tcPr>
            <w:tcW w:w="3579" w:type="dxa"/>
          </w:tcPr>
          <w:p w14:paraId="73934762" w14:textId="77777777" w:rsidR="00F3536C" w:rsidRPr="00A4272B" w:rsidRDefault="00F3536C" w:rsidP="000C1560">
            <w:pPr>
              <w:spacing w:before="40" w:after="40"/>
              <w:rPr>
                <w:lang w:val="en-US"/>
              </w:rPr>
            </w:pPr>
            <w:r w:rsidRPr="00A4272B">
              <w:rPr>
                <w:lang w:val="en-US"/>
              </w:rPr>
              <w:t>Octabromo diphenyl ethers</w:t>
            </w:r>
          </w:p>
        </w:tc>
        <w:tc>
          <w:tcPr>
            <w:tcW w:w="1835" w:type="dxa"/>
          </w:tcPr>
          <w:p w14:paraId="74267DCC" w14:textId="77777777" w:rsidR="00F3536C" w:rsidRPr="00A4272B" w:rsidRDefault="00F3536C" w:rsidP="000C1560">
            <w:pPr>
              <w:spacing w:before="40" w:after="40"/>
              <w:rPr>
                <w:lang w:val="en-US"/>
              </w:rPr>
            </w:pPr>
            <w:r w:rsidRPr="00A4272B">
              <w:rPr>
                <w:lang w:val="en-US"/>
              </w:rPr>
              <w:t>BDE 183</w:t>
            </w:r>
          </w:p>
        </w:tc>
        <w:tc>
          <w:tcPr>
            <w:tcW w:w="1560" w:type="dxa"/>
          </w:tcPr>
          <w:p w14:paraId="03B4FD6A" w14:textId="77777777" w:rsidR="00F3536C" w:rsidRPr="00A4272B" w:rsidRDefault="00F3536C" w:rsidP="000C1560">
            <w:pPr>
              <w:spacing w:before="40" w:after="40"/>
              <w:jc w:val="center"/>
              <w:rPr>
                <w:lang w:val="en-US"/>
              </w:rPr>
            </w:pPr>
            <w:r w:rsidRPr="00A4272B">
              <w:rPr>
                <w:lang w:val="en-US"/>
              </w:rPr>
              <w:t>-</w:t>
            </w:r>
          </w:p>
        </w:tc>
        <w:tc>
          <w:tcPr>
            <w:tcW w:w="724" w:type="dxa"/>
          </w:tcPr>
          <w:p w14:paraId="516A7A30" w14:textId="77777777" w:rsidR="00F3536C" w:rsidRPr="00A4272B" w:rsidRDefault="00F3536C" w:rsidP="000C1560">
            <w:pPr>
              <w:spacing w:before="40" w:after="40"/>
              <w:jc w:val="center"/>
              <w:rPr>
                <w:lang w:val="en-US"/>
              </w:rPr>
            </w:pPr>
            <w:r w:rsidRPr="00A4272B">
              <w:rPr>
                <w:lang w:val="en-US"/>
              </w:rPr>
              <w:t>8.3</w:t>
            </w:r>
          </w:p>
        </w:tc>
        <w:tc>
          <w:tcPr>
            <w:tcW w:w="756" w:type="dxa"/>
          </w:tcPr>
          <w:p w14:paraId="7CDE637E" w14:textId="77777777" w:rsidR="00F3536C" w:rsidRPr="00A4272B" w:rsidRDefault="00F3536C" w:rsidP="000C1560">
            <w:pPr>
              <w:spacing w:before="40" w:after="40"/>
              <w:rPr>
                <w:lang w:val="en-US"/>
              </w:rPr>
            </w:pPr>
            <w:r w:rsidRPr="00A4272B">
              <w:rPr>
                <w:lang w:val="en-US"/>
              </w:rPr>
              <w:t>7.8</w:t>
            </w:r>
          </w:p>
        </w:tc>
        <w:tc>
          <w:tcPr>
            <w:tcW w:w="675" w:type="dxa"/>
          </w:tcPr>
          <w:p w14:paraId="7A9BD3BA" w14:textId="77777777" w:rsidR="00F3536C" w:rsidRPr="00A4272B" w:rsidRDefault="00F3536C" w:rsidP="000C1560">
            <w:pPr>
              <w:spacing w:before="40" w:after="40"/>
              <w:jc w:val="center"/>
              <w:rPr>
                <w:lang w:val="en-US"/>
              </w:rPr>
            </w:pPr>
            <w:r w:rsidRPr="00A4272B">
              <w:rPr>
                <w:lang w:val="en-US"/>
              </w:rPr>
              <w:t>9</w:t>
            </w:r>
          </w:p>
        </w:tc>
      </w:tr>
    </w:tbl>
    <w:p w14:paraId="46AA66C3" w14:textId="77777777" w:rsidR="00F3536C" w:rsidRPr="00A4272B" w:rsidRDefault="00F3536C" w:rsidP="00F3536C">
      <w:pPr>
        <w:spacing w:before="120"/>
        <w:rPr>
          <w:sz w:val="18"/>
          <w:szCs w:val="18"/>
          <w:lang w:val="en-US"/>
        </w:rPr>
      </w:pPr>
      <w:r w:rsidRPr="00A4272B">
        <w:rPr>
          <w:sz w:val="18"/>
          <w:szCs w:val="18"/>
          <w:vertAlign w:val="superscript"/>
          <w:lang w:val="en-US"/>
        </w:rPr>
        <w:t>1</w:t>
      </w:r>
      <w:r w:rsidRPr="00A4272B">
        <w:rPr>
          <w:sz w:val="18"/>
          <w:szCs w:val="18"/>
          <w:lang w:val="en-US"/>
        </w:rPr>
        <w:t>Water solubility of the solid and reported in mg/L</w:t>
      </w:r>
    </w:p>
    <w:p w14:paraId="1235240E" w14:textId="77777777" w:rsidR="00F3536C" w:rsidRPr="00A4272B" w:rsidRDefault="00F3536C" w:rsidP="00F3536C">
      <w:pPr>
        <w:rPr>
          <w:sz w:val="18"/>
          <w:szCs w:val="18"/>
          <w:lang w:val="en-US"/>
        </w:rPr>
      </w:pPr>
      <w:r w:rsidRPr="00A4272B">
        <w:rPr>
          <w:sz w:val="18"/>
          <w:szCs w:val="18"/>
          <w:vertAlign w:val="superscript"/>
          <w:lang w:val="en-US"/>
        </w:rPr>
        <w:t>2</w:t>
      </w:r>
      <w:r w:rsidRPr="00A4272B">
        <w:rPr>
          <w:sz w:val="18"/>
          <w:szCs w:val="18"/>
          <w:lang w:val="en-US"/>
        </w:rPr>
        <w:t xml:space="preserve">Koc estimated from Seth et al </w:t>
      </w:r>
      <w:r w:rsidRPr="00A4272B">
        <w:rPr>
          <w:noProof/>
          <w:sz w:val="18"/>
          <w:szCs w:val="18"/>
          <w:lang w:val="en-US"/>
        </w:rPr>
        <w:t>(1999)</w:t>
      </w:r>
    </w:p>
    <w:p w14:paraId="1BB4DF11" w14:textId="2A8CB3EA" w:rsidR="00F3536C" w:rsidRPr="00A4272B" w:rsidRDefault="00F3536C" w:rsidP="00F3536C">
      <w:pPr>
        <w:rPr>
          <w:sz w:val="18"/>
          <w:szCs w:val="18"/>
          <w:lang w:val="en-US"/>
        </w:rPr>
      </w:pPr>
      <w:r w:rsidRPr="00A4272B">
        <w:rPr>
          <w:sz w:val="18"/>
          <w:szCs w:val="18"/>
          <w:vertAlign w:val="superscript"/>
          <w:lang w:val="en-US"/>
        </w:rPr>
        <w:t>3</w:t>
      </w:r>
      <w:r w:rsidRPr="00A4272B">
        <w:rPr>
          <w:sz w:val="18"/>
          <w:szCs w:val="18"/>
          <w:lang w:val="en-US"/>
        </w:rPr>
        <w:t xml:space="preserve"> References cited in Section 4.2.1.: 1. Mackay et al </w:t>
      </w:r>
      <w:r w:rsidRPr="00A4272B">
        <w:rPr>
          <w:noProof/>
          <w:sz w:val="18"/>
          <w:szCs w:val="18"/>
          <w:lang w:val="en-US"/>
        </w:rPr>
        <w:t>(2006)</w:t>
      </w:r>
      <w:r w:rsidRPr="00A4272B">
        <w:rPr>
          <w:sz w:val="18"/>
          <w:szCs w:val="18"/>
          <w:lang w:val="en-US"/>
        </w:rPr>
        <w:t xml:space="preserve">; 2 </w:t>
      </w:r>
      <w:r w:rsidRPr="00A4272B">
        <w:rPr>
          <w:noProof/>
          <w:sz w:val="18"/>
          <w:szCs w:val="18"/>
          <w:lang w:val="en-US"/>
        </w:rPr>
        <w:t>ATSDR</w:t>
      </w:r>
      <w:r w:rsidRPr="00A4272B">
        <w:rPr>
          <w:sz w:val="18"/>
          <w:szCs w:val="18"/>
          <w:lang w:val="en-US"/>
        </w:rPr>
        <w:t xml:space="preserve"> </w:t>
      </w:r>
      <w:r w:rsidRPr="00A4272B">
        <w:rPr>
          <w:noProof/>
          <w:sz w:val="18"/>
          <w:szCs w:val="18"/>
          <w:lang w:val="en-US"/>
        </w:rPr>
        <w:t>(2000)</w:t>
      </w:r>
      <w:r w:rsidRPr="00A4272B">
        <w:rPr>
          <w:sz w:val="18"/>
          <w:szCs w:val="18"/>
          <w:lang w:val="en-US"/>
        </w:rPr>
        <w:t>; 3.</w:t>
      </w:r>
      <w:r w:rsidR="00F80B8B" w:rsidRPr="00A4272B">
        <w:rPr>
          <w:sz w:val="18"/>
          <w:szCs w:val="18"/>
          <w:lang w:val="en-US"/>
        </w:rPr>
        <w:t xml:space="preserve"> </w:t>
      </w:r>
      <w:r w:rsidRPr="00A4272B">
        <w:rPr>
          <w:sz w:val="18"/>
          <w:szCs w:val="18"/>
          <w:lang w:val="en-US"/>
        </w:rPr>
        <w:t xml:space="preserve">Weber et al. </w:t>
      </w:r>
      <w:r w:rsidRPr="00A4272B">
        <w:rPr>
          <w:noProof/>
          <w:sz w:val="18"/>
          <w:szCs w:val="18"/>
          <w:lang w:val="en-US"/>
        </w:rPr>
        <w:t>(1997)</w:t>
      </w:r>
      <w:r w:rsidRPr="00A4272B">
        <w:rPr>
          <w:sz w:val="18"/>
          <w:szCs w:val="18"/>
          <w:lang w:val="en-US"/>
        </w:rPr>
        <w:t xml:space="preserve">;4 USEPA </w:t>
      </w:r>
      <w:r w:rsidRPr="00A4272B">
        <w:rPr>
          <w:noProof/>
          <w:sz w:val="18"/>
          <w:szCs w:val="18"/>
          <w:lang w:val="en-US"/>
        </w:rPr>
        <w:t>(2008)</w:t>
      </w:r>
      <w:r w:rsidRPr="00A4272B">
        <w:rPr>
          <w:sz w:val="18"/>
          <w:szCs w:val="18"/>
          <w:lang w:val="en-US"/>
        </w:rPr>
        <w:t xml:space="preserve">; 5 UNEP </w:t>
      </w:r>
      <w:r w:rsidRPr="00A4272B">
        <w:rPr>
          <w:noProof/>
          <w:sz w:val="18"/>
          <w:szCs w:val="18"/>
          <w:lang w:val="en-US"/>
        </w:rPr>
        <w:t>(2006)</w:t>
      </w:r>
      <w:r w:rsidRPr="00A4272B">
        <w:rPr>
          <w:sz w:val="18"/>
          <w:szCs w:val="18"/>
          <w:lang w:val="en-US"/>
        </w:rPr>
        <w:t xml:space="preserve">; 6 Higgins and Luthy </w:t>
      </w:r>
      <w:r w:rsidRPr="00A4272B">
        <w:rPr>
          <w:noProof/>
          <w:sz w:val="18"/>
          <w:szCs w:val="18"/>
          <w:lang w:val="en-US"/>
        </w:rPr>
        <w:t>(2006)</w:t>
      </w:r>
      <w:r w:rsidRPr="00A4272B">
        <w:rPr>
          <w:sz w:val="18"/>
          <w:szCs w:val="18"/>
          <w:lang w:val="en-US"/>
        </w:rPr>
        <w:t xml:space="preserve">; 7 Muir et al </w:t>
      </w:r>
      <w:r w:rsidRPr="00A4272B">
        <w:rPr>
          <w:noProof/>
          <w:sz w:val="18"/>
          <w:szCs w:val="18"/>
          <w:lang w:val="en-US"/>
        </w:rPr>
        <w:t>(2006)</w:t>
      </w:r>
      <w:r w:rsidRPr="00A4272B">
        <w:rPr>
          <w:sz w:val="18"/>
          <w:szCs w:val="18"/>
          <w:lang w:val="en-US"/>
        </w:rPr>
        <w:t xml:space="preserve">; 8 European Commission </w:t>
      </w:r>
      <w:r w:rsidRPr="00A4272B">
        <w:rPr>
          <w:noProof/>
          <w:sz w:val="18"/>
          <w:szCs w:val="18"/>
          <w:lang w:val="en-US"/>
        </w:rPr>
        <w:t>(2001)</w:t>
      </w:r>
      <w:r w:rsidRPr="00A4272B">
        <w:rPr>
          <w:sz w:val="18"/>
          <w:szCs w:val="18"/>
          <w:lang w:val="en-US"/>
        </w:rPr>
        <w:t xml:space="preserve">; 9 Braekevelt et al. </w:t>
      </w:r>
      <w:r w:rsidRPr="00A4272B">
        <w:rPr>
          <w:noProof/>
          <w:sz w:val="18"/>
          <w:szCs w:val="18"/>
          <w:lang w:val="en-US"/>
        </w:rPr>
        <w:t>(2003)</w:t>
      </w:r>
      <w:r w:rsidRPr="00A4272B">
        <w:rPr>
          <w:sz w:val="18"/>
          <w:szCs w:val="18"/>
          <w:lang w:val="en-US"/>
        </w:rPr>
        <w:t>. Full references cited in Section 4.2.1.</w:t>
      </w:r>
    </w:p>
    <w:p w14:paraId="04DE4893" w14:textId="77777777" w:rsidR="00F3536C" w:rsidRPr="00A4272B" w:rsidRDefault="00F3536C" w:rsidP="002A04E0">
      <w:pPr>
        <w:pStyle w:val="GMPHeading1"/>
        <w:rPr>
          <w:rFonts w:hint="eastAsia"/>
        </w:rPr>
      </w:pPr>
      <w:r w:rsidRPr="00A4272B">
        <w:br w:type="page"/>
      </w:r>
      <w:bookmarkStart w:id="912" w:name="_Toc187270560"/>
      <w:r w:rsidRPr="00A4272B">
        <w:lastRenderedPageBreak/>
        <w:t>References</w:t>
      </w:r>
      <w:bookmarkEnd w:id="912"/>
    </w:p>
    <w:p w14:paraId="5E92E81F" w14:textId="77777777" w:rsidR="00F3536C" w:rsidRPr="00A4272B" w:rsidRDefault="00F3536C" w:rsidP="00766D08">
      <w:pPr>
        <w:outlineLvl w:val="1"/>
        <w:rPr>
          <w:b/>
          <w:bCs/>
          <w:sz w:val="18"/>
          <w:szCs w:val="18"/>
          <w:lang w:val="en-US"/>
        </w:rPr>
      </w:pPr>
      <w:r w:rsidRPr="00A4272B">
        <w:rPr>
          <w:b/>
          <w:bCs/>
          <w:sz w:val="18"/>
          <w:szCs w:val="18"/>
          <w:lang w:val="en-US"/>
        </w:rPr>
        <w:t>Chapter 1</w:t>
      </w:r>
    </w:p>
    <w:p w14:paraId="44DFDA5B" w14:textId="77777777" w:rsidR="00F3536C" w:rsidRPr="00A4272B" w:rsidRDefault="00F3536C" w:rsidP="006B1FE4">
      <w:pPr>
        <w:rPr>
          <w:sz w:val="18"/>
          <w:szCs w:val="18"/>
          <w:lang w:val="en-US"/>
        </w:rPr>
      </w:pPr>
      <w:r w:rsidRPr="00A4272B">
        <w:rPr>
          <w:sz w:val="18"/>
          <w:szCs w:val="18"/>
          <w:lang w:val="en-US"/>
        </w:rPr>
        <w:t>B.I. Escher, H.M. Stapleton, E.L. Schymanski, Tracking complex mixtures of chemicals in our changing environment, Science 367 (6476) (2020) 388. https://doi.org/10.1126/science.aay6636.</w:t>
      </w:r>
    </w:p>
    <w:p w14:paraId="1793B64F" w14:textId="2A628986" w:rsidR="009D0545" w:rsidRPr="00A4272B" w:rsidRDefault="009D0545" w:rsidP="009D0545">
      <w:pPr>
        <w:rPr>
          <w:sz w:val="18"/>
          <w:szCs w:val="18"/>
          <w:lang w:val="en-US"/>
        </w:rPr>
      </w:pPr>
      <w:r w:rsidRPr="00A4272B">
        <w:rPr>
          <w:sz w:val="18"/>
          <w:szCs w:val="18"/>
          <w:lang w:val="en-US"/>
        </w:rPr>
        <w:t>Global Monitoring Plan data warehouse</w:t>
      </w:r>
      <w:r w:rsidR="00E02176" w:rsidRPr="00A4272B">
        <w:rPr>
          <w:sz w:val="18"/>
          <w:szCs w:val="18"/>
          <w:lang w:val="en-US"/>
        </w:rPr>
        <w:t>.</w:t>
      </w:r>
      <w:r w:rsidRPr="00A4272B">
        <w:rPr>
          <w:sz w:val="18"/>
          <w:szCs w:val="18"/>
          <w:lang w:val="en-US"/>
        </w:rPr>
        <w:t xml:space="preserve"> </w:t>
      </w:r>
      <w:hyperlink r:id="rId89" w:history="1">
        <w:r w:rsidR="00E02176" w:rsidRPr="00A4272B">
          <w:rPr>
            <w:rStyle w:val="Hyperlink"/>
            <w:sz w:val="18"/>
            <w:szCs w:val="18"/>
            <w:lang w:val="en-US"/>
          </w:rPr>
          <w:t>http://www.pops-gmp.org</w:t>
        </w:r>
      </w:hyperlink>
      <w:r w:rsidRPr="00A4272B">
        <w:rPr>
          <w:sz w:val="18"/>
          <w:szCs w:val="18"/>
          <w:lang w:val="en-US"/>
        </w:rPr>
        <w:t>.</w:t>
      </w:r>
    </w:p>
    <w:p w14:paraId="01F355DE" w14:textId="1D74AA88" w:rsidR="00E02176" w:rsidRPr="00A4272B" w:rsidRDefault="00E02176" w:rsidP="00E02176">
      <w:pPr>
        <w:rPr>
          <w:sz w:val="18"/>
          <w:szCs w:val="18"/>
          <w:lang w:val="en-US"/>
        </w:rPr>
      </w:pPr>
      <w:r w:rsidRPr="00A4272B">
        <w:rPr>
          <w:sz w:val="18"/>
          <w:szCs w:val="18"/>
          <w:lang w:val="en-US"/>
        </w:rPr>
        <w:t xml:space="preserve">UNEP 2004. Guidance on the global monitoring plan for persistent organic pollutants. </w:t>
      </w:r>
      <w:r w:rsidRPr="00A4272B">
        <w:rPr>
          <w:sz w:val="18"/>
          <w:szCs w:val="18"/>
        </w:rPr>
        <w:t>UNEP/POPS/COP.1/INF/23.</w:t>
      </w:r>
    </w:p>
    <w:p w14:paraId="7645CCBC" w14:textId="2E161DA5" w:rsidR="00E02176" w:rsidRPr="00A4272B" w:rsidRDefault="00E02176" w:rsidP="00E02176">
      <w:pPr>
        <w:rPr>
          <w:sz w:val="18"/>
          <w:szCs w:val="18"/>
        </w:rPr>
      </w:pPr>
      <w:r w:rsidRPr="00A4272B">
        <w:rPr>
          <w:sz w:val="18"/>
          <w:szCs w:val="18"/>
          <w:lang w:val="en-US"/>
        </w:rPr>
        <w:t>UNEP 2007. Guidance on the global monitoring plan for persistent organic pollutants.</w:t>
      </w:r>
      <w:r w:rsidRPr="00A4272B">
        <w:rPr>
          <w:sz w:val="18"/>
          <w:szCs w:val="18"/>
        </w:rPr>
        <w:t xml:space="preserve"> UNEP/POPS/COP.3/INF/14/Rev.1.</w:t>
      </w:r>
    </w:p>
    <w:p w14:paraId="4F850C18" w14:textId="5ED99E94" w:rsidR="00E02176" w:rsidRPr="00A4272B" w:rsidRDefault="00E02176" w:rsidP="00E02176">
      <w:pPr>
        <w:rPr>
          <w:sz w:val="18"/>
          <w:szCs w:val="18"/>
          <w:lang w:val="en-US"/>
        </w:rPr>
      </w:pPr>
      <w:r w:rsidRPr="00A4272B">
        <w:rPr>
          <w:sz w:val="18"/>
          <w:szCs w:val="18"/>
        </w:rPr>
        <w:t>UNEP 2009. First global monitoring report. UNEP/POPS/COP.4/33.</w:t>
      </w:r>
    </w:p>
    <w:p w14:paraId="6ECC44D3" w14:textId="45FFB369" w:rsidR="00E02176" w:rsidRPr="00A4272B" w:rsidRDefault="00E02176" w:rsidP="00E02176">
      <w:pPr>
        <w:rPr>
          <w:sz w:val="18"/>
          <w:szCs w:val="18"/>
          <w:lang w:val="en-US"/>
        </w:rPr>
      </w:pPr>
      <w:r w:rsidRPr="00A4272B">
        <w:rPr>
          <w:sz w:val="18"/>
          <w:szCs w:val="18"/>
          <w:lang w:val="en-US"/>
        </w:rPr>
        <w:t xml:space="preserve">UNEP 2011. Guidance on the global monitoring plan for persistent organic pollutants. </w:t>
      </w:r>
      <w:r w:rsidRPr="00A4272B">
        <w:rPr>
          <w:sz w:val="18"/>
          <w:szCs w:val="18"/>
        </w:rPr>
        <w:t>UNEP/POPS/COP.5/INF/27.</w:t>
      </w:r>
    </w:p>
    <w:p w14:paraId="2D794EA9" w14:textId="02963D3A" w:rsidR="00E02176" w:rsidRPr="00A4272B" w:rsidRDefault="00E02176" w:rsidP="00E02176">
      <w:pPr>
        <w:rPr>
          <w:sz w:val="18"/>
          <w:szCs w:val="18"/>
          <w:lang w:val="en-US"/>
        </w:rPr>
      </w:pPr>
      <w:r w:rsidRPr="00A4272B">
        <w:rPr>
          <w:sz w:val="18"/>
          <w:szCs w:val="18"/>
          <w:lang w:val="en-US"/>
        </w:rPr>
        <w:t xml:space="preserve">UNEP 2013a. Guidance on the global monitoring plan for persistent organic pollutants. </w:t>
      </w:r>
      <w:r w:rsidRPr="00A4272B">
        <w:rPr>
          <w:sz w:val="18"/>
          <w:szCs w:val="18"/>
        </w:rPr>
        <w:t>UNEP/POPS/COP.6/INF/31.</w:t>
      </w:r>
    </w:p>
    <w:p w14:paraId="7FCD6BC8" w14:textId="120944B4" w:rsidR="00E02176" w:rsidRPr="00A4272B" w:rsidRDefault="00E02176" w:rsidP="00E02176">
      <w:pPr>
        <w:rPr>
          <w:sz w:val="18"/>
          <w:szCs w:val="18"/>
          <w:lang w:val="en-US"/>
        </w:rPr>
      </w:pPr>
      <w:r w:rsidRPr="00A4272B">
        <w:rPr>
          <w:sz w:val="18"/>
          <w:szCs w:val="18"/>
          <w:lang w:val="en-US"/>
        </w:rPr>
        <w:t>UNEP 2013b. Global monitoring plan for persistent organic pollutants as amended after the fourth meeting of the Conference of the Parties to the Stockholm Convention. UNEP/POPS/COP.6/INF/31/Add.1.</w:t>
      </w:r>
    </w:p>
    <w:p w14:paraId="798CEF69" w14:textId="58A40169" w:rsidR="00E02176" w:rsidRPr="00A4272B" w:rsidRDefault="00E02176" w:rsidP="00E02176">
      <w:pPr>
        <w:rPr>
          <w:sz w:val="18"/>
          <w:szCs w:val="18"/>
          <w:lang w:val="en-US"/>
        </w:rPr>
      </w:pPr>
      <w:r w:rsidRPr="00A4272B">
        <w:rPr>
          <w:sz w:val="18"/>
          <w:szCs w:val="18"/>
          <w:lang w:val="en-US"/>
        </w:rPr>
        <w:t>UNEP 2013c. Implementation of the global monitoring plan for effectiveness evaluation as amended after the fourth meeting of the Conference of the Parties to the Stockholm Convention. UNEP/POPS/COP.6/INF/31/Add.2.</w:t>
      </w:r>
    </w:p>
    <w:p w14:paraId="21CB748D" w14:textId="32B35898" w:rsidR="00E02176" w:rsidRPr="00A4272B" w:rsidRDefault="00E02176" w:rsidP="00E02176">
      <w:pPr>
        <w:rPr>
          <w:sz w:val="18"/>
          <w:szCs w:val="18"/>
        </w:rPr>
      </w:pPr>
      <w:r w:rsidRPr="00A4272B">
        <w:rPr>
          <w:sz w:val="18"/>
          <w:szCs w:val="18"/>
          <w:lang w:val="en-US"/>
        </w:rPr>
        <w:t xml:space="preserve">UNEP 2015. Guidance on the global monitoring plan for persistent organic pollutants. </w:t>
      </w:r>
      <w:r w:rsidRPr="00A4272B">
        <w:rPr>
          <w:sz w:val="18"/>
          <w:szCs w:val="18"/>
        </w:rPr>
        <w:t>UNEP/POPS/COP.7/INF/39.</w:t>
      </w:r>
    </w:p>
    <w:p w14:paraId="5A36BAB1" w14:textId="0716FB3E" w:rsidR="00E02176" w:rsidRPr="00A4272B" w:rsidRDefault="00E02176" w:rsidP="00E02176">
      <w:pPr>
        <w:rPr>
          <w:sz w:val="18"/>
          <w:szCs w:val="18"/>
          <w:lang w:val="en-US"/>
        </w:rPr>
      </w:pPr>
      <w:r w:rsidRPr="00A4272B">
        <w:rPr>
          <w:sz w:val="18"/>
          <w:szCs w:val="18"/>
          <w:lang w:val="en-US"/>
        </w:rPr>
        <w:t>UNEP 2017a. Second global monitoring report. Executive summary. UNEP/POPS/COP.8/21/Add.1.</w:t>
      </w:r>
    </w:p>
    <w:p w14:paraId="6BCC7123" w14:textId="11115C9A" w:rsidR="00E02176" w:rsidRPr="00A4272B" w:rsidRDefault="00E02176" w:rsidP="00E02176">
      <w:pPr>
        <w:rPr>
          <w:sz w:val="18"/>
          <w:szCs w:val="18"/>
          <w:lang w:val="en-US"/>
        </w:rPr>
      </w:pPr>
      <w:r w:rsidRPr="00A4272B">
        <w:rPr>
          <w:sz w:val="18"/>
          <w:szCs w:val="18"/>
          <w:lang w:val="en-US"/>
        </w:rPr>
        <w:t>UNEP 2017b. Second global monitoring report. UNEP/POPS/COP.8/INF/38.</w:t>
      </w:r>
    </w:p>
    <w:p w14:paraId="0FC3BC21" w14:textId="621A3EE2" w:rsidR="00E02176" w:rsidRPr="00A4272B" w:rsidRDefault="00E02176" w:rsidP="00E02176">
      <w:pPr>
        <w:rPr>
          <w:sz w:val="18"/>
          <w:szCs w:val="18"/>
        </w:rPr>
      </w:pPr>
      <w:r w:rsidRPr="00A4272B">
        <w:rPr>
          <w:sz w:val="18"/>
          <w:szCs w:val="18"/>
        </w:rPr>
        <w:t>UNEP 2017c. Second effectiveness evaluation report. UNEP/POPS/COP.8/INF/40.</w:t>
      </w:r>
    </w:p>
    <w:p w14:paraId="3472DCC1" w14:textId="7C0A7553" w:rsidR="00E02176" w:rsidRPr="00A4272B" w:rsidRDefault="00E02176" w:rsidP="00E02176">
      <w:pPr>
        <w:rPr>
          <w:sz w:val="18"/>
          <w:szCs w:val="18"/>
          <w:lang w:val="en-US"/>
        </w:rPr>
      </w:pPr>
      <w:r w:rsidRPr="00A4272B">
        <w:rPr>
          <w:sz w:val="18"/>
          <w:szCs w:val="18"/>
          <w:lang w:val="en-US"/>
        </w:rPr>
        <w:t xml:space="preserve">UNEP 2019. Guidance on the global monitoring plan for persistent organic pollutants. </w:t>
      </w:r>
      <w:r w:rsidRPr="00A4272B">
        <w:rPr>
          <w:sz w:val="18"/>
          <w:szCs w:val="18"/>
        </w:rPr>
        <w:t>UNEP/POPS/COP.9/INF/36.</w:t>
      </w:r>
    </w:p>
    <w:p w14:paraId="358BADE8" w14:textId="7BC67AFA" w:rsidR="00E02176" w:rsidRPr="00A4272B" w:rsidRDefault="00E02176" w:rsidP="00E02176">
      <w:pPr>
        <w:rPr>
          <w:sz w:val="18"/>
          <w:szCs w:val="18"/>
        </w:rPr>
      </w:pPr>
      <w:r w:rsidRPr="00A4272B">
        <w:rPr>
          <w:sz w:val="18"/>
          <w:szCs w:val="18"/>
          <w:lang w:val="en-US"/>
        </w:rPr>
        <w:t xml:space="preserve">UNEP 2022. Guidance on the global monitoring plan for persistent organic pollutants. </w:t>
      </w:r>
      <w:r w:rsidRPr="00A4272B">
        <w:rPr>
          <w:sz w:val="18"/>
          <w:szCs w:val="18"/>
        </w:rPr>
        <w:t>UNEP/POPS/COP.10/INF/42.</w:t>
      </w:r>
    </w:p>
    <w:p w14:paraId="7C097553" w14:textId="39B176AB" w:rsidR="00E02176" w:rsidRPr="00A4272B" w:rsidRDefault="00E02176" w:rsidP="00E02176">
      <w:pPr>
        <w:rPr>
          <w:sz w:val="18"/>
          <w:szCs w:val="18"/>
          <w:lang w:val="en-US"/>
        </w:rPr>
      </w:pPr>
      <w:r w:rsidRPr="00A4272B">
        <w:rPr>
          <w:sz w:val="18"/>
          <w:szCs w:val="18"/>
        </w:rPr>
        <w:t>UNEP 2023a. Third global monitoring report. Executive summary. UNEP/POPS/COP.11/20/Add.1.</w:t>
      </w:r>
    </w:p>
    <w:p w14:paraId="0DF23476" w14:textId="46DAE3C2" w:rsidR="00E02176" w:rsidRPr="00A4272B" w:rsidRDefault="00E02176" w:rsidP="00E02176">
      <w:pPr>
        <w:rPr>
          <w:sz w:val="18"/>
          <w:szCs w:val="18"/>
          <w:lang w:val="en-US"/>
        </w:rPr>
      </w:pPr>
      <w:r w:rsidRPr="00A4272B">
        <w:rPr>
          <w:sz w:val="18"/>
          <w:szCs w:val="18"/>
        </w:rPr>
        <w:t>UNEP 2023b. Third global monitoring report. UNEP/POPS/COP.11/INF/38.</w:t>
      </w:r>
    </w:p>
    <w:p w14:paraId="01480278" w14:textId="53CAE93C" w:rsidR="00E02176" w:rsidRPr="00A4272B" w:rsidRDefault="00E02176" w:rsidP="00E02176">
      <w:pPr>
        <w:rPr>
          <w:sz w:val="18"/>
          <w:szCs w:val="18"/>
          <w:lang w:val="en-US"/>
        </w:rPr>
      </w:pPr>
      <w:r w:rsidRPr="00A4272B">
        <w:rPr>
          <w:sz w:val="18"/>
          <w:szCs w:val="18"/>
          <w:lang w:val="en-US"/>
        </w:rPr>
        <w:t xml:space="preserve">UNEP 2025. Guidance on the global monitoring plan for persistent organic pollutants. </w:t>
      </w:r>
      <w:r w:rsidRPr="00A4272B">
        <w:rPr>
          <w:sz w:val="18"/>
          <w:szCs w:val="18"/>
        </w:rPr>
        <w:t>UNEP/POPS/COP.12/INF/43.</w:t>
      </w:r>
    </w:p>
    <w:p w14:paraId="5C8BB7DF" w14:textId="77777777" w:rsidR="00287A10" w:rsidRPr="00A4272B" w:rsidRDefault="00287A10" w:rsidP="00287A10">
      <w:pPr>
        <w:rPr>
          <w:sz w:val="18"/>
          <w:szCs w:val="18"/>
          <w:lang w:val="en-US"/>
        </w:rPr>
      </w:pPr>
      <w:r w:rsidRPr="00A4272B">
        <w:rPr>
          <w:sz w:val="18"/>
          <w:szCs w:val="18"/>
          <w:lang w:val="en-US"/>
        </w:rPr>
        <w:t>UNEP 2023. Stockholm Convention on POPs, Text and Annexes, Secretariat of the Stockholm Convention on Persistent Organic Pollutants, Geneva, Switzerland, https://chm.pops.int/TheConvention/Overview/TextoftheConvention/tabid/2232/Default.aspx.</w:t>
      </w:r>
    </w:p>
    <w:p w14:paraId="5E913D58" w14:textId="77777777" w:rsidR="00F3536C" w:rsidRPr="00A4272B" w:rsidRDefault="00F3536C" w:rsidP="00766D08">
      <w:pPr>
        <w:outlineLvl w:val="1"/>
        <w:rPr>
          <w:b/>
          <w:bCs/>
          <w:sz w:val="18"/>
          <w:szCs w:val="18"/>
          <w:lang w:val="en-US"/>
        </w:rPr>
      </w:pPr>
      <w:r w:rsidRPr="00A4272B">
        <w:rPr>
          <w:b/>
          <w:bCs/>
          <w:sz w:val="18"/>
          <w:szCs w:val="18"/>
          <w:lang w:val="en-US"/>
        </w:rPr>
        <w:t>Chapter 2</w:t>
      </w:r>
    </w:p>
    <w:p w14:paraId="532AE073" w14:textId="389EC364" w:rsidR="00F3536C" w:rsidRPr="00A4272B" w:rsidRDefault="00F3536C" w:rsidP="006B1FE4">
      <w:pPr>
        <w:rPr>
          <w:sz w:val="18"/>
          <w:szCs w:val="18"/>
          <w:lang w:val="en-US"/>
        </w:rPr>
      </w:pPr>
      <w:r w:rsidRPr="00A4272B">
        <w:rPr>
          <w:sz w:val="18"/>
          <w:szCs w:val="18"/>
          <w:lang w:val="en-US"/>
        </w:rPr>
        <w:t>UNEP 2010</w:t>
      </w:r>
      <w:r w:rsidR="00283145" w:rsidRPr="00A4272B">
        <w:rPr>
          <w:sz w:val="18"/>
          <w:szCs w:val="18"/>
          <w:lang w:val="en-US"/>
        </w:rPr>
        <w:t>.</w:t>
      </w:r>
      <w:r w:rsidRPr="00A4272B">
        <w:rPr>
          <w:sz w:val="18"/>
          <w:szCs w:val="18"/>
          <w:lang w:val="en-US"/>
        </w:rPr>
        <w:t xml:space="preserve"> Report of the First Expert Meeting to update the Guidance on the Global Monitoring Plan for Persistent Organic Pollutants. Geneva, </w:t>
      </w:r>
      <w:r w:rsidR="00283145" w:rsidRPr="00A4272B">
        <w:rPr>
          <w:sz w:val="18"/>
          <w:szCs w:val="18"/>
          <w:lang w:val="en-US"/>
        </w:rPr>
        <w:t xml:space="preserve">12–14 </w:t>
      </w:r>
      <w:r w:rsidRPr="00A4272B">
        <w:rPr>
          <w:sz w:val="18"/>
          <w:szCs w:val="18"/>
          <w:lang w:val="en-US"/>
        </w:rPr>
        <w:t>April 2010</w:t>
      </w:r>
      <w:r w:rsidR="00283145" w:rsidRPr="00A4272B">
        <w:rPr>
          <w:sz w:val="18"/>
          <w:szCs w:val="18"/>
          <w:lang w:val="en-US"/>
        </w:rPr>
        <w:t>.</w:t>
      </w:r>
      <w:r w:rsidRPr="00A4272B">
        <w:rPr>
          <w:sz w:val="18"/>
          <w:szCs w:val="18"/>
          <w:lang w:val="en-US"/>
        </w:rPr>
        <w:t xml:space="preserve"> </w:t>
      </w:r>
      <w:r w:rsidR="00283145" w:rsidRPr="00A4272B">
        <w:rPr>
          <w:sz w:val="18"/>
          <w:szCs w:val="18"/>
          <w:lang w:val="en-US"/>
        </w:rPr>
        <w:t>https://chm.pops.int/Implementation/GlobalMonitoringPlan/Meetings/EG1/tabid/760/Default.aspx</w:t>
      </w:r>
      <w:r w:rsidR="009D0545" w:rsidRPr="00A4272B">
        <w:rPr>
          <w:sz w:val="18"/>
          <w:szCs w:val="18"/>
          <w:lang w:val="en-US"/>
        </w:rPr>
        <w:t>.</w:t>
      </w:r>
    </w:p>
    <w:p w14:paraId="2EF178EA" w14:textId="3C031685" w:rsidR="00F3536C" w:rsidRPr="00A4272B" w:rsidRDefault="00F3536C" w:rsidP="006B1FE4">
      <w:pPr>
        <w:rPr>
          <w:sz w:val="18"/>
          <w:szCs w:val="18"/>
          <w:lang w:val="en-US"/>
        </w:rPr>
      </w:pPr>
      <w:r w:rsidRPr="00A4272B">
        <w:rPr>
          <w:sz w:val="18"/>
          <w:szCs w:val="18"/>
          <w:lang w:val="en-US"/>
        </w:rPr>
        <w:t>UNEP</w:t>
      </w:r>
      <w:r w:rsidR="00283145" w:rsidRPr="00A4272B">
        <w:rPr>
          <w:sz w:val="18"/>
          <w:szCs w:val="18"/>
          <w:lang w:val="en-US"/>
        </w:rPr>
        <w:t xml:space="preserve"> </w:t>
      </w:r>
      <w:r w:rsidRPr="00A4272B">
        <w:rPr>
          <w:sz w:val="18"/>
          <w:szCs w:val="18"/>
          <w:lang w:val="en-US"/>
        </w:rPr>
        <w:t>2010</w:t>
      </w:r>
      <w:r w:rsidR="00283145" w:rsidRPr="00A4272B">
        <w:rPr>
          <w:sz w:val="18"/>
          <w:szCs w:val="18"/>
          <w:lang w:val="en-US"/>
        </w:rPr>
        <w:t>.</w:t>
      </w:r>
      <w:r w:rsidRPr="00A4272B">
        <w:rPr>
          <w:sz w:val="18"/>
          <w:szCs w:val="18"/>
          <w:lang w:val="en-US"/>
        </w:rPr>
        <w:t xml:space="preserve"> Report of the Second Expert Meeting to update the Guidance on the Global Monitoring Plan for Persistent Organic Pollutants. Geneva, </w:t>
      </w:r>
      <w:r w:rsidR="00283145" w:rsidRPr="00A4272B">
        <w:rPr>
          <w:sz w:val="18"/>
          <w:szCs w:val="18"/>
          <w:lang w:val="en-US"/>
        </w:rPr>
        <w:t>4–6 October</w:t>
      </w:r>
      <w:r w:rsidRPr="00A4272B">
        <w:rPr>
          <w:sz w:val="18"/>
          <w:szCs w:val="18"/>
          <w:lang w:val="en-US"/>
        </w:rPr>
        <w:t xml:space="preserve"> 2010</w:t>
      </w:r>
      <w:r w:rsidR="009D0545" w:rsidRPr="00A4272B">
        <w:rPr>
          <w:sz w:val="18"/>
          <w:szCs w:val="18"/>
          <w:lang w:val="en-US"/>
        </w:rPr>
        <w:t>.</w:t>
      </w:r>
      <w:r w:rsidR="00283145" w:rsidRPr="00A4272B">
        <w:rPr>
          <w:sz w:val="18"/>
          <w:szCs w:val="18"/>
          <w:lang w:val="en-US"/>
        </w:rPr>
        <w:t xml:space="preserve"> </w:t>
      </w:r>
      <w:hyperlink r:id="rId90" w:history="1">
        <w:r w:rsidR="00FE2221" w:rsidRPr="00A4272B">
          <w:rPr>
            <w:rStyle w:val="Hyperlink"/>
            <w:sz w:val="18"/>
            <w:szCs w:val="18"/>
            <w:lang w:val="en-US"/>
          </w:rPr>
          <w:t>https://chm.pops.int/Implementation/GlobalMonitoringPlan/Meetings/EG2/tabid/2233/Default.aspx</w:t>
        </w:r>
      </w:hyperlink>
      <w:r w:rsidR="00FE2221" w:rsidRPr="00A4272B">
        <w:rPr>
          <w:sz w:val="18"/>
          <w:szCs w:val="18"/>
          <w:lang w:val="en-US"/>
        </w:rPr>
        <w:t>.</w:t>
      </w:r>
    </w:p>
    <w:p w14:paraId="0FB1F865" w14:textId="23A07AD8" w:rsidR="00FE2221" w:rsidRPr="00A4272B" w:rsidRDefault="00FE2221" w:rsidP="006B1FE4">
      <w:pPr>
        <w:rPr>
          <w:sz w:val="18"/>
          <w:szCs w:val="18"/>
          <w:lang w:val="en-US"/>
        </w:rPr>
      </w:pPr>
      <w:r w:rsidRPr="00A4272B">
        <w:rPr>
          <w:sz w:val="18"/>
          <w:szCs w:val="18"/>
          <w:lang w:val="en-US"/>
        </w:rPr>
        <w:t>UNEP 2014. UNEP Global Monitoring Plan Expert Workshop on PFAS in Water, 27–28 October 2014. www.unep.org/chemicalsandwaste.</w:t>
      </w:r>
    </w:p>
    <w:p w14:paraId="00B87A62" w14:textId="77777777" w:rsidR="00F3536C" w:rsidRPr="00A4272B" w:rsidRDefault="00F3536C" w:rsidP="009D0545">
      <w:pPr>
        <w:outlineLvl w:val="2"/>
        <w:rPr>
          <w:b/>
          <w:bCs/>
          <w:sz w:val="18"/>
          <w:szCs w:val="18"/>
          <w:lang w:val="en-US"/>
        </w:rPr>
      </w:pPr>
      <w:r w:rsidRPr="00A4272B">
        <w:rPr>
          <w:b/>
          <w:bCs/>
          <w:sz w:val="18"/>
          <w:szCs w:val="18"/>
          <w:lang w:val="en-US"/>
        </w:rPr>
        <w:t>PCB numbering and nomenclature:</w:t>
      </w:r>
    </w:p>
    <w:p w14:paraId="403BBF1E" w14:textId="625FDB6D" w:rsidR="00F3536C" w:rsidRPr="00A4272B" w:rsidRDefault="00F3536C" w:rsidP="006B1FE4">
      <w:pPr>
        <w:rPr>
          <w:sz w:val="18"/>
          <w:szCs w:val="18"/>
          <w:lang w:val="en-US"/>
        </w:rPr>
      </w:pPr>
      <w:r w:rsidRPr="00A4272B">
        <w:rPr>
          <w:sz w:val="18"/>
          <w:szCs w:val="18"/>
          <w:lang w:val="en-US"/>
        </w:rPr>
        <w:t>Ballschmiter K. and Zell M. (1980): Analysis of Polychlorinated Biphenyls (PCBs) by Glass Capillary Gas Chromatography. Fresenius Z. Anal. Chem. 302, 20-31</w:t>
      </w:r>
      <w:r w:rsidR="00C96212" w:rsidRPr="00A4272B">
        <w:rPr>
          <w:sz w:val="18"/>
          <w:szCs w:val="18"/>
          <w:lang w:val="en-US"/>
        </w:rPr>
        <w:t>.</w:t>
      </w:r>
    </w:p>
    <w:p w14:paraId="73AFD97F" w14:textId="77777777" w:rsidR="009D0545" w:rsidRPr="00A4272B" w:rsidRDefault="009D0545" w:rsidP="009D0545">
      <w:pPr>
        <w:rPr>
          <w:sz w:val="18"/>
          <w:szCs w:val="18"/>
          <w:lang w:val="en-US"/>
        </w:rPr>
      </w:pPr>
      <w:r w:rsidRPr="00A4272B">
        <w:rPr>
          <w:sz w:val="18"/>
          <w:szCs w:val="18"/>
          <w:lang w:val="en-US"/>
        </w:rPr>
        <w:t xml:space="preserve">Ballschmiter K., Bacher R., Mennel A., Fischer R., Riehle U., and Swerev M. (1992). Determination of chlorinated biphenyls, chlorinated dibenzodioxins, and chlorinated dibenzofurans by GC-MS. J. High Resol. Chromatogr. 15:260-270. </w:t>
      </w:r>
    </w:p>
    <w:p w14:paraId="102CF665" w14:textId="77777777" w:rsidR="00F3536C" w:rsidRPr="00A4272B" w:rsidRDefault="00F3536C" w:rsidP="009D0545">
      <w:pPr>
        <w:outlineLvl w:val="2"/>
        <w:rPr>
          <w:b/>
          <w:bCs/>
          <w:sz w:val="18"/>
          <w:szCs w:val="18"/>
          <w:lang w:val="en-US"/>
        </w:rPr>
      </w:pPr>
      <w:r w:rsidRPr="00A4272B">
        <w:rPr>
          <w:b/>
          <w:bCs/>
          <w:sz w:val="18"/>
          <w:szCs w:val="18"/>
          <w:lang w:val="en-US"/>
        </w:rPr>
        <w:t>Toxaphene numbering and nomenclature:</w:t>
      </w:r>
    </w:p>
    <w:p w14:paraId="27F52C60" w14:textId="1568F915" w:rsidR="00F3536C" w:rsidRPr="00A4272B" w:rsidRDefault="00F3536C" w:rsidP="006B1FE4">
      <w:pPr>
        <w:rPr>
          <w:sz w:val="18"/>
          <w:szCs w:val="18"/>
          <w:lang w:val="en-US"/>
        </w:rPr>
      </w:pPr>
      <w:r w:rsidRPr="00A4272B">
        <w:rPr>
          <w:sz w:val="18"/>
          <w:szCs w:val="18"/>
          <w:lang w:val="en-US"/>
        </w:rPr>
        <w:t>M. Coelhan and H. Parlar (1996): The nomenclature of chlorinated bornanes and camphenes relevant to toxaphene. Chemosphere 32, 217-228</w:t>
      </w:r>
      <w:r w:rsidR="00C96212" w:rsidRPr="00A4272B">
        <w:rPr>
          <w:sz w:val="18"/>
          <w:szCs w:val="18"/>
          <w:lang w:val="en-US"/>
        </w:rPr>
        <w:t>.</w:t>
      </w:r>
    </w:p>
    <w:p w14:paraId="33583D02" w14:textId="77285C0A" w:rsidR="00F3536C" w:rsidRPr="00A4272B" w:rsidRDefault="00F3536C" w:rsidP="006B1FE4">
      <w:pPr>
        <w:rPr>
          <w:sz w:val="18"/>
          <w:szCs w:val="18"/>
          <w:lang w:val="en-US"/>
        </w:rPr>
      </w:pPr>
      <w:r w:rsidRPr="00A4272B">
        <w:rPr>
          <w:sz w:val="18"/>
          <w:szCs w:val="18"/>
          <w:lang w:val="en-US"/>
        </w:rPr>
        <w:t>WHO re-evaluation (2005): http://www.who.int/ipcs/assessment/tef_update/en/index.html</w:t>
      </w:r>
      <w:r w:rsidR="00C96212" w:rsidRPr="00A4272B">
        <w:rPr>
          <w:sz w:val="18"/>
          <w:szCs w:val="18"/>
          <w:lang w:val="en-US"/>
        </w:rPr>
        <w:t>.</w:t>
      </w:r>
    </w:p>
    <w:p w14:paraId="5B29435A" w14:textId="77777777" w:rsidR="00F3536C" w:rsidRPr="00A4272B" w:rsidRDefault="00F3536C" w:rsidP="006B1FE4">
      <w:pPr>
        <w:rPr>
          <w:sz w:val="18"/>
          <w:szCs w:val="18"/>
          <w:lang w:val="en-US"/>
        </w:rPr>
      </w:pPr>
      <w:r w:rsidRPr="00A4272B">
        <w:rPr>
          <w:sz w:val="18"/>
          <w:szCs w:val="18"/>
          <w:lang w:val="en-US"/>
        </w:rPr>
        <w:t>Van den Berg, M., Birnbaum, L.S., Denison, M., De Vito, M., Farland, W., Feeley, M., Fiedler, H., Hakansson, H., Hanberg, A., and Haws, L. (2006). The 2005 World Health Organization reevaluation of human and mammalian toxic equivalency factors for dioxins and dioxin-like compounds. Toxicological sciences 93, 223-241.</w:t>
      </w:r>
    </w:p>
    <w:p w14:paraId="5909B46D" w14:textId="77777777" w:rsidR="00F3536C" w:rsidRPr="00A4272B" w:rsidRDefault="00F3536C" w:rsidP="00766D08">
      <w:pPr>
        <w:outlineLvl w:val="1"/>
        <w:rPr>
          <w:b/>
          <w:bCs/>
          <w:sz w:val="18"/>
          <w:szCs w:val="18"/>
          <w:lang w:val="en-US"/>
        </w:rPr>
      </w:pPr>
      <w:r w:rsidRPr="00A4272B">
        <w:rPr>
          <w:b/>
          <w:bCs/>
          <w:sz w:val="18"/>
          <w:szCs w:val="18"/>
          <w:lang w:val="en-US"/>
        </w:rPr>
        <w:t>Chapter 3</w:t>
      </w:r>
    </w:p>
    <w:p w14:paraId="645BA68B" w14:textId="1271BEBD" w:rsidR="00F3536C" w:rsidRPr="00A4272B" w:rsidRDefault="00F3536C" w:rsidP="006B1FE4">
      <w:pPr>
        <w:rPr>
          <w:sz w:val="18"/>
          <w:szCs w:val="18"/>
          <w:lang w:val="en-US"/>
        </w:rPr>
      </w:pPr>
      <w:r w:rsidRPr="00A4272B">
        <w:rPr>
          <w:sz w:val="18"/>
          <w:szCs w:val="18"/>
          <w:lang w:val="en-US"/>
        </w:rPr>
        <w:t xml:space="preserve">AMAP 2014. Trends in Stockholm Convention Persistent Organic Pollutants (POPs) in Arctic Air, Human media and Biota. By: S. Wilson, H. Hung, A. Katsoyiannis, D. Kong, J. van Oostdam, F. Riget, A. Bignert. AMAP Technical Report No. 7 (2014). Arctic </w:t>
      </w:r>
      <w:r w:rsidRPr="00A4272B">
        <w:rPr>
          <w:sz w:val="18"/>
          <w:szCs w:val="18"/>
          <w:lang w:val="en-US"/>
        </w:rPr>
        <w:lastRenderedPageBreak/>
        <w:t>Monitoring and Asessment Programme (AMAP), Oslo. 54 pp. - https://oaarchive.arctic-council.org/bitstream/handle/11374/731/tr7_pops_trends_2014.pdf.pdf?sequence=1&amp;isAllowed=y</w:t>
      </w:r>
      <w:r w:rsidR="00C96212" w:rsidRPr="00A4272B">
        <w:rPr>
          <w:sz w:val="18"/>
          <w:szCs w:val="18"/>
          <w:lang w:val="en-US"/>
        </w:rPr>
        <w:t>.</w:t>
      </w:r>
      <w:r w:rsidRPr="00A4272B">
        <w:rPr>
          <w:sz w:val="18"/>
          <w:szCs w:val="18"/>
          <w:lang w:val="en-US"/>
        </w:rPr>
        <w:t xml:space="preserve"> </w:t>
      </w:r>
    </w:p>
    <w:p w14:paraId="2B110062" w14:textId="30AF1FD8" w:rsidR="00F3536C" w:rsidRPr="00A4272B" w:rsidRDefault="00F3536C" w:rsidP="006B1FE4">
      <w:pPr>
        <w:rPr>
          <w:sz w:val="18"/>
          <w:szCs w:val="18"/>
          <w:lang w:val="en-US"/>
        </w:rPr>
      </w:pPr>
      <w:r w:rsidRPr="00A4272B">
        <w:rPr>
          <w:sz w:val="18"/>
          <w:szCs w:val="18"/>
          <w:lang w:val="en-US"/>
        </w:rPr>
        <w:t>AMAP 2016. AMAP Assessment 2015: Temporal Trends in Persistent Organic Pollutants in the Arctic. Arctic Monitoring and Assessment Programme (AMAP), Oslo, Norway. vi+71pp</w:t>
      </w:r>
      <w:r w:rsidR="00C96212" w:rsidRPr="00A4272B">
        <w:rPr>
          <w:sz w:val="18"/>
          <w:szCs w:val="18"/>
          <w:lang w:val="en-US"/>
        </w:rPr>
        <w:t>.</w:t>
      </w:r>
    </w:p>
    <w:p w14:paraId="464879EE" w14:textId="77777777" w:rsidR="00F3536C" w:rsidRPr="00A4272B" w:rsidRDefault="00F3536C" w:rsidP="006B1FE4">
      <w:pPr>
        <w:rPr>
          <w:sz w:val="18"/>
          <w:szCs w:val="18"/>
          <w:lang w:val="en-US"/>
        </w:rPr>
      </w:pPr>
      <w:r w:rsidRPr="00A4272B">
        <w:rPr>
          <w:sz w:val="18"/>
          <w:szCs w:val="18"/>
          <w:lang w:val="en-US"/>
        </w:rPr>
        <w:t>Barnett V., Lewis T., 1994. Outliers in Statistical Data. Third ed. Wiley and Sons Ltd.</w:t>
      </w:r>
    </w:p>
    <w:p w14:paraId="657A807E" w14:textId="77777777" w:rsidR="00F3536C" w:rsidRPr="00A4272B" w:rsidRDefault="00F3536C" w:rsidP="006B1FE4">
      <w:pPr>
        <w:rPr>
          <w:sz w:val="18"/>
          <w:szCs w:val="18"/>
          <w:lang w:val="en-US"/>
        </w:rPr>
      </w:pPr>
      <w:r w:rsidRPr="00A4272B">
        <w:rPr>
          <w:sz w:val="18"/>
          <w:szCs w:val="18"/>
          <w:lang w:val="en-US"/>
        </w:rPr>
        <w:t>Bignert A., Göthberg A., Jensen S., Litzén K., Odsjö T., Olsson M., Reutergårdh L., 1993. The need for adequate biological sampling in ecotoxicological investigations: a retrospective study of twenty years pollution monitoring. The Science of the Total Environment, 128:121-139.</w:t>
      </w:r>
    </w:p>
    <w:p w14:paraId="27A0443B" w14:textId="77777777" w:rsidR="00F3536C" w:rsidRPr="00A4272B" w:rsidRDefault="00F3536C" w:rsidP="006B1FE4">
      <w:pPr>
        <w:rPr>
          <w:sz w:val="18"/>
          <w:szCs w:val="18"/>
          <w:lang w:val="en-US"/>
        </w:rPr>
      </w:pPr>
      <w:r w:rsidRPr="00A4272B">
        <w:rPr>
          <w:sz w:val="18"/>
          <w:szCs w:val="18"/>
          <w:lang w:val="en-US"/>
        </w:rPr>
        <w:t>Bignert A., Olsson M., de Wit C., Litzen K., Rappe Ch., Reutergårdh L., 1994. Biological variation – an important factor to consider in ecotoxicological studies based on environmental samples. Fresenius Journal of Analytical Chemistry, 348:76-85.</w:t>
      </w:r>
    </w:p>
    <w:p w14:paraId="4A6658D6" w14:textId="77777777" w:rsidR="00F3536C" w:rsidRPr="00A4272B" w:rsidRDefault="00F3536C" w:rsidP="006B1FE4">
      <w:pPr>
        <w:rPr>
          <w:sz w:val="18"/>
          <w:szCs w:val="18"/>
          <w:lang w:val="en-US"/>
        </w:rPr>
      </w:pPr>
      <w:r w:rsidRPr="00A4272B">
        <w:rPr>
          <w:sz w:val="18"/>
          <w:szCs w:val="18"/>
          <w:lang w:val="en-US"/>
        </w:rPr>
        <w:t>Bignert, A., Greyerz, E., Olsson, M., Roos, A., Asplund, L., Kärsrud, A.-S., 1998a. Similar Decreasing Rate of OCs in Both Eutrophic and Oligotrophic Environments – A Result of Atmospheric Degradation? Part II. Organohalogen Compounds, 36:459-462.</w:t>
      </w:r>
    </w:p>
    <w:p w14:paraId="536AD592" w14:textId="77777777" w:rsidR="00F3536C" w:rsidRPr="00A4272B" w:rsidRDefault="00F3536C" w:rsidP="006B1FE4">
      <w:pPr>
        <w:rPr>
          <w:sz w:val="18"/>
          <w:szCs w:val="18"/>
          <w:lang w:val="en-US"/>
        </w:rPr>
      </w:pPr>
      <w:r w:rsidRPr="00A4272B">
        <w:rPr>
          <w:sz w:val="18"/>
          <w:szCs w:val="18"/>
          <w:lang w:val="en-US"/>
        </w:rPr>
        <w:t>Bignert, A., Olsson, M., Asplund, L., Häggberg, L., 1998b. Fast Initial Decrease in Environmental Concentrations of OCs – A Result of Atmospheric Degradation? Part I. Organohalogen Compounds, 36:373-376.</w:t>
      </w:r>
    </w:p>
    <w:p w14:paraId="449014FC" w14:textId="49656A60" w:rsidR="00F3536C" w:rsidRPr="00A4272B" w:rsidRDefault="00F3536C" w:rsidP="006B1FE4">
      <w:pPr>
        <w:rPr>
          <w:sz w:val="18"/>
          <w:szCs w:val="18"/>
          <w:lang w:val="en-US"/>
        </w:rPr>
      </w:pPr>
      <w:r w:rsidRPr="00A4272B">
        <w:rPr>
          <w:sz w:val="18"/>
          <w:szCs w:val="18"/>
          <w:lang w:val="en-US"/>
        </w:rPr>
        <w:t>Bignert, A., Olsson, M., Persson, W., Jensen, S., Zakrisson, S., Litzén, K., Eriksson, U.,</w:t>
      </w:r>
      <w:r w:rsidR="00C96212" w:rsidRPr="00A4272B">
        <w:rPr>
          <w:sz w:val="18"/>
          <w:szCs w:val="18"/>
          <w:lang w:val="en-US"/>
        </w:rPr>
        <w:t xml:space="preserve"> </w:t>
      </w:r>
      <w:r w:rsidRPr="00A4272B">
        <w:rPr>
          <w:sz w:val="18"/>
          <w:szCs w:val="18"/>
          <w:lang w:val="en-US"/>
        </w:rPr>
        <w:t>Häggberg, L., Alsberg, T., 1998c. Temporal trends of organochlorines in Northern Europe, 1967-1995. Relation to global fractionation, leakage from sediments and international measures. Environmental Pollution, 99:177-198.</w:t>
      </w:r>
    </w:p>
    <w:p w14:paraId="6681E44E" w14:textId="77777777" w:rsidR="00F3536C" w:rsidRPr="00A4272B" w:rsidRDefault="00F3536C" w:rsidP="006B1FE4">
      <w:pPr>
        <w:rPr>
          <w:sz w:val="18"/>
          <w:szCs w:val="18"/>
          <w:lang w:val="en-US"/>
        </w:rPr>
      </w:pPr>
      <w:r w:rsidRPr="00A4272B">
        <w:rPr>
          <w:sz w:val="18"/>
          <w:szCs w:val="18"/>
          <w:lang w:val="en-US"/>
        </w:rPr>
        <w:t>Bignert, A., 2002. The power of ICES contaminant trend monitoring. ICES Marine Science Symposia, 215: 195-201.</w:t>
      </w:r>
    </w:p>
    <w:p w14:paraId="20207F98" w14:textId="77777777" w:rsidR="00F3536C" w:rsidRPr="00A4272B" w:rsidRDefault="00F3536C" w:rsidP="006B1FE4">
      <w:pPr>
        <w:rPr>
          <w:sz w:val="18"/>
          <w:szCs w:val="18"/>
          <w:lang w:val="en-US"/>
        </w:rPr>
      </w:pPr>
      <w:r w:rsidRPr="00A4272B">
        <w:rPr>
          <w:sz w:val="18"/>
          <w:szCs w:val="18"/>
          <w:lang w:val="en-US"/>
        </w:rPr>
        <w:t>Bignert A., Riget F, Braune B., Outridge P., Wilson S., 2004. Recent temporal trend monitoring of mercury in Arctic biota – how powerful are the existing datasets? J. Environ. Monit, 6:351 - 355.</w:t>
      </w:r>
    </w:p>
    <w:p w14:paraId="19CBBC58" w14:textId="77777777" w:rsidR="00F3536C" w:rsidRPr="00A4272B" w:rsidRDefault="00F3536C" w:rsidP="006B1FE4">
      <w:pPr>
        <w:rPr>
          <w:sz w:val="18"/>
          <w:szCs w:val="18"/>
          <w:lang w:val="en-US"/>
        </w:rPr>
      </w:pPr>
      <w:r w:rsidRPr="00A4272B">
        <w:rPr>
          <w:sz w:val="18"/>
          <w:szCs w:val="18"/>
          <w:lang w:val="en-US"/>
        </w:rPr>
        <w:t>Bjerkeng, B., 2000. The Voluntary International Contaminant-monitoring (VIC) for temporal trends with the aim to test sampling strategies for a co-operative revision of guidelines by 1999. SIME 00/4/11-E (L). Gilbert R.O., 1987. Statistical Methods for Environmental Pollution Monitoring. Van Nostrand Reinhold, New York.</w:t>
      </w:r>
    </w:p>
    <w:p w14:paraId="38053271" w14:textId="77777777" w:rsidR="00F3536C" w:rsidRPr="00A4272B" w:rsidRDefault="00F3536C" w:rsidP="006B1FE4">
      <w:pPr>
        <w:rPr>
          <w:sz w:val="18"/>
          <w:szCs w:val="18"/>
          <w:lang w:val="en-US"/>
        </w:rPr>
      </w:pPr>
      <w:r w:rsidRPr="00A4272B">
        <w:rPr>
          <w:sz w:val="18"/>
          <w:szCs w:val="18"/>
          <w:lang w:val="en-US"/>
        </w:rPr>
        <w:t>Cohen, J. 1988. Statistical Power Analysis for the Behavioural Sciences. Academic Press, New York.</w:t>
      </w:r>
    </w:p>
    <w:p w14:paraId="3A6CF4EA" w14:textId="77777777" w:rsidR="00F3536C" w:rsidRPr="00A4272B" w:rsidRDefault="00F3536C" w:rsidP="006B1FE4">
      <w:pPr>
        <w:rPr>
          <w:sz w:val="18"/>
          <w:szCs w:val="18"/>
          <w:lang w:val="en-US"/>
        </w:rPr>
      </w:pPr>
      <w:r w:rsidRPr="00A4272B">
        <w:rPr>
          <w:sz w:val="18"/>
          <w:szCs w:val="18"/>
          <w:lang w:val="en-US"/>
        </w:rPr>
        <w:t>Cressie N.A.C. (1993). Statistics for Spatial Data. Wiley &amp; Sons. 900 p.</w:t>
      </w:r>
    </w:p>
    <w:p w14:paraId="00FC8303" w14:textId="77777777" w:rsidR="00F3536C" w:rsidRPr="00A4272B" w:rsidRDefault="00F3536C" w:rsidP="006B1FE4">
      <w:pPr>
        <w:rPr>
          <w:sz w:val="18"/>
          <w:szCs w:val="18"/>
          <w:lang w:val="en-US"/>
        </w:rPr>
      </w:pPr>
      <w:r w:rsidRPr="00A4272B">
        <w:rPr>
          <w:sz w:val="18"/>
          <w:szCs w:val="18"/>
          <w:lang w:val="en-US"/>
        </w:rPr>
        <w:t>Daniels, H.E. (1950) Rank correlation and population models. Journal of Royal Statistical Society Series B, 12, 171–181.</w:t>
      </w:r>
    </w:p>
    <w:p w14:paraId="723AC0EF" w14:textId="52AEB499" w:rsidR="00F3536C" w:rsidRPr="00A4272B" w:rsidRDefault="00F3536C" w:rsidP="006B1FE4">
      <w:pPr>
        <w:rPr>
          <w:sz w:val="18"/>
          <w:szCs w:val="18"/>
          <w:lang w:val="en-US"/>
        </w:rPr>
      </w:pPr>
      <w:r w:rsidRPr="00A4272B">
        <w:rPr>
          <w:sz w:val="18"/>
          <w:szCs w:val="18"/>
          <w:lang w:val="en-US"/>
        </w:rPr>
        <w:t>Davis J.C. 1986. Statistics and Data Analysis in Geology. Wiley &amp; Sons, New York, ISBN 0-471-08079-9</w:t>
      </w:r>
      <w:r w:rsidR="00C96212" w:rsidRPr="00A4272B">
        <w:rPr>
          <w:sz w:val="18"/>
          <w:szCs w:val="18"/>
          <w:lang w:val="en-US"/>
        </w:rPr>
        <w:t>.</w:t>
      </w:r>
    </w:p>
    <w:p w14:paraId="53088F87" w14:textId="17527C09" w:rsidR="00F3536C" w:rsidRPr="00A4272B" w:rsidRDefault="00F3536C" w:rsidP="006B1FE4">
      <w:pPr>
        <w:rPr>
          <w:sz w:val="18"/>
          <w:szCs w:val="18"/>
          <w:lang w:val="en-US"/>
        </w:rPr>
      </w:pPr>
      <w:r w:rsidRPr="00A4272B">
        <w:rPr>
          <w:sz w:val="18"/>
          <w:szCs w:val="18"/>
          <w:lang w:val="en-US"/>
        </w:rPr>
        <w:t>Dixon, J.W.,</w:t>
      </w:r>
      <w:r w:rsidR="00964111" w:rsidRPr="00A4272B">
        <w:rPr>
          <w:sz w:val="18"/>
          <w:szCs w:val="18"/>
          <w:lang w:val="en-US"/>
        </w:rPr>
        <w:t xml:space="preserve"> </w:t>
      </w:r>
      <w:r w:rsidRPr="00A4272B">
        <w:rPr>
          <w:sz w:val="18"/>
          <w:szCs w:val="18"/>
          <w:lang w:val="en-US"/>
        </w:rPr>
        <w:t xml:space="preserve">F.J. Massey. 1969. Introduction to Statistical Analysis. 3rd ed. McGraw-Hill, New York. 638p. </w:t>
      </w:r>
    </w:p>
    <w:p w14:paraId="0A77196B" w14:textId="77777777" w:rsidR="00F3536C" w:rsidRPr="00A4272B" w:rsidRDefault="00F3536C" w:rsidP="006B1FE4">
      <w:pPr>
        <w:rPr>
          <w:sz w:val="18"/>
          <w:szCs w:val="18"/>
          <w:lang w:val="en-US"/>
        </w:rPr>
      </w:pPr>
      <w:r w:rsidRPr="00A4272B">
        <w:rPr>
          <w:sz w:val="18"/>
          <w:szCs w:val="18"/>
          <w:lang w:val="en-US"/>
        </w:rPr>
        <w:t>Grimås, U., Göthberg, A., Notter, M., Olsson, M., Reutergårdh, L., 1985. Fat Amount - A Factor to Consider in Monitoring Studies of Heavy Metals in Cod Liver. Ambio, 14:175 – 178.</w:t>
      </w:r>
    </w:p>
    <w:p w14:paraId="1616DC84" w14:textId="77777777" w:rsidR="00F3536C" w:rsidRPr="00A4272B" w:rsidRDefault="00F3536C" w:rsidP="006B1FE4">
      <w:pPr>
        <w:rPr>
          <w:sz w:val="18"/>
          <w:szCs w:val="18"/>
          <w:lang w:val="en-US"/>
        </w:rPr>
      </w:pPr>
      <w:r w:rsidRPr="00A4272B">
        <w:rPr>
          <w:sz w:val="18"/>
          <w:szCs w:val="18"/>
          <w:lang w:val="en-US"/>
        </w:rPr>
        <w:t>HELCOM, 1988. Guidelines for the Baltic Monitoring Programme for the Third Stage; Part C. Harmful Substances in Biota and Sediments. HELCOM, BSEP 27C.</w:t>
      </w:r>
    </w:p>
    <w:p w14:paraId="061661BD" w14:textId="77777777" w:rsidR="00F3536C" w:rsidRPr="00A4272B" w:rsidRDefault="00F3536C" w:rsidP="006B1FE4">
      <w:pPr>
        <w:rPr>
          <w:sz w:val="18"/>
          <w:szCs w:val="18"/>
          <w:lang w:val="en-US"/>
        </w:rPr>
      </w:pPr>
      <w:r w:rsidRPr="00A4272B">
        <w:rPr>
          <w:sz w:val="18"/>
          <w:szCs w:val="18"/>
          <w:lang w:val="en-US"/>
        </w:rPr>
        <w:t>Helsel, D.R., Hirsch., R.M., 1995. Statistical Methods in Water Resources, Studies in Environmental Sciences 49. Elsevier, Amsterdam.</w:t>
      </w:r>
    </w:p>
    <w:p w14:paraId="23B04277" w14:textId="77777777" w:rsidR="00F3536C" w:rsidRPr="00A4272B" w:rsidRDefault="00F3536C" w:rsidP="006B1FE4">
      <w:pPr>
        <w:rPr>
          <w:sz w:val="18"/>
          <w:szCs w:val="18"/>
          <w:lang w:val="en-US"/>
        </w:rPr>
      </w:pPr>
      <w:r w:rsidRPr="00A4272B">
        <w:rPr>
          <w:sz w:val="18"/>
          <w:szCs w:val="18"/>
          <w:lang w:val="en-US"/>
        </w:rPr>
        <w:t>Helsel, D.R., 2005. More Than Obvious: Better Methods for Interpreting Nondetect Data. Environmental Science &amp; Technology, 39 (20) 419A–423A.</w:t>
      </w:r>
    </w:p>
    <w:p w14:paraId="3BF2888D" w14:textId="77777777" w:rsidR="00F3536C" w:rsidRPr="00A4272B" w:rsidRDefault="00F3536C" w:rsidP="006B1FE4">
      <w:pPr>
        <w:rPr>
          <w:sz w:val="18"/>
          <w:szCs w:val="18"/>
          <w:lang w:val="en-US"/>
        </w:rPr>
      </w:pPr>
      <w:r w:rsidRPr="00A4272B">
        <w:rPr>
          <w:sz w:val="18"/>
          <w:szCs w:val="18"/>
          <w:lang w:val="en-US"/>
        </w:rPr>
        <w:t>Helsel, D.R., 2006. Fabricating data: How substituting values for nondetects can ruin results, and what can be done about it. Chemosphere 65 (2006) 2434–2439.</w:t>
      </w:r>
    </w:p>
    <w:p w14:paraId="626D6156" w14:textId="77777777" w:rsidR="00F3536C" w:rsidRPr="00A4272B" w:rsidRDefault="00F3536C" w:rsidP="006B1FE4">
      <w:pPr>
        <w:rPr>
          <w:sz w:val="18"/>
          <w:szCs w:val="18"/>
          <w:lang w:val="en-US"/>
        </w:rPr>
      </w:pPr>
      <w:r w:rsidRPr="00A4272B">
        <w:rPr>
          <w:sz w:val="18"/>
          <w:szCs w:val="18"/>
          <w:lang w:val="en-US"/>
        </w:rPr>
        <w:t>Hirsch, R.M., Slack, J.R. and Smith, R.A. (1982) Techniques of Trend Analysis for Monthly Water Quality Data, Water Resources Research 18(1), 107-121.</w:t>
      </w:r>
    </w:p>
    <w:p w14:paraId="193C1176" w14:textId="77777777" w:rsidR="00F3536C" w:rsidRPr="00A4272B" w:rsidRDefault="00F3536C" w:rsidP="006B1FE4">
      <w:pPr>
        <w:rPr>
          <w:sz w:val="18"/>
          <w:szCs w:val="18"/>
          <w:lang w:val="en-US"/>
        </w:rPr>
      </w:pPr>
      <w:r w:rsidRPr="00A4272B">
        <w:rPr>
          <w:sz w:val="18"/>
          <w:szCs w:val="18"/>
          <w:lang w:val="en-US"/>
        </w:rPr>
        <w:t xml:space="preserve">Holoubek, I; Klanova, J; Jarkovsky, J; Kohoutek, J (2007) Trends in background levels of persistent organic pollutants at Kosetice observatory, Czech Republic. Part I. Ambient air and wet deposition 1996-2005. Journal Of Environmental Monitoring. 9 (6), 557-563. </w:t>
      </w:r>
    </w:p>
    <w:p w14:paraId="3076A0F4" w14:textId="77777777" w:rsidR="00F3536C" w:rsidRPr="00A4272B" w:rsidRDefault="00F3536C" w:rsidP="006B1FE4">
      <w:pPr>
        <w:rPr>
          <w:sz w:val="18"/>
          <w:szCs w:val="18"/>
          <w:lang w:val="en-US"/>
        </w:rPr>
      </w:pPr>
      <w:r w:rsidRPr="00A4272B">
        <w:rPr>
          <w:sz w:val="18"/>
          <w:szCs w:val="18"/>
          <w:lang w:val="en-US"/>
        </w:rPr>
        <w:t>Hoaglin, D.C., and Welsch., R.E., 1978. The hat matrix in regression and ANOVA. Amer. Stat. 32:17-22.</w:t>
      </w:r>
    </w:p>
    <w:p w14:paraId="52097640" w14:textId="2D166DC5" w:rsidR="00F3536C" w:rsidRPr="00A4272B" w:rsidRDefault="00F3536C" w:rsidP="006B1FE4">
      <w:pPr>
        <w:rPr>
          <w:sz w:val="18"/>
          <w:szCs w:val="18"/>
          <w:lang w:val="en-US"/>
        </w:rPr>
      </w:pPr>
      <w:r w:rsidRPr="00A4272B">
        <w:rPr>
          <w:sz w:val="18"/>
          <w:szCs w:val="18"/>
          <w:lang w:val="en-US"/>
        </w:rPr>
        <w:t>Holoubek, I., Klánová, J., Jarkovský, J., Kohoutek, J</w:t>
      </w:r>
      <w:r w:rsidR="006C2EB4" w:rsidRPr="00A4272B">
        <w:rPr>
          <w:sz w:val="18"/>
          <w:szCs w:val="18"/>
          <w:lang w:val="en-US"/>
        </w:rPr>
        <w:t>.</w:t>
      </w:r>
      <w:r w:rsidRPr="00A4272B">
        <w:rPr>
          <w:sz w:val="18"/>
          <w:szCs w:val="18"/>
          <w:lang w:val="en-US"/>
        </w:rPr>
        <w:t xml:space="preserve"> 2007. Trends in background levels of persistent organic pollutants at Kosetice observatory, Czech Republic. Journal of Environmental Monitoring, 2007 (9): 557–563.</w:t>
      </w:r>
    </w:p>
    <w:p w14:paraId="500A4546" w14:textId="77777777" w:rsidR="00F3536C" w:rsidRPr="00A4272B" w:rsidRDefault="00F3536C" w:rsidP="006B1FE4">
      <w:pPr>
        <w:rPr>
          <w:sz w:val="18"/>
          <w:szCs w:val="18"/>
          <w:lang w:val="en-US"/>
        </w:rPr>
      </w:pPr>
      <w:r w:rsidRPr="00A4272B">
        <w:rPr>
          <w:sz w:val="18"/>
          <w:szCs w:val="18"/>
          <w:lang w:val="en-US"/>
        </w:rPr>
        <w:t>Holt, E., Bohlin-Nizzetto, P., Boruvkova, J., Harner, T., Kalina, J., Melymuk, L., Klanova, J., 2017. Using long-term air monitoring of semi-volatile organic compounds to evaluate the uncertainty in polyurethane-disk passive sampler-derived air concentrations. Environmental Pollution, 220 (Pt B):1100–1111.</w:t>
      </w:r>
    </w:p>
    <w:p w14:paraId="351067F8" w14:textId="77777777" w:rsidR="00F3536C" w:rsidRPr="00A4272B" w:rsidRDefault="00F3536C" w:rsidP="006B1FE4">
      <w:pPr>
        <w:rPr>
          <w:sz w:val="18"/>
          <w:szCs w:val="18"/>
          <w:lang w:val="en-US"/>
        </w:rPr>
      </w:pPr>
      <w:r w:rsidRPr="00A4272B">
        <w:rPr>
          <w:sz w:val="18"/>
          <w:szCs w:val="18"/>
          <w:lang w:val="en-US"/>
        </w:rPr>
        <w:t>Hunter, J.E. and Schmidt, F. L. 1990. Methods of meta-analysis. Correcting error and bias in research findings. Newbury Park, CA: Sage.</w:t>
      </w:r>
    </w:p>
    <w:p w14:paraId="51717141" w14:textId="77777777" w:rsidR="00F3536C" w:rsidRPr="00A4272B" w:rsidRDefault="00F3536C" w:rsidP="006B1FE4">
      <w:pPr>
        <w:rPr>
          <w:sz w:val="18"/>
          <w:szCs w:val="18"/>
          <w:lang w:val="en-US"/>
        </w:rPr>
      </w:pPr>
      <w:r w:rsidRPr="00A4272B">
        <w:rPr>
          <w:sz w:val="18"/>
          <w:szCs w:val="18"/>
          <w:lang w:val="en-US"/>
        </w:rPr>
        <w:lastRenderedPageBreak/>
        <w:t>Kalina, J., Scheringer, M., Borůvková, J., Kukučka, P., Přibylová, P., Bohlin-Nizzetto, P., Klánová, J. 2017. Passive Air Samplers As a Tool for Assessing Long-Term Trends in Atmospheric Concentrations of Semivolatile Organic Compounds. Environmental Science and Technology, 51 (12):7047–7054.</w:t>
      </w:r>
    </w:p>
    <w:p w14:paraId="0812B47E" w14:textId="77777777" w:rsidR="00F3536C" w:rsidRPr="00A4272B" w:rsidRDefault="00F3536C" w:rsidP="006B1FE4">
      <w:pPr>
        <w:rPr>
          <w:sz w:val="18"/>
          <w:szCs w:val="18"/>
          <w:lang w:val="en-US"/>
        </w:rPr>
      </w:pPr>
      <w:r w:rsidRPr="00A4272B">
        <w:rPr>
          <w:sz w:val="18"/>
          <w:szCs w:val="18"/>
          <w:lang w:val="en-US"/>
        </w:rPr>
        <w:t>Kendall, M.G. (1975) Rank Correlation Methods, Charles Griffin, London.</w:t>
      </w:r>
    </w:p>
    <w:p w14:paraId="50A2EC23" w14:textId="77777777" w:rsidR="00F3536C" w:rsidRPr="00A4272B" w:rsidRDefault="00F3536C" w:rsidP="006B1FE4">
      <w:pPr>
        <w:rPr>
          <w:sz w:val="18"/>
          <w:szCs w:val="18"/>
          <w:lang w:val="en-US"/>
        </w:rPr>
      </w:pPr>
      <w:r w:rsidRPr="00A4272B">
        <w:rPr>
          <w:sz w:val="18"/>
          <w:szCs w:val="18"/>
          <w:lang w:val="en-US"/>
        </w:rPr>
        <w:t>Libiseller, C. and Grimvall, A. (2002) Performance of Partial Mann-Kendall Test for Trend Detection in the Presence of Covariates. Environmetrics 13, 71-84.</w:t>
      </w:r>
    </w:p>
    <w:p w14:paraId="1549D48F" w14:textId="4A921BCA" w:rsidR="00F3536C" w:rsidRPr="00A4272B" w:rsidRDefault="00F3536C" w:rsidP="006B1FE4">
      <w:pPr>
        <w:rPr>
          <w:sz w:val="18"/>
          <w:szCs w:val="18"/>
          <w:lang w:val="en-US"/>
        </w:rPr>
      </w:pPr>
      <w:r w:rsidRPr="00A4272B">
        <w:rPr>
          <w:sz w:val="18"/>
          <w:szCs w:val="18"/>
          <w:lang w:val="en-US"/>
        </w:rPr>
        <w:t xml:space="preserve">Libiseller, C. (2004) MULTMK/PARTMK – A </w:t>
      </w:r>
      <w:r w:rsidR="005748BC" w:rsidRPr="00A4272B">
        <w:rPr>
          <w:sz w:val="18"/>
          <w:szCs w:val="18"/>
          <w:lang w:val="en-US"/>
        </w:rPr>
        <w:t xml:space="preserve">programme </w:t>
      </w:r>
      <w:r w:rsidRPr="00A4272B">
        <w:rPr>
          <w:sz w:val="18"/>
          <w:szCs w:val="18"/>
          <w:lang w:val="en-US"/>
        </w:rPr>
        <w:t>for the computation of multivariate and partial Mann-Kendall tests. http://www.mai.liu.se/~cllib/welcome/PMKtest.html.</w:t>
      </w:r>
    </w:p>
    <w:p w14:paraId="4C6C1D42" w14:textId="77777777" w:rsidR="00F3536C" w:rsidRPr="00A4272B" w:rsidRDefault="00F3536C" w:rsidP="006B1FE4">
      <w:pPr>
        <w:rPr>
          <w:sz w:val="18"/>
          <w:szCs w:val="18"/>
          <w:lang w:val="en-US"/>
        </w:rPr>
      </w:pPr>
      <w:r w:rsidRPr="00A4272B">
        <w:rPr>
          <w:sz w:val="18"/>
          <w:szCs w:val="18"/>
          <w:lang w:val="en-US"/>
        </w:rPr>
        <w:t>Limpert, E.; Stahel, W.; Abbt, M. (2001) Log-normal Distributions across the Sciences: Keys and Clues. BioScience. 51 (5), 341–352.</w:t>
      </w:r>
    </w:p>
    <w:p w14:paraId="6AAB465D" w14:textId="6A01FC9B" w:rsidR="00F3536C" w:rsidRPr="00A4272B" w:rsidRDefault="00F3536C" w:rsidP="006B1FE4">
      <w:pPr>
        <w:rPr>
          <w:sz w:val="18"/>
          <w:szCs w:val="18"/>
          <w:lang w:val="en-US"/>
        </w:rPr>
      </w:pPr>
      <w:r w:rsidRPr="00A4272B">
        <w:rPr>
          <w:sz w:val="18"/>
          <w:szCs w:val="18"/>
          <w:lang w:val="en-US"/>
        </w:rPr>
        <w:t xml:space="preserve">Loftis, J.C., Ward, R.C., Phillips, R.D., 1989. An Evaluation of Trend Detection Techniques for Use in Water Quality Monitoring </w:t>
      </w:r>
      <w:r w:rsidR="008F74AD" w:rsidRPr="00A4272B">
        <w:rPr>
          <w:sz w:val="18"/>
          <w:szCs w:val="18"/>
          <w:lang w:val="en-US"/>
        </w:rPr>
        <w:t>Programmes</w:t>
      </w:r>
      <w:r w:rsidRPr="00A4272B">
        <w:rPr>
          <w:sz w:val="18"/>
          <w:szCs w:val="18"/>
          <w:lang w:val="en-US"/>
        </w:rPr>
        <w:t>. EPA/600/3-89/037, p. 139.</w:t>
      </w:r>
    </w:p>
    <w:p w14:paraId="47B75260" w14:textId="77777777" w:rsidR="00F3536C" w:rsidRPr="00A4272B" w:rsidRDefault="00F3536C" w:rsidP="006B1FE4">
      <w:pPr>
        <w:rPr>
          <w:sz w:val="18"/>
          <w:szCs w:val="18"/>
          <w:lang w:val="en-US"/>
        </w:rPr>
      </w:pPr>
      <w:r w:rsidRPr="00A4272B">
        <w:rPr>
          <w:sz w:val="18"/>
          <w:szCs w:val="18"/>
          <w:lang w:val="en-US"/>
        </w:rPr>
        <w:t>Mann, H.B. (1945) Nonparametric tests against trend. Econometrica 13, 245-259.</w:t>
      </w:r>
    </w:p>
    <w:p w14:paraId="5EDFF8A0" w14:textId="77777777" w:rsidR="00F3536C" w:rsidRPr="00A4272B" w:rsidRDefault="00F3536C" w:rsidP="006B1FE4">
      <w:pPr>
        <w:rPr>
          <w:sz w:val="18"/>
          <w:szCs w:val="18"/>
          <w:lang w:val="en-US"/>
        </w:rPr>
      </w:pPr>
      <w:r w:rsidRPr="00A4272B">
        <w:rPr>
          <w:sz w:val="18"/>
          <w:szCs w:val="18"/>
          <w:lang w:val="en-US"/>
        </w:rPr>
        <w:t>Nicholson, M.D., Fryer., R., 1991. The Power of the ICES Cooperative Monitoring Programme to Detect Linear Trends and Incidents. In: Anon. Report of the Working Group on Statistical Aspects of Trend Monitoring. ICES Doc CM 1991.</w:t>
      </w:r>
    </w:p>
    <w:p w14:paraId="51520477" w14:textId="77777777" w:rsidR="00F3536C" w:rsidRPr="00B25CD5" w:rsidRDefault="00F3536C" w:rsidP="006B1FE4">
      <w:pPr>
        <w:rPr>
          <w:sz w:val="18"/>
          <w:szCs w:val="18"/>
          <w:lang w:val="fr-CH"/>
        </w:rPr>
      </w:pPr>
      <w:r w:rsidRPr="00A4272B">
        <w:rPr>
          <w:sz w:val="18"/>
          <w:szCs w:val="18"/>
          <w:lang w:val="en-US"/>
        </w:rPr>
        <w:t xml:space="preserve">Nicholson, M.D., Green N., Wilson S., 1991. Regression Models for Assessing Trends of Cadmium and PCB in Cod Livers from the Oslofjord. </w:t>
      </w:r>
      <w:r w:rsidRPr="00B25CD5">
        <w:rPr>
          <w:sz w:val="18"/>
          <w:szCs w:val="18"/>
          <w:lang w:val="fr-CH"/>
        </w:rPr>
        <w:t>Marine Pollution Bulletin, 22:77-81.</w:t>
      </w:r>
    </w:p>
    <w:p w14:paraId="52822A1D" w14:textId="77777777" w:rsidR="00F3536C" w:rsidRPr="00A4272B" w:rsidRDefault="00F3536C" w:rsidP="006B1FE4">
      <w:pPr>
        <w:rPr>
          <w:sz w:val="18"/>
          <w:szCs w:val="18"/>
          <w:lang w:val="en-US"/>
        </w:rPr>
      </w:pPr>
      <w:r w:rsidRPr="00B25CD5">
        <w:rPr>
          <w:sz w:val="18"/>
          <w:szCs w:val="18"/>
          <w:lang w:val="fr-CH"/>
        </w:rPr>
        <w:t xml:space="preserve">Nicholson, M.D., Fryer, R., Larsen, J.R. 1995. </w:t>
      </w:r>
      <w:r w:rsidRPr="00A4272B">
        <w:rPr>
          <w:sz w:val="18"/>
          <w:szCs w:val="18"/>
          <w:lang w:val="en-US"/>
        </w:rPr>
        <w:t>A Robust Method for Analysing Contaminant Trend Monitoring Data. Techniques in Marine Environmental Sciences. ICES.</w:t>
      </w:r>
    </w:p>
    <w:p w14:paraId="66966F0D" w14:textId="77777777" w:rsidR="00F3536C" w:rsidRPr="00A4272B" w:rsidRDefault="00F3536C" w:rsidP="006B1FE4">
      <w:pPr>
        <w:rPr>
          <w:sz w:val="18"/>
          <w:szCs w:val="18"/>
          <w:lang w:val="en-US"/>
        </w:rPr>
      </w:pPr>
      <w:r w:rsidRPr="00A4272B">
        <w:rPr>
          <w:sz w:val="18"/>
          <w:szCs w:val="18"/>
          <w:lang w:val="en-US"/>
        </w:rPr>
        <w:t>Nicholson, M. D., Fryer, R., Maxwell, D., 1998b. The influence of individual outlying observations on four methods of detecting trends. ICES CM 1998/E:8. Annex 8, pp.62-67.</w:t>
      </w:r>
    </w:p>
    <w:p w14:paraId="342F41BB" w14:textId="77777777" w:rsidR="00F3536C" w:rsidRPr="00A4272B" w:rsidRDefault="00F3536C" w:rsidP="006B1FE4">
      <w:pPr>
        <w:rPr>
          <w:sz w:val="18"/>
          <w:szCs w:val="18"/>
          <w:lang w:val="en-US"/>
        </w:rPr>
      </w:pPr>
      <w:r w:rsidRPr="00A4272B">
        <w:rPr>
          <w:sz w:val="18"/>
          <w:szCs w:val="18"/>
          <w:lang w:val="en-US"/>
        </w:rPr>
        <w:t>Sanka, O., Kalina, J., Lin, Y., Deutscher, J., Futter, M., Butterfield, D., Melymuk, L., Brabec, K., Nizzetto, L. 2018. Estimation of p,p’-DDT degradation in soil by modeling and constraining hydrological and biogeochemical controls. Environmental Pollution, 239:179–188.</w:t>
      </w:r>
    </w:p>
    <w:p w14:paraId="13F96E04" w14:textId="77777777" w:rsidR="00F3536C" w:rsidRPr="00A4272B" w:rsidRDefault="00F3536C" w:rsidP="006B1FE4">
      <w:pPr>
        <w:rPr>
          <w:sz w:val="18"/>
          <w:szCs w:val="18"/>
          <w:lang w:val="en-US"/>
        </w:rPr>
      </w:pPr>
      <w:r w:rsidRPr="00A4272B">
        <w:rPr>
          <w:sz w:val="18"/>
          <w:szCs w:val="18"/>
          <w:lang w:val="en-US"/>
        </w:rPr>
        <w:t>Sen, P. K. (1968) Estimates of the Regression Coefficient Based on Kendall's Tau. Journal of the American Statistical Association. 63 (324), 1379-1389.</w:t>
      </w:r>
    </w:p>
    <w:p w14:paraId="62FE4314" w14:textId="77777777" w:rsidR="00F3536C" w:rsidRPr="00A4272B" w:rsidRDefault="00F3536C" w:rsidP="006B1FE4">
      <w:pPr>
        <w:rPr>
          <w:sz w:val="18"/>
          <w:szCs w:val="18"/>
          <w:lang w:val="en-US"/>
        </w:rPr>
      </w:pPr>
      <w:r w:rsidRPr="00A4272B">
        <w:rPr>
          <w:sz w:val="18"/>
          <w:szCs w:val="18"/>
          <w:lang w:val="en-US"/>
        </w:rPr>
        <w:t>Shasha, D. (2004), High Performance Discovery in Time Series, Berlin: Springer.</w:t>
      </w:r>
    </w:p>
    <w:p w14:paraId="4F6035E0" w14:textId="77777777" w:rsidR="00F3536C" w:rsidRPr="00A4272B" w:rsidRDefault="00F3536C" w:rsidP="006B1FE4">
      <w:pPr>
        <w:rPr>
          <w:sz w:val="18"/>
          <w:szCs w:val="18"/>
          <w:lang w:val="en-US"/>
        </w:rPr>
      </w:pPr>
      <w:r w:rsidRPr="00A4272B">
        <w:rPr>
          <w:sz w:val="18"/>
          <w:szCs w:val="18"/>
          <w:lang w:val="en-US"/>
        </w:rPr>
        <w:t>Snedecor, G.W., W.G. Cochran. 1968. Statistical Methods. Iowa 1969.</w:t>
      </w:r>
    </w:p>
    <w:p w14:paraId="161C46F6" w14:textId="767E15C0" w:rsidR="00532135" w:rsidRPr="00A4272B" w:rsidRDefault="00532135" w:rsidP="00532135">
      <w:pPr>
        <w:rPr>
          <w:sz w:val="18"/>
          <w:szCs w:val="18"/>
          <w:lang w:val="en-US"/>
        </w:rPr>
      </w:pPr>
      <w:r w:rsidRPr="00A4272B">
        <w:rPr>
          <w:sz w:val="18"/>
          <w:szCs w:val="18"/>
          <w:lang w:val="en-US"/>
        </w:rPr>
        <w:t>Smedes, Foppe: Passive sampling: effective sensing of environmental quality. Dissertation thesis, Amsterdam University, 2020. ISBN: 978-80-263-1629-9. https://research.vu.nl/ws/portalfiles/portal/122278202/868148.pdf.</w:t>
      </w:r>
    </w:p>
    <w:p w14:paraId="38FFA386" w14:textId="737133F9" w:rsidR="00F3536C" w:rsidRPr="00B25CD5" w:rsidRDefault="00F3536C" w:rsidP="006B1FE4">
      <w:pPr>
        <w:rPr>
          <w:sz w:val="18"/>
          <w:szCs w:val="18"/>
          <w:lang w:val="nl-NL"/>
        </w:rPr>
      </w:pPr>
      <w:r w:rsidRPr="00A4272B">
        <w:rPr>
          <w:sz w:val="18"/>
          <w:szCs w:val="18"/>
          <w:lang w:val="en-US"/>
        </w:rPr>
        <w:t xml:space="preserve">Theil, H. (1950) A rank-invariant method of linear and polynomial regression analysis. </w:t>
      </w:r>
      <w:r w:rsidRPr="00B25CD5">
        <w:rPr>
          <w:sz w:val="18"/>
          <w:szCs w:val="18"/>
          <w:lang w:val="nl-NL"/>
        </w:rPr>
        <w:t>I, II, III. Proceedings. Akadamie van Wetenschappen Amsterdam. 53, 386–392, 521–525, 1397–1412.</w:t>
      </w:r>
    </w:p>
    <w:p w14:paraId="42311AA8" w14:textId="77777777" w:rsidR="00F3536C" w:rsidRPr="00A4272B" w:rsidRDefault="00F3536C" w:rsidP="006B1FE4">
      <w:pPr>
        <w:rPr>
          <w:sz w:val="18"/>
          <w:szCs w:val="18"/>
          <w:lang w:val="en-US"/>
        </w:rPr>
      </w:pPr>
      <w:r w:rsidRPr="00B25CD5">
        <w:rPr>
          <w:sz w:val="18"/>
          <w:szCs w:val="18"/>
          <w:lang w:val="nl-NL"/>
        </w:rPr>
        <w:t xml:space="preserve">Underwood, A.J., 1993. </w:t>
      </w:r>
      <w:r w:rsidRPr="00A4272B">
        <w:rPr>
          <w:sz w:val="18"/>
          <w:szCs w:val="18"/>
          <w:lang w:val="en-US"/>
        </w:rPr>
        <w:t>The mechanics of spatially replicated sampling programmes to detect environmental impacts in a variable world. Austr. J. Ecol., 18:99-116.</w:t>
      </w:r>
    </w:p>
    <w:p w14:paraId="70D863BD" w14:textId="77777777" w:rsidR="00F3536C" w:rsidRPr="00A4272B" w:rsidRDefault="00F3536C" w:rsidP="006B1FE4">
      <w:pPr>
        <w:rPr>
          <w:sz w:val="18"/>
          <w:szCs w:val="18"/>
          <w:lang w:val="en-US"/>
        </w:rPr>
      </w:pPr>
      <w:r w:rsidRPr="00A4272B">
        <w:rPr>
          <w:sz w:val="18"/>
          <w:szCs w:val="18"/>
          <w:lang w:val="en-US"/>
        </w:rPr>
        <w:t>Underwood, A.J., 1994. Beyond BACI: sampling designs that might reliably detect environmental disturbances. Ecol. Applic., 4:3-15.</w:t>
      </w:r>
    </w:p>
    <w:p w14:paraId="38773927" w14:textId="77777777" w:rsidR="00F3536C" w:rsidRPr="00A4272B" w:rsidRDefault="00F3536C" w:rsidP="006B1FE4">
      <w:pPr>
        <w:rPr>
          <w:sz w:val="18"/>
          <w:szCs w:val="18"/>
          <w:lang w:val="en-US"/>
        </w:rPr>
      </w:pPr>
      <w:r w:rsidRPr="00A4272B">
        <w:rPr>
          <w:sz w:val="18"/>
          <w:szCs w:val="18"/>
          <w:lang w:val="en-US"/>
        </w:rPr>
        <w:t>Underwood, A.J., 1996. Environmental Design and Analysis in Marine Environmental Sampling. Intergovernmental Oceanographic Commission Manuals and Guides No 34, UNESCO.</w:t>
      </w:r>
    </w:p>
    <w:p w14:paraId="50D871CC" w14:textId="77777777" w:rsidR="00F3536C" w:rsidRPr="00A4272B" w:rsidRDefault="00F3536C" w:rsidP="006B1FE4">
      <w:pPr>
        <w:rPr>
          <w:sz w:val="18"/>
          <w:szCs w:val="18"/>
          <w:lang w:val="en-US"/>
        </w:rPr>
      </w:pPr>
      <w:r w:rsidRPr="00A4272B">
        <w:rPr>
          <w:sz w:val="18"/>
          <w:szCs w:val="18"/>
          <w:lang w:val="en-US"/>
        </w:rPr>
        <w:t>van Belle, G. And Hughes J.P. 1984. Nonparametric tests for trend in water quality. Water Resource Research 20:127-136.</w:t>
      </w:r>
    </w:p>
    <w:p w14:paraId="152E4114" w14:textId="3D762578" w:rsidR="000B5D3E" w:rsidRPr="00A4272B" w:rsidRDefault="000B5D3E" w:rsidP="006B1FE4">
      <w:pPr>
        <w:rPr>
          <w:sz w:val="18"/>
          <w:szCs w:val="18"/>
          <w:lang w:val="en-US"/>
        </w:rPr>
      </w:pPr>
      <w:r w:rsidRPr="00A4272B">
        <w:rPr>
          <w:sz w:val="18"/>
          <w:szCs w:val="18"/>
          <w:lang w:val="en-US"/>
        </w:rPr>
        <w:t>van Buuren and Groothuis-Oudshoorn, 2011. DOI: 10.18637/jss.v045.i03.</w:t>
      </w:r>
    </w:p>
    <w:p w14:paraId="1A9276C7" w14:textId="7CB3B4DB" w:rsidR="00F3536C" w:rsidRPr="00A4272B" w:rsidRDefault="00F3536C" w:rsidP="006B1FE4">
      <w:pPr>
        <w:rPr>
          <w:sz w:val="18"/>
          <w:szCs w:val="18"/>
          <w:lang w:val="en-US"/>
        </w:rPr>
      </w:pPr>
      <w:r w:rsidRPr="00A4272B">
        <w:rPr>
          <w:sz w:val="18"/>
          <w:szCs w:val="18"/>
          <w:lang w:val="en-US"/>
        </w:rPr>
        <w:t>Weiss, J., Päpke, O., Bignert, A., Greyerz, E., Agostoni, C., Riva, E., Giovannini, M., Zetterström, R., 2003. Concentrations of dioxins and other organochlorines (PCB, DDTs, HCHs) in human milk from Seveso, Milan and a Lombardian rural area in Italy: a study performed 25 years after the heavy dioxin exposure in Seveso. Acta Pediatrica, 92: 467-472.</w:t>
      </w:r>
    </w:p>
    <w:p w14:paraId="7FE377B2" w14:textId="77777777" w:rsidR="00F3536C" w:rsidRPr="00A4272B" w:rsidRDefault="00F3536C" w:rsidP="006B1FE4">
      <w:pPr>
        <w:rPr>
          <w:sz w:val="18"/>
          <w:szCs w:val="18"/>
          <w:lang w:val="en-US"/>
        </w:rPr>
      </w:pPr>
      <w:r w:rsidRPr="00A4272B">
        <w:rPr>
          <w:sz w:val="18"/>
          <w:szCs w:val="18"/>
          <w:lang w:val="en-US"/>
        </w:rPr>
        <w:t>Wei, W. W. (1989). Time series analysis: Univariate and multivariate methods. New York: Addison-Wesley.</w:t>
      </w:r>
    </w:p>
    <w:p w14:paraId="5473EBD6" w14:textId="77777777" w:rsidR="00F3536C" w:rsidRPr="00A4272B" w:rsidRDefault="00F3536C" w:rsidP="006B1FE4">
      <w:pPr>
        <w:rPr>
          <w:sz w:val="18"/>
          <w:szCs w:val="18"/>
          <w:lang w:val="en-US"/>
        </w:rPr>
      </w:pPr>
      <w:r w:rsidRPr="00A4272B">
        <w:rPr>
          <w:sz w:val="18"/>
          <w:szCs w:val="18"/>
          <w:lang w:val="en-US"/>
        </w:rPr>
        <w:t>Zar, J.H. (2009) Biostatistical Analysis (5th Edition). Prentice Hall, Upper Saddle River, New Jersey 07458.</w:t>
      </w:r>
    </w:p>
    <w:p w14:paraId="7E2B5A76" w14:textId="77777777" w:rsidR="00F3536C" w:rsidRPr="00B25CD5" w:rsidRDefault="00F3536C" w:rsidP="00766D08">
      <w:pPr>
        <w:outlineLvl w:val="1"/>
        <w:rPr>
          <w:b/>
          <w:bCs/>
          <w:sz w:val="18"/>
          <w:szCs w:val="18"/>
          <w:lang w:val="nl-NL"/>
        </w:rPr>
      </w:pPr>
      <w:r w:rsidRPr="00B25CD5">
        <w:rPr>
          <w:b/>
          <w:bCs/>
          <w:sz w:val="18"/>
          <w:szCs w:val="18"/>
          <w:lang w:val="nl-NL"/>
        </w:rPr>
        <w:t>Chapter 4.1</w:t>
      </w:r>
    </w:p>
    <w:p w14:paraId="1F4E0A9E" w14:textId="6EB4A229" w:rsidR="00182CFD" w:rsidRPr="00A4272B" w:rsidRDefault="00182CFD" w:rsidP="006B1FE4">
      <w:pPr>
        <w:rPr>
          <w:sz w:val="18"/>
          <w:szCs w:val="18"/>
          <w:lang w:val="en-US"/>
        </w:rPr>
      </w:pPr>
      <w:r w:rsidRPr="00B25CD5">
        <w:rPr>
          <w:sz w:val="18"/>
          <w:szCs w:val="18"/>
          <w:lang w:val="nl-NL"/>
        </w:rPr>
        <w:t xml:space="preserve">Abalos, M., Abad, E., van Leeuwen, S.P.J., Lindström, G., Fiedler, H., De Boer, J., van Bavel, B. 2012. </w:t>
      </w:r>
      <w:r w:rsidRPr="00A4272B">
        <w:rPr>
          <w:sz w:val="18"/>
          <w:szCs w:val="18"/>
          <w:lang w:val="en-US"/>
        </w:rPr>
        <w:t xml:space="preserve">Results for PCDDs/PCDFs and dl-PCBs in the First Round of the Biennial Global Interlaboratory Assessment on Persistent Organic Pollutants. TrAC Trends in Analytical Chemistry; DOI: </w:t>
      </w:r>
      <w:hyperlink r:id="rId91" w:history="1">
        <w:r w:rsidR="00F10022" w:rsidRPr="00A4272B">
          <w:rPr>
            <w:rStyle w:val="Hyperlink"/>
            <w:sz w:val="18"/>
            <w:szCs w:val="18"/>
            <w:lang w:val="en-US"/>
          </w:rPr>
          <w:t>http://dx.doi.org/10.1016/j.trac.2012.11.003</w:t>
        </w:r>
      </w:hyperlink>
      <w:r w:rsidR="00F10022" w:rsidRPr="00A4272B">
        <w:rPr>
          <w:sz w:val="18"/>
          <w:szCs w:val="18"/>
          <w:lang w:val="en-US"/>
        </w:rPr>
        <w:t>.</w:t>
      </w:r>
    </w:p>
    <w:p w14:paraId="0FFA1456" w14:textId="77777777" w:rsidR="00182CFD" w:rsidRPr="00A4272B" w:rsidRDefault="00182CFD" w:rsidP="006B1FE4">
      <w:pPr>
        <w:rPr>
          <w:sz w:val="18"/>
          <w:szCs w:val="18"/>
          <w:lang w:val="en-US"/>
        </w:rPr>
      </w:pPr>
      <w:r w:rsidRPr="00A4272B">
        <w:rPr>
          <w:sz w:val="18"/>
          <w:szCs w:val="18"/>
          <w:lang w:val="en-US"/>
        </w:rPr>
        <w:t>Adu-Kumi, S., Kareš, R., Literák, J., Borůvková, J., Yeboah, O., Carboo, D., Akoto, O., Darko, G., Osae, S., Klánová, J. 2012. Levels and Seasonal Variability of Organochlorine Pesticides in Rural and Urban Background Air of Southern Ghana. Environmental Science and Pollution Research 19:1963–1970.</w:t>
      </w:r>
    </w:p>
    <w:p w14:paraId="07EADEEB" w14:textId="369BC84F" w:rsidR="00182CFD" w:rsidRPr="00A4272B" w:rsidRDefault="00182CFD" w:rsidP="006B1FE4">
      <w:pPr>
        <w:rPr>
          <w:sz w:val="18"/>
          <w:szCs w:val="18"/>
          <w:lang w:val="en-US"/>
        </w:rPr>
      </w:pPr>
      <w:r w:rsidRPr="00A4272B">
        <w:rPr>
          <w:sz w:val="18"/>
          <w:szCs w:val="18"/>
          <w:lang w:val="en-US"/>
        </w:rPr>
        <w:lastRenderedPageBreak/>
        <w:t>Aliyeva, G., Aghayeva, R., Kurkova, R., Hovorkova, I., Klanova, J., Halsall, C.: An assessment of air-soil exchange of organochlorine pesticides and polychlorinated biphenyls in Azerbaijan: passive air sampling. Environmental Science and Pollution Research (2012) 19:1953–1962</w:t>
      </w:r>
      <w:r w:rsidR="00F10022" w:rsidRPr="00A4272B">
        <w:rPr>
          <w:sz w:val="18"/>
          <w:szCs w:val="18"/>
          <w:lang w:val="en-US"/>
        </w:rPr>
        <w:t>.</w:t>
      </w:r>
    </w:p>
    <w:p w14:paraId="646A69DE" w14:textId="1353359D" w:rsidR="00182CFD" w:rsidRPr="00A4272B" w:rsidRDefault="00182CFD" w:rsidP="006B1FE4">
      <w:pPr>
        <w:rPr>
          <w:sz w:val="18"/>
          <w:szCs w:val="18"/>
          <w:lang w:val="en-US"/>
        </w:rPr>
      </w:pPr>
      <w:r w:rsidRPr="00A4272B">
        <w:rPr>
          <w:sz w:val="18"/>
          <w:szCs w:val="18"/>
          <w:lang w:val="en-US"/>
        </w:rPr>
        <w:t>AMAP 2021. AMAP Assessment 2020: POPs and Chemicals of Emerging Arctic Concern: Influence of Climate Change. Arctic Monitoring and Assessment Programme (AMAP), Tromsø, Norway. viii+134pp</w:t>
      </w:r>
      <w:r w:rsidR="00C96212" w:rsidRPr="00A4272B">
        <w:rPr>
          <w:sz w:val="18"/>
          <w:szCs w:val="18"/>
          <w:lang w:val="en-US"/>
        </w:rPr>
        <w:t>.</w:t>
      </w:r>
    </w:p>
    <w:p w14:paraId="603A6C62" w14:textId="75805511" w:rsidR="00F3536C" w:rsidRPr="00B25CD5" w:rsidRDefault="00F3536C" w:rsidP="006B1FE4">
      <w:pPr>
        <w:rPr>
          <w:sz w:val="18"/>
          <w:szCs w:val="18"/>
          <w:lang w:val="fr-CH"/>
        </w:rPr>
      </w:pPr>
      <w:r w:rsidRPr="00A4272B">
        <w:rPr>
          <w:sz w:val="18"/>
          <w:szCs w:val="18"/>
          <w:lang w:val="en-US"/>
        </w:rPr>
        <w:t>Armitage, J.M., Quinn, C.L.,</w:t>
      </w:r>
      <w:r w:rsidR="006B1FE4" w:rsidRPr="00A4272B">
        <w:rPr>
          <w:sz w:val="18"/>
          <w:szCs w:val="18"/>
          <w:lang w:val="en-US"/>
        </w:rPr>
        <w:t xml:space="preserve"> </w:t>
      </w:r>
      <w:r w:rsidRPr="00A4272B">
        <w:rPr>
          <w:sz w:val="18"/>
          <w:szCs w:val="18"/>
          <w:lang w:val="en-US"/>
        </w:rPr>
        <w:t xml:space="preserve">Wania, F. 2011. Global climate change and contaminants — an overview of opportunities and priorities for modelling the potential implications for long-term human exposure to organic compounds in the Arctic. </w:t>
      </w:r>
      <w:r w:rsidRPr="00B25CD5">
        <w:rPr>
          <w:sz w:val="18"/>
          <w:szCs w:val="18"/>
          <w:lang w:val="fr-CH"/>
        </w:rPr>
        <w:t>J. Environ. Monit. 13 (6), 1432–1546.</w:t>
      </w:r>
    </w:p>
    <w:p w14:paraId="7F7B4B8A" w14:textId="77777777" w:rsidR="00182CFD" w:rsidRPr="00A4272B" w:rsidRDefault="00182CFD" w:rsidP="006B1FE4">
      <w:pPr>
        <w:rPr>
          <w:sz w:val="18"/>
          <w:szCs w:val="18"/>
          <w:lang w:val="en-US"/>
        </w:rPr>
      </w:pPr>
      <w:r w:rsidRPr="00B25CD5">
        <w:rPr>
          <w:sz w:val="18"/>
          <w:szCs w:val="18"/>
          <w:lang w:val="fr-CH"/>
        </w:rPr>
        <w:t xml:space="preserve">Arp, H.P.H., Goss, K-U. 2008. </w:t>
      </w:r>
      <w:r w:rsidRPr="00A4272B">
        <w:rPr>
          <w:sz w:val="18"/>
          <w:szCs w:val="18"/>
          <w:lang w:val="en-US"/>
        </w:rPr>
        <w:t>Irreversible sorption of trace concentrations of perfluorocarboxylic acids to fiber filters used for air sampling. Atmos. Environ. 42, 6869-6872.</w:t>
      </w:r>
    </w:p>
    <w:p w14:paraId="76A9C623" w14:textId="1D56BAA6" w:rsidR="00182CFD" w:rsidRPr="00A4272B" w:rsidRDefault="00182CFD" w:rsidP="006B1FE4">
      <w:pPr>
        <w:rPr>
          <w:sz w:val="18"/>
          <w:szCs w:val="18"/>
          <w:lang w:val="en-US"/>
        </w:rPr>
      </w:pPr>
      <w:r w:rsidRPr="00A4272B">
        <w:rPr>
          <w:sz w:val="18"/>
          <w:szCs w:val="18"/>
          <w:lang w:val="en-US"/>
        </w:rPr>
        <w:t>Ashbaugh, L.L. A statistical trajectory technique for determining air pollution source regions. Journal of the Air Pollution Control Association 33, 1096–1098, 1983</w:t>
      </w:r>
    </w:p>
    <w:p w14:paraId="20803048" w14:textId="77777777" w:rsidR="00F3536C" w:rsidRPr="00A4272B" w:rsidRDefault="00F3536C" w:rsidP="006B1FE4">
      <w:pPr>
        <w:rPr>
          <w:sz w:val="18"/>
          <w:szCs w:val="18"/>
          <w:lang w:val="en-US"/>
        </w:rPr>
      </w:pPr>
      <w:r w:rsidRPr="00A4272B">
        <w:rPr>
          <w:sz w:val="18"/>
          <w:szCs w:val="18"/>
          <w:lang w:val="en-US"/>
        </w:rPr>
        <w:t>Becker, S., Halsall, C. J., Tych, W., Hung, H. H., Attewell, S., Blanchard, P., Li, H., Fellin, P., Stern, G., Billeck, B., Friesen, S. 2006. Resolving the long-term trends of polycyclic aromatic hydrocarbons in the Canadian arctic atmosphere. Environ. Sci. Technol. 40, 3217-3222.</w:t>
      </w:r>
    </w:p>
    <w:p w14:paraId="70C90036" w14:textId="77777777" w:rsidR="00F3536C" w:rsidRPr="00A4272B" w:rsidRDefault="00F3536C" w:rsidP="006B1FE4">
      <w:pPr>
        <w:rPr>
          <w:sz w:val="18"/>
          <w:szCs w:val="18"/>
          <w:lang w:val="en-US"/>
        </w:rPr>
      </w:pPr>
      <w:r w:rsidRPr="00A4272B">
        <w:rPr>
          <w:sz w:val="18"/>
          <w:szCs w:val="18"/>
          <w:lang w:val="en-US"/>
        </w:rPr>
        <w:t>Becker, S., Halsall, C. J., Tych, W., Su, Y., Hung, H. H., Kallenborn, R. Trend analysis of α</w:t>
      </w:r>
      <w:r w:rsidRPr="00A4272B">
        <w:rPr>
          <w:sz w:val="18"/>
          <w:szCs w:val="18"/>
          <w:lang w:val="en-US"/>
        </w:rPr>
        <w:t>- and γ-HCH air concentrations in the Norwegian Arctic. Unpublished results.</w:t>
      </w:r>
    </w:p>
    <w:p w14:paraId="6A1A1173" w14:textId="77777777" w:rsidR="00F3536C" w:rsidRPr="00A4272B" w:rsidRDefault="00F3536C" w:rsidP="006B1FE4">
      <w:pPr>
        <w:rPr>
          <w:sz w:val="18"/>
          <w:szCs w:val="18"/>
          <w:lang w:val="en-US"/>
        </w:rPr>
      </w:pPr>
      <w:r w:rsidRPr="00A4272B">
        <w:rPr>
          <w:sz w:val="18"/>
          <w:szCs w:val="18"/>
          <w:lang w:val="en-US"/>
        </w:rPr>
        <w:t>Beyer, A., Mackay, D., Matthies, M., Wania, F., Wenster, E. 2000. Assessing long-range transport potential of persistent organic pollutants. Environ. Sci. Technol. 34, 699-703.</w:t>
      </w:r>
    </w:p>
    <w:p w14:paraId="051C501B" w14:textId="77777777" w:rsidR="00F3536C" w:rsidRPr="00A4272B" w:rsidRDefault="00F3536C" w:rsidP="006B1FE4">
      <w:pPr>
        <w:rPr>
          <w:sz w:val="18"/>
          <w:szCs w:val="18"/>
          <w:lang w:val="en-US"/>
        </w:rPr>
      </w:pPr>
      <w:r w:rsidRPr="00A4272B">
        <w:rPr>
          <w:sz w:val="18"/>
          <w:szCs w:val="18"/>
          <w:lang w:val="en-US"/>
        </w:rPr>
        <w:t>Bidleman, T., Harner, T. 2000. Sorption to aerosols, Ch. 10 pp. 233-261, In: Handbook of property estimation methods for chemicals. Eds. Boethling, R. S., Mackay, D. Lewis.</w:t>
      </w:r>
    </w:p>
    <w:p w14:paraId="2A39E1CB" w14:textId="77777777" w:rsidR="00F3536C" w:rsidRPr="00A4272B" w:rsidRDefault="00F3536C" w:rsidP="006B1FE4">
      <w:pPr>
        <w:rPr>
          <w:sz w:val="18"/>
          <w:szCs w:val="18"/>
          <w:lang w:val="en-US"/>
        </w:rPr>
      </w:pPr>
      <w:r w:rsidRPr="00A4272B">
        <w:rPr>
          <w:sz w:val="18"/>
          <w:szCs w:val="18"/>
          <w:lang w:val="en-US"/>
        </w:rPr>
        <w:t>Bidleman, T. F. and Tysklind, M. 2018. Breakthrough during air sampling with polyurethane foam: What do PUF2/PUF1 ratios mean? Chemosphere 192: 267-271.</w:t>
      </w:r>
    </w:p>
    <w:p w14:paraId="0997F540" w14:textId="77777777" w:rsidR="00F3536C" w:rsidRPr="00A4272B" w:rsidRDefault="00F3536C" w:rsidP="006B1FE4">
      <w:pPr>
        <w:rPr>
          <w:sz w:val="18"/>
          <w:szCs w:val="18"/>
          <w:lang w:val="en-US"/>
        </w:rPr>
      </w:pPr>
      <w:r w:rsidRPr="00A4272B">
        <w:rPr>
          <w:sz w:val="18"/>
          <w:szCs w:val="18"/>
          <w:lang w:val="en-US"/>
        </w:rPr>
        <w:t>Bogdal, C., Abad, E., Abalos, M., van Bavel, B., Hagberg, J., Scheringer, M., and Fiedler, H. 2013. Worldwide distribution of persistent organic pollutants in air, including results of air monitoring by passive air sampling in five continents. TrAC-Trends in Analytical Chemistry 46, 150-161.</w:t>
      </w:r>
    </w:p>
    <w:p w14:paraId="25A85D30" w14:textId="77777777" w:rsidR="00F3536C" w:rsidRPr="00A4272B" w:rsidRDefault="00F3536C" w:rsidP="006B1FE4">
      <w:pPr>
        <w:rPr>
          <w:sz w:val="18"/>
          <w:szCs w:val="18"/>
          <w:lang w:val="en-US"/>
        </w:rPr>
      </w:pPr>
      <w:r w:rsidRPr="00A4272B">
        <w:rPr>
          <w:sz w:val="18"/>
          <w:szCs w:val="18"/>
          <w:lang w:val="en-US"/>
        </w:rPr>
        <w:t>Bohlin P, Audy O, Škrdlíková L, Kukučka P, Přibylová P, Prokeš R, Klánová J. 2014. Outdoor passive air monitoring of semivolatile organic compounds (SVOCs): a critical evaluation of performance and limitations of polyurethane foam (PUF) disks. Environmental Science: Processes and Impacts 16 (3): 433-444.</w:t>
      </w:r>
    </w:p>
    <w:p w14:paraId="470BB21C" w14:textId="77777777" w:rsidR="00F3536C" w:rsidRPr="00A4272B" w:rsidRDefault="00F3536C" w:rsidP="006B1FE4">
      <w:pPr>
        <w:rPr>
          <w:sz w:val="18"/>
          <w:szCs w:val="18"/>
          <w:lang w:val="en-US"/>
        </w:rPr>
      </w:pPr>
      <w:r w:rsidRPr="00A4272B">
        <w:rPr>
          <w:sz w:val="18"/>
          <w:szCs w:val="18"/>
          <w:lang w:val="en-US"/>
        </w:rPr>
        <w:t xml:space="preserve">Bohlin, P., Audy, O., Škrdlíková, L., Kukučka, P., Vojta, Š., Přibylová, P., Prokeš, R., Čupr, P., Klánová, J. 2014b. Evaluation and guidelines for using polyurethane foam (PUF) passive air samplers in double-dome chambers to assess semi volatile organic compounds (SVOCs) in non-industrial indoor environments. Environmental Science: Processes and Impacts 16 (11), 2617 - 2626. </w:t>
      </w:r>
    </w:p>
    <w:p w14:paraId="7FFFDAEE" w14:textId="7A3C8E51" w:rsidR="00182CFD" w:rsidRPr="00A4272B" w:rsidRDefault="00182CFD" w:rsidP="006B1FE4">
      <w:pPr>
        <w:rPr>
          <w:sz w:val="18"/>
          <w:szCs w:val="18"/>
          <w:lang w:val="en-US"/>
        </w:rPr>
      </w:pPr>
      <w:r w:rsidRPr="00B25CD5">
        <w:rPr>
          <w:sz w:val="18"/>
          <w:szCs w:val="18"/>
          <w:lang w:val="de-DE"/>
        </w:rPr>
        <w:t xml:space="preserve">Breivik, K., McLachlan, M.S., Wania, F. 2022. </w:t>
      </w:r>
      <w:r w:rsidRPr="00A4272B">
        <w:rPr>
          <w:sz w:val="18"/>
          <w:szCs w:val="18"/>
          <w:lang w:val="en-US"/>
        </w:rPr>
        <w:t xml:space="preserve">The Emissions Fractions Approach to Assessing the Long-Range Transport Potential of Organic Chemicals. Environmental Science and Technology, 56: 11983-11990. </w:t>
      </w:r>
      <w:hyperlink r:id="rId92" w:history="1">
        <w:r w:rsidRPr="00A4272B">
          <w:rPr>
            <w:rStyle w:val="Hyperlink"/>
            <w:sz w:val="18"/>
            <w:szCs w:val="18"/>
            <w:lang w:val="en-US"/>
          </w:rPr>
          <w:t>https://doi.org/10.1021/acs.est.2c03047</w:t>
        </w:r>
      </w:hyperlink>
      <w:r w:rsidR="00C96212" w:rsidRPr="00A4272B">
        <w:rPr>
          <w:lang w:val="en-US"/>
        </w:rPr>
        <w:t>.</w:t>
      </w:r>
    </w:p>
    <w:p w14:paraId="157EEAAE" w14:textId="4B48105C" w:rsidR="00182CFD" w:rsidRPr="00A4272B" w:rsidRDefault="00182CFD" w:rsidP="006B1FE4">
      <w:pPr>
        <w:rPr>
          <w:sz w:val="18"/>
          <w:szCs w:val="18"/>
          <w:lang w:val="en-US"/>
        </w:rPr>
      </w:pPr>
      <w:r w:rsidRPr="00A4272B">
        <w:rPr>
          <w:sz w:val="18"/>
          <w:szCs w:val="18"/>
          <w:lang w:val="en-US"/>
        </w:rPr>
        <w:t>Breivik, K., McLachlan, M.S., Wania, F., 2023. Added value of the emissions fractions approach when assessing a chemical’s potential for adverse effects as a result of long-range transport. Environmental Science Advances, 2: 1360-1371 https://doi.org/10.1039/d3va00189j</w:t>
      </w:r>
      <w:r w:rsidR="00C96212" w:rsidRPr="00A4272B">
        <w:rPr>
          <w:sz w:val="18"/>
          <w:szCs w:val="18"/>
          <w:lang w:val="en-US"/>
        </w:rPr>
        <w:t>.</w:t>
      </w:r>
    </w:p>
    <w:p w14:paraId="40FDBF65" w14:textId="77777777" w:rsidR="00182CFD" w:rsidRPr="00A4272B" w:rsidRDefault="00182CFD" w:rsidP="006B1FE4">
      <w:pPr>
        <w:rPr>
          <w:sz w:val="18"/>
          <w:szCs w:val="18"/>
          <w:lang w:val="en-US"/>
        </w:rPr>
      </w:pPr>
      <w:r w:rsidRPr="00A4272B">
        <w:rPr>
          <w:sz w:val="18"/>
          <w:szCs w:val="18"/>
          <w:lang w:val="en-US"/>
        </w:rPr>
        <w:t>Bor</w:t>
      </w:r>
      <w:hyperlink r:id="rId93" w:history="1">
        <w:r w:rsidRPr="00A4272B">
          <w:rPr>
            <w:rStyle w:val="Hyperlink"/>
            <w:sz w:val="18"/>
            <w:szCs w:val="18"/>
            <w:lang w:val="en-US"/>
          </w:rPr>
          <w:t>gå</w:t>
        </w:r>
      </w:hyperlink>
      <w:r w:rsidRPr="00A4272B">
        <w:rPr>
          <w:sz w:val="18"/>
          <w:szCs w:val="18"/>
          <w:lang w:val="en-US"/>
        </w:rPr>
        <w:t>, K,. McKinney, M. A., Routti, H., Fernie, K. J., Giebichenstein, J., Hallanger, I., Muir, D. C. G. The influence of global climate change on accumulation and toxicity of persistent organic pollutants and chemicals of emerging concern in Arctic food webs. Environ. Sci.: Processes Impacts,24, 1544-1576, 2022.</w:t>
      </w:r>
    </w:p>
    <w:p w14:paraId="26BCB470" w14:textId="77777777" w:rsidR="00F3536C" w:rsidRPr="00A4272B" w:rsidRDefault="00F3536C" w:rsidP="006B1FE4">
      <w:pPr>
        <w:rPr>
          <w:sz w:val="18"/>
          <w:szCs w:val="18"/>
          <w:lang w:val="en-US"/>
        </w:rPr>
      </w:pPr>
      <w:r w:rsidRPr="00A4272B">
        <w:rPr>
          <w:sz w:val="18"/>
          <w:szCs w:val="18"/>
          <w:lang w:val="en-US"/>
        </w:rPr>
        <w:t>Breivik, K., Wania, F., 2002. Evaluating a model of the historical behaviour of two hexachlorocyclohexanes in the Baltic Sea environment. Environ. Sci. Technol., 36:1014-1023.</w:t>
      </w:r>
    </w:p>
    <w:p w14:paraId="717872CF" w14:textId="77777777" w:rsidR="00182CFD" w:rsidRPr="00A4272B" w:rsidRDefault="00182CFD" w:rsidP="006B1FE4">
      <w:pPr>
        <w:rPr>
          <w:sz w:val="18"/>
          <w:szCs w:val="18"/>
          <w:lang w:val="en-US"/>
        </w:rPr>
      </w:pPr>
      <w:r w:rsidRPr="00A4272B">
        <w:rPr>
          <w:sz w:val="18"/>
          <w:szCs w:val="18"/>
          <w:lang w:val="en-US"/>
        </w:rPr>
        <w:t>Chai, L., Zhou, Y., Wang, X. Impact of global warming on regional cycling of mercury and persistent organic pollutants on the Tibetan Plateau: current progress and future prospects. Environ. Sci.: Processes Impacts, 24, 1616-1630, 2022.</w:t>
      </w:r>
    </w:p>
    <w:p w14:paraId="65601BFF" w14:textId="77777777" w:rsidR="00535F65" w:rsidRPr="00A4272B" w:rsidRDefault="00535F65" w:rsidP="006B1FE4">
      <w:pPr>
        <w:rPr>
          <w:sz w:val="18"/>
          <w:szCs w:val="18"/>
          <w:lang w:val="en-US"/>
        </w:rPr>
      </w:pPr>
      <w:r w:rsidRPr="00A4272B">
        <w:rPr>
          <w:sz w:val="18"/>
          <w:szCs w:val="18"/>
          <w:lang w:val="en-US"/>
        </w:rPr>
        <w:t>Corsolini, S. and Ademollo, N. POPs in Antarctic ecosystems: is climate change affecting their temporal trends? Environ. Sci.: Processes Impacts, 24, 1631-1642, 2022.</w:t>
      </w:r>
    </w:p>
    <w:p w14:paraId="3063057B" w14:textId="77777777" w:rsidR="00F3536C" w:rsidRPr="00A4272B" w:rsidRDefault="00F3536C" w:rsidP="006B1FE4">
      <w:pPr>
        <w:rPr>
          <w:sz w:val="18"/>
          <w:szCs w:val="18"/>
          <w:lang w:val="en-US"/>
        </w:rPr>
      </w:pPr>
      <w:r w:rsidRPr="00A4272B">
        <w:rPr>
          <w:sz w:val="18"/>
          <w:szCs w:val="18"/>
          <w:lang w:val="en-US"/>
        </w:rPr>
        <w:t>Čupr, P., Klánová, J., Bartoš, T., Flégrová, Z., Kohoutek, J., Holoubek, I. 2006. Passive air sampler as a tool for long-term air pollution monitoring: Part 2. Air genotoxic potency screening assessment. Environmental Pollution 144 (2), 406-413.</w:t>
      </w:r>
    </w:p>
    <w:p w14:paraId="61D5FC86" w14:textId="77777777" w:rsidR="00F3536C" w:rsidRPr="00A4272B" w:rsidRDefault="00F3536C" w:rsidP="006B1FE4">
      <w:pPr>
        <w:rPr>
          <w:sz w:val="18"/>
          <w:szCs w:val="18"/>
          <w:lang w:val="en-US"/>
        </w:rPr>
      </w:pPr>
      <w:r w:rsidRPr="00A4272B">
        <w:rPr>
          <w:sz w:val="18"/>
          <w:szCs w:val="18"/>
          <w:lang w:val="en-US"/>
        </w:rPr>
        <w:t xml:space="preserve">Čupr, P., Flegrová, Z., Franců, J., Landlová, L., Klánová, J. 2013. Mineralogical, chemical and toxicological characterization of urban air particles. Environment International 54, 26-34. </w:t>
      </w:r>
    </w:p>
    <w:p w14:paraId="69458D66" w14:textId="58C8CB6D" w:rsidR="00F3536C" w:rsidRPr="00B25CD5" w:rsidRDefault="00F3536C" w:rsidP="006B1FE4">
      <w:pPr>
        <w:rPr>
          <w:sz w:val="18"/>
          <w:szCs w:val="18"/>
          <w:lang w:val="nl-NL"/>
        </w:rPr>
      </w:pPr>
      <w:r w:rsidRPr="00B25CD5">
        <w:rPr>
          <w:sz w:val="18"/>
          <w:szCs w:val="18"/>
          <w:lang w:val="pt-PT"/>
        </w:rPr>
        <w:t xml:space="preserve">Daly, G. L., Y. D. Lei, C. Teixeira, D.C.G. Muir, L. E. Castillo, L.M.M. Jantunen, F. Wania, 2007. </w:t>
      </w:r>
      <w:r w:rsidRPr="00A4272B">
        <w:rPr>
          <w:sz w:val="18"/>
          <w:szCs w:val="18"/>
          <w:lang w:val="en-US"/>
        </w:rPr>
        <w:t xml:space="preserve">Organochlorine pesticides in soils and atmosphere of Costa Rica. Environ. </w:t>
      </w:r>
      <w:r w:rsidRPr="00B25CD5">
        <w:rPr>
          <w:sz w:val="18"/>
          <w:szCs w:val="18"/>
          <w:lang w:val="nl-NL"/>
        </w:rPr>
        <w:t xml:space="preserve">Sci. </w:t>
      </w:r>
      <w:r w:rsidR="00002B29" w:rsidRPr="00B25CD5">
        <w:rPr>
          <w:sz w:val="18"/>
          <w:szCs w:val="18"/>
          <w:lang w:val="nl-NL"/>
        </w:rPr>
        <w:t>Technol.,</w:t>
      </w:r>
      <w:r w:rsidRPr="00B25CD5">
        <w:rPr>
          <w:sz w:val="18"/>
          <w:szCs w:val="18"/>
          <w:lang w:val="nl-NL"/>
        </w:rPr>
        <w:t xml:space="preserve"> </w:t>
      </w:r>
      <w:r w:rsidR="00002B29" w:rsidRPr="00B25CD5">
        <w:rPr>
          <w:sz w:val="18"/>
          <w:szCs w:val="18"/>
          <w:lang w:val="nl-NL"/>
        </w:rPr>
        <w:t>41: 7339-7350</w:t>
      </w:r>
      <w:r w:rsidRPr="00B25CD5">
        <w:rPr>
          <w:sz w:val="18"/>
          <w:szCs w:val="18"/>
          <w:lang w:val="nl-NL"/>
        </w:rPr>
        <w:t>.</w:t>
      </w:r>
    </w:p>
    <w:p w14:paraId="2C4E7166" w14:textId="77777777" w:rsidR="00F3536C" w:rsidRPr="00A4272B" w:rsidRDefault="00F3536C" w:rsidP="006B1FE4">
      <w:pPr>
        <w:rPr>
          <w:sz w:val="18"/>
          <w:szCs w:val="18"/>
          <w:lang w:val="en-US"/>
        </w:rPr>
      </w:pPr>
      <w:r w:rsidRPr="00B25CD5">
        <w:rPr>
          <w:sz w:val="18"/>
          <w:szCs w:val="18"/>
          <w:lang w:val="nl-NL"/>
        </w:rPr>
        <w:t xml:space="preserve">de Boer, J., Leslie, H., van Leeuwen, S.P.J., Wegener, J.W., van Bavel, B., Lindstrom, G., Lahoutifard, N., and Fiedler, H. 2008. </w:t>
      </w:r>
      <w:r w:rsidRPr="00A4272B">
        <w:rPr>
          <w:sz w:val="18"/>
          <w:szCs w:val="18"/>
          <w:lang w:val="en-US"/>
        </w:rPr>
        <w:t>United Nations Environment Programme Capacity Building Pilot Project - Training and interlaboratory study on persistent organic pollutant analysis under the Stockholm Convention. Analytica Chimica Acta 617, 208-215.</w:t>
      </w:r>
    </w:p>
    <w:p w14:paraId="58612CBF" w14:textId="77777777" w:rsidR="00F3536C" w:rsidRPr="00A4272B" w:rsidRDefault="00F3536C" w:rsidP="006B1FE4">
      <w:pPr>
        <w:rPr>
          <w:sz w:val="18"/>
          <w:szCs w:val="18"/>
          <w:lang w:val="en-US"/>
        </w:rPr>
      </w:pPr>
      <w:r w:rsidRPr="00B25CD5">
        <w:rPr>
          <w:sz w:val="18"/>
          <w:szCs w:val="18"/>
          <w:lang w:val="nb-NO"/>
        </w:rPr>
        <w:lastRenderedPageBreak/>
        <w:t xml:space="preserve">Degrendele, C., Okonski, K., Melymuk, L., Landova, L., Kukucka, P., Cupr, P., Klanova, J. 2014. </w:t>
      </w:r>
      <w:r w:rsidRPr="00A4272B">
        <w:rPr>
          <w:sz w:val="18"/>
          <w:szCs w:val="18"/>
          <w:lang w:val="en-US"/>
        </w:rPr>
        <w:t>Size specific distribution of the atmospheric particulate PCDD/Fs, dl-PCBs and PAHs on a seasonal scale: Implications for cancer risks from inhalation. Atmos. Environ. 98, 410-416.</w:t>
      </w:r>
    </w:p>
    <w:p w14:paraId="42FEF67E" w14:textId="77777777" w:rsidR="00182CFD" w:rsidRPr="00A4272B" w:rsidRDefault="00182CFD" w:rsidP="006B1FE4">
      <w:pPr>
        <w:rPr>
          <w:sz w:val="18"/>
          <w:szCs w:val="18"/>
          <w:lang w:val="en-US"/>
        </w:rPr>
      </w:pPr>
      <w:r w:rsidRPr="00A4272B">
        <w:rPr>
          <w:sz w:val="18"/>
          <w:szCs w:val="18"/>
          <w:lang w:val="en-US"/>
        </w:rPr>
        <w:t>De Wit, C. A., Vorkamp, K., Muir, D. Influence of climate change on persistent organic pollutants and chemicals of emerging concern in the Arctic: state of knowledge and recommendations for future research. Environ. Sci.: Processes Impacts, 24, 1530-1543, 2022.</w:t>
      </w:r>
    </w:p>
    <w:p w14:paraId="22FE7B4C" w14:textId="77777777" w:rsidR="00F3536C" w:rsidRPr="00A4272B" w:rsidRDefault="00F3536C" w:rsidP="006B1FE4">
      <w:pPr>
        <w:rPr>
          <w:sz w:val="18"/>
          <w:szCs w:val="18"/>
          <w:lang w:val="en-US"/>
        </w:rPr>
      </w:pPr>
      <w:r w:rsidRPr="00A4272B">
        <w:rPr>
          <w:sz w:val="18"/>
          <w:szCs w:val="18"/>
          <w:lang w:val="en-US"/>
        </w:rPr>
        <w:t>Dreyer, A., Shoeib, M., Fiedler, S., Barber, J., Harner, T., Schramm, K-W., Jones, K.C., Ebinhaus, R. 2010. Field intercomparison on the dtermination of volatile and semivolatile polyfluorinated compounds in air. Environ. Chem. 7, 350-358.</w:t>
      </w:r>
    </w:p>
    <w:p w14:paraId="405FD51E" w14:textId="77777777" w:rsidR="001175A0" w:rsidRPr="00B25CD5" w:rsidRDefault="00182CFD" w:rsidP="006B1FE4">
      <w:pPr>
        <w:rPr>
          <w:sz w:val="18"/>
          <w:szCs w:val="18"/>
          <w:lang w:val="es-ES"/>
        </w:rPr>
      </w:pPr>
      <w:r w:rsidRPr="00A4272B">
        <w:rPr>
          <w:sz w:val="18"/>
          <w:szCs w:val="18"/>
          <w:lang w:val="en-US"/>
        </w:rPr>
        <w:t xml:space="preserve">Dvorská A., Lammel G., Holoubek I. Recent trends of persistent organic pollutants in air in Europe - Air monitoring in combination with air mass trajectory statistics as a tool to study the effectivity of regional chemical policy. </w:t>
      </w:r>
      <w:r w:rsidRPr="00B25CD5">
        <w:rPr>
          <w:sz w:val="18"/>
          <w:szCs w:val="18"/>
          <w:lang w:val="es-ES"/>
        </w:rPr>
        <w:t>Atmos. Environ. 43, 1280-1287, 2009.</w:t>
      </w:r>
    </w:p>
    <w:p w14:paraId="17CCD945" w14:textId="77777777" w:rsidR="00F3536C" w:rsidRPr="00A4272B" w:rsidRDefault="00F3536C" w:rsidP="006B1FE4">
      <w:pPr>
        <w:rPr>
          <w:sz w:val="18"/>
          <w:szCs w:val="18"/>
          <w:lang w:val="en-US"/>
        </w:rPr>
      </w:pPr>
      <w:r w:rsidRPr="00B25CD5">
        <w:rPr>
          <w:sz w:val="18"/>
          <w:szCs w:val="18"/>
          <w:lang w:val="es-ES"/>
        </w:rPr>
        <w:t xml:space="preserve">Eng, A., Su, K., Harner, T., Pozo, K., Sinha, R.K., Sengupta, B., Loewen, M. 2016. </w:t>
      </w:r>
      <w:r w:rsidRPr="00A4272B">
        <w:rPr>
          <w:sz w:val="18"/>
          <w:szCs w:val="18"/>
          <w:lang w:val="en-US"/>
        </w:rPr>
        <w:t>Assessing Dicofol concentrations in air: retrospective analysis of global atmsopheric passive sampling network samples from agricultural sites in India. Environ. Sci. Technol. Letters 3, 150-155.</w:t>
      </w:r>
    </w:p>
    <w:p w14:paraId="28B7EA8F" w14:textId="77777777" w:rsidR="00F3536C" w:rsidRPr="00A4272B" w:rsidRDefault="00F3536C" w:rsidP="006B1FE4">
      <w:pPr>
        <w:rPr>
          <w:sz w:val="18"/>
          <w:szCs w:val="18"/>
          <w:lang w:val="en-US"/>
        </w:rPr>
      </w:pPr>
      <w:r w:rsidRPr="00A4272B">
        <w:rPr>
          <w:sz w:val="18"/>
          <w:szCs w:val="18"/>
          <w:lang w:val="en-US"/>
        </w:rPr>
        <w:t>Environment Canada, 1994. Great Lakes Water Quality Agreement Annex 15, Integrated Atmospheric Deposition Network Sampling Protocol Manual, Report #ARD 94-003.</w:t>
      </w:r>
    </w:p>
    <w:p w14:paraId="32AE3628" w14:textId="77777777" w:rsidR="00F3536C" w:rsidRPr="00A4272B" w:rsidRDefault="00F3536C" w:rsidP="006B1FE4">
      <w:pPr>
        <w:rPr>
          <w:sz w:val="18"/>
          <w:szCs w:val="18"/>
          <w:lang w:val="en-US"/>
        </w:rPr>
      </w:pPr>
      <w:r w:rsidRPr="00A4272B">
        <w:rPr>
          <w:sz w:val="18"/>
          <w:szCs w:val="18"/>
          <w:lang w:val="en-US"/>
        </w:rPr>
        <w:t xml:space="preserve">Érseková, A., Hilscherová, K., Klánová, J., Giesy. J. P., Novák, J. 2014. Effect-based assessment of passive air samples from four countries in Eastern Europe. Environmental Monitoring and Assessment 186, 6, 3905-3916. </w:t>
      </w:r>
    </w:p>
    <w:p w14:paraId="60607DF0" w14:textId="77777777" w:rsidR="00F3536C" w:rsidRPr="00A4272B" w:rsidRDefault="00F3536C" w:rsidP="006B1FE4">
      <w:pPr>
        <w:rPr>
          <w:sz w:val="18"/>
          <w:szCs w:val="18"/>
          <w:lang w:val="en-US"/>
        </w:rPr>
      </w:pPr>
      <w:r w:rsidRPr="00A4272B">
        <w:rPr>
          <w:sz w:val="18"/>
          <w:szCs w:val="18"/>
          <w:lang w:val="en-US"/>
        </w:rPr>
        <w:t>Fellin, P., Barrie, L. A., Dougherty, D., Toom, D., Muir, D., Grift, N., Lockhart, L. and Billeck, B., 1996. Air monitoring in the Arctic; results for selected persistent organic pollutants for 1992. Environ. Toxicol. Chem., 15: 253-261.</w:t>
      </w:r>
    </w:p>
    <w:p w14:paraId="70CC3F1E" w14:textId="77777777" w:rsidR="00F3536C" w:rsidRPr="00A4272B" w:rsidRDefault="00F3536C" w:rsidP="006B1FE4">
      <w:pPr>
        <w:rPr>
          <w:sz w:val="18"/>
          <w:szCs w:val="18"/>
          <w:lang w:val="en-US"/>
        </w:rPr>
      </w:pPr>
      <w:r w:rsidRPr="00A4272B">
        <w:rPr>
          <w:sz w:val="18"/>
          <w:szCs w:val="18"/>
          <w:lang w:val="en-US"/>
        </w:rPr>
        <w:t>Fiedler, H., Abad, E., van Bavel, B., de Boer, J., Bogdal, C., and Malisch, R. 2013. The need for capacity building and first results for the Stockholm Convention Global Monitoring Plan. TrAC-Trends in Analytical Chemistry 46, 72-84.</w:t>
      </w:r>
    </w:p>
    <w:p w14:paraId="669E676B" w14:textId="77777777" w:rsidR="00F3536C" w:rsidRPr="00A4272B" w:rsidRDefault="00F3536C" w:rsidP="006B1FE4">
      <w:pPr>
        <w:rPr>
          <w:sz w:val="18"/>
          <w:szCs w:val="18"/>
          <w:lang w:val="en-US"/>
        </w:rPr>
      </w:pPr>
      <w:r w:rsidRPr="00A4272B">
        <w:rPr>
          <w:sz w:val="18"/>
          <w:szCs w:val="18"/>
          <w:lang w:val="en-US"/>
        </w:rPr>
        <w:t>Fiedler, H., Abad, E., Martrat, G., van Bavel, B., Ericsson, I., and de Boer, J. 2014. New POPs in Ambient Air Samples Using Passive Air Samplers. Organohalogen Compd 76, 1533-1536.</w:t>
      </w:r>
    </w:p>
    <w:p w14:paraId="65F26815" w14:textId="77777777" w:rsidR="00F3536C" w:rsidRPr="00A4272B" w:rsidRDefault="00F3536C" w:rsidP="006B1FE4">
      <w:pPr>
        <w:rPr>
          <w:sz w:val="18"/>
          <w:szCs w:val="18"/>
          <w:lang w:val="en-US"/>
        </w:rPr>
      </w:pPr>
      <w:r w:rsidRPr="00A4272B">
        <w:rPr>
          <w:sz w:val="18"/>
          <w:szCs w:val="18"/>
          <w:lang w:val="en-US"/>
        </w:rPr>
        <w:t>Fiedler, H., de Boer, J., and van der Veen, I. 2017. Bi-ennial Global Interlaboratory Assessment on Persistent Organic Pollutants - Round 3 2016/2017, U. Environment, ed.</w:t>
      </w:r>
    </w:p>
    <w:p w14:paraId="1F8FE345" w14:textId="77777777" w:rsidR="00F3536C" w:rsidRPr="00A4272B" w:rsidRDefault="00F3536C" w:rsidP="006B1FE4">
      <w:pPr>
        <w:rPr>
          <w:sz w:val="18"/>
          <w:szCs w:val="18"/>
          <w:lang w:val="en-US"/>
        </w:rPr>
      </w:pPr>
      <w:r w:rsidRPr="00A4272B">
        <w:rPr>
          <w:sz w:val="18"/>
          <w:szCs w:val="18"/>
          <w:lang w:val="en-US"/>
        </w:rPr>
        <w:t>Francisco, A. P., Harner, T., Eng. A. 2017. Measurement of polyurethane foam-air partition coefficients for semivolatile organic compounds as a function of temperature: Application to passive air sampler monitoring. Chemosphere 174, 638-642.</w:t>
      </w:r>
    </w:p>
    <w:p w14:paraId="5A5D4CF6" w14:textId="77777777" w:rsidR="001175A0" w:rsidRPr="00B25CD5" w:rsidRDefault="001175A0" w:rsidP="001175A0">
      <w:pPr>
        <w:rPr>
          <w:sz w:val="18"/>
          <w:szCs w:val="18"/>
          <w:lang w:val="nb-NO"/>
        </w:rPr>
      </w:pPr>
      <w:r w:rsidRPr="00A4272B">
        <w:rPr>
          <w:sz w:val="18"/>
          <w:szCs w:val="18"/>
          <w:lang w:val="en-US"/>
        </w:rPr>
        <w:t xml:space="preserve">Fredricsson M., Danielsson H., Hansson K., Karlsson G.P., Nerentorp M., Potter A., Hansson H.C., Areskoug H., Tunved P., Mellqvist J., Lindström B., Nanos T., Andersson S., Carlund T. and Leung W. [2021]. </w:t>
      </w:r>
      <w:r w:rsidRPr="00A4272B">
        <w:rPr>
          <w:sz w:val="18"/>
          <w:szCs w:val="18"/>
          <w:lang w:val="nb-NO"/>
        </w:rPr>
        <w:t xml:space="preserve">Sakrapport med data från övervakning inom Programområde Luft t.o.m 2019. </w:t>
      </w:r>
      <w:r w:rsidRPr="00B25CD5">
        <w:rPr>
          <w:sz w:val="18"/>
          <w:szCs w:val="18"/>
          <w:lang w:val="nb-NO"/>
        </w:rPr>
        <w:t>Nationell luftövervakning. Nr C 584. © IVL Svenska Miljöinstitutet 2021.220.</w:t>
      </w:r>
    </w:p>
    <w:p w14:paraId="2527FF8A" w14:textId="77777777" w:rsidR="00182CFD" w:rsidRPr="00B25CD5" w:rsidRDefault="00182CFD" w:rsidP="006B1FE4">
      <w:pPr>
        <w:rPr>
          <w:sz w:val="18"/>
          <w:szCs w:val="18"/>
          <w:lang w:val="nb-NO"/>
        </w:rPr>
      </w:pPr>
      <w:r w:rsidRPr="00B25CD5">
        <w:rPr>
          <w:sz w:val="18"/>
          <w:szCs w:val="18"/>
          <w:lang w:val="nb-NO"/>
        </w:rPr>
        <w:t>Garnett, J., Halsall, C., Winton, H., Joerss, H., Mulvaney, R., Ebinghaus, R., Frey, M., Jones, A., Leeson, A., Wynn, P. Increasing accumulation of perfluorocarboxylate contaminants revealed in an Antarctic firn core (1958-2017). Environmental Science and Technology, 56 (16), 11246-11255, 2017.</w:t>
      </w:r>
    </w:p>
    <w:p w14:paraId="6E0E8849" w14:textId="26A87FED" w:rsidR="00F3536C" w:rsidRPr="00B25CD5" w:rsidRDefault="00F3536C" w:rsidP="006B1FE4">
      <w:pPr>
        <w:rPr>
          <w:sz w:val="18"/>
          <w:szCs w:val="18"/>
          <w:lang w:val="nb-NO"/>
        </w:rPr>
      </w:pPr>
      <w:r w:rsidRPr="00B25CD5">
        <w:rPr>
          <w:sz w:val="18"/>
          <w:szCs w:val="18"/>
          <w:lang w:val="nb-NO"/>
        </w:rPr>
        <w:t>Gawor, A., Shunthirasingham, C., Hayward, S.J., Lei, Y.D., Gouin, T., Mmereki, B.T., Masamba, W., Ruepert, C., Castillo, L.E., Shoeib, M., Lee, S.C., Harner, T</w:t>
      </w:r>
      <w:r w:rsidR="00964111" w:rsidRPr="00B25CD5">
        <w:rPr>
          <w:sz w:val="18"/>
          <w:szCs w:val="18"/>
          <w:lang w:val="nb-NO"/>
        </w:rPr>
        <w:t>.,</w:t>
      </w:r>
      <w:r w:rsidRPr="00B25CD5">
        <w:rPr>
          <w:sz w:val="18"/>
          <w:szCs w:val="18"/>
          <w:lang w:val="nb-NO"/>
        </w:rPr>
        <w:t xml:space="preserve"> Wania, F. 2013. Neutral polyfluoroalkyl substances in the global Atmosphere. Environmental Science: Processes &amp; Impacts, DOI: 10.1039/c3em00499f</w:t>
      </w:r>
      <w:r w:rsidR="00C96212" w:rsidRPr="00B25CD5">
        <w:rPr>
          <w:sz w:val="18"/>
          <w:szCs w:val="18"/>
          <w:lang w:val="nb-NO"/>
        </w:rPr>
        <w:t>.</w:t>
      </w:r>
    </w:p>
    <w:p w14:paraId="3E8F3787" w14:textId="77777777" w:rsidR="00F3536C" w:rsidRPr="00A4272B" w:rsidRDefault="00F3536C" w:rsidP="006B1FE4">
      <w:pPr>
        <w:rPr>
          <w:sz w:val="18"/>
          <w:szCs w:val="18"/>
          <w:lang w:val="en-US"/>
        </w:rPr>
      </w:pPr>
      <w:r w:rsidRPr="00B25CD5">
        <w:rPr>
          <w:sz w:val="18"/>
          <w:szCs w:val="18"/>
          <w:lang w:val="nb-NO"/>
        </w:rPr>
        <w:t xml:space="preserve">Genualdi, S., Lee, S. C., Shoeib, M., Gawor, A., Ahrens, L., Harner, T. 2010. </w:t>
      </w:r>
      <w:r w:rsidRPr="00A4272B">
        <w:rPr>
          <w:sz w:val="18"/>
          <w:szCs w:val="18"/>
          <w:lang w:val="en-US"/>
        </w:rPr>
        <w:t>Global pilot study of legacy and emerging persistent organic pollutants using sorbent-impregnated polyurethane foam disk passive air samplers. Environ. Sci. Technol. 44, 5534-5539.</w:t>
      </w:r>
    </w:p>
    <w:p w14:paraId="17521C2C" w14:textId="77777777" w:rsidR="00F3536C" w:rsidRPr="00A4272B" w:rsidRDefault="00F3536C" w:rsidP="006B1FE4">
      <w:pPr>
        <w:rPr>
          <w:sz w:val="18"/>
          <w:szCs w:val="18"/>
          <w:lang w:val="en-US"/>
        </w:rPr>
      </w:pPr>
      <w:r w:rsidRPr="00A4272B">
        <w:rPr>
          <w:sz w:val="18"/>
          <w:szCs w:val="18"/>
          <w:lang w:val="en-US"/>
        </w:rPr>
        <w:t>Genualdi, S., Harner, T., Cheng, Y., MacLeod, M., Hansen, K., Shoeib, M., Lee, S. C. 2011. Global distribution of linear and cyclic volatile methyl siloxanes in air. Environ. Sci. Technol. 45, 3349-3354.</w:t>
      </w:r>
    </w:p>
    <w:p w14:paraId="440F8D90" w14:textId="29407B8B" w:rsidR="00F3536C" w:rsidRPr="00A4272B" w:rsidRDefault="00F3536C" w:rsidP="006B1FE4">
      <w:pPr>
        <w:rPr>
          <w:sz w:val="18"/>
          <w:szCs w:val="18"/>
          <w:lang w:val="en-US"/>
        </w:rPr>
      </w:pPr>
      <w:r w:rsidRPr="00A4272B">
        <w:rPr>
          <w:sz w:val="18"/>
          <w:szCs w:val="18"/>
          <w:lang w:val="en-US"/>
        </w:rPr>
        <w:t>Giorgi, F. 1988 Dry deposition velocities of atmospheric aerosols as inferred by applying a particle dry deposition parameterization to a general circulation model. Tellus, 40B, 23-41</w:t>
      </w:r>
      <w:r w:rsidR="00C96212" w:rsidRPr="00A4272B">
        <w:rPr>
          <w:sz w:val="18"/>
          <w:szCs w:val="18"/>
          <w:lang w:val="en-US"/>
        </w:rPr>
        <w:t>.</w:t>
      </w:r>
    </w:p>
    <w:p w14:paraId="23B6B564" w14:textId="77777777" w:rsidR="00F3536C" w:rsidRPr="00B25CD5" w:rsidRDefault="00F3536C" w:rsidP="006B1FE4">
      <w:pPr>
        <w:rPr>
          <w:sz w:val="18"/>
          <w:szCs w:val="18"/>
          <w:lang w:val="fr-CH"/>
        </w:rPr>
      </w:pPr>
      <w:r w:rsidRPr="00A4272B">
        <w:rPr>
          <w:sz w:val="18"/>
          <w:szCs w:val="18"/>
          <w:lang w:val="en-US"/>
        </w:rPr>
        <w:t xml:space="preserve">Goss, K-U., Bronner, G., Harner, T., Hertel, M., Schmidt, T. C. 2006. The partition behavior of fluorotelomer alcohols and olefins. </w:t>
      </w:r>
      <w:r w:rsidRPr="00B25CD5">
        <w:rPr>
          <w:sz w:val="18"/>
          <w:szCs w:val="18"/>
          <w:lang w:val="fr-CH"/>
        </w:rPr>
        <w:t>Environ. Sci. Technol. 40, 3572-3577.</w:t>
      </w:r>
    </w:p>
    <w:p w14:paraId="33597C45" w14:textId="77777777" w:rsidR="00F3536C" w:rsidRPr="00A4272B" w:rsidRDefault="00F3536C" w:rsidP="006B1FE4">
      <w:pPr>
        <w:rPr>
          <w:sz w:val="18"/>
          <w:szCs w:val="18"/>
          <w:lang w:val="en-US"/>
        </w:rPr>
      </w:pPr>
      <w:r w:rsidRPr="00B25CD5">
        <w:rPr>
          <w:sz w:val="18"/>
          <w:szCs w:val="18"/>
          <w:lang w:val="fr-CH"/>
        </w:rPr>
        <w:t xml:space="preserve">Gouin, T., Harner, T., Blanchard, P., Mackay, D. 2005. </w:t>
      </w:r>
      <w:r w:rsidRPr="00A4272B">
        <w:rPr>
          <w:sz w:val="18"/>
          <w:szCs w:val="18"/>
          <w:lang w:val="en-US"/>
        </w:rPr>
        <w:t xml:space="preserve">Passive and actice air samplers as complementary methods for investigating persietnt organic pollutants in the Great Lakes basin. Environ. Sci. Technol. 39, 9115-9122. </w:t>
      </w:r>
    </w:p>
    <w:p w14:paraId="0B012CB9" w14:textId="733E2177" w:rsidR="00F3536C" w:rsidRPr="00B25CD5" w:rsidRDefault="00F3536C" w:rsidP="006B1FE4">
      <w:pPr>
        <w:rPr>
          <w:sz w:val="18"/>
          <w:szCs w:val="18"/>
          <w:lang w:val="fr-CH"/>
        </w:rPr>
      </w:pPr>
      <w:r w:rsidRPr="00A4272B">
        <w:rPr>
          <w:sz w:val="18"/>
          <w:szCs w:val="18"/>
          <w:lang w:val="en-US"/>
        </w:rPr>
        <w:t xml:space="preserve">Gouin, T. 2010. The precautionary principle and environmental persistence: prioritizing the decision-making process. </w:t>
      </w:r>
      <w:r w:rsidRPr="00B25CD5">
        <w:rPr>
          <w:sz w:val="18"/>
          <w:szCs w:val="18"/>
          <w:lang w:val="fr-CH"/>
        </w:rPr>
        <w:t>Environ.</w:t>
      </w:r>
      <w:r w:rsidR="006B1FE4" w:rsidRPr="00B25CD5">
        <w:rPr>
          <w:sz w:val="18"/>
          <w:szCs w:val="18"/>
          <w:lang w:val="fr-CH"/>
        </w:rPr>
        <w:t xml:space="preserve"> </w:t>
      </w:r>
      <w:r w:rsidRPr="00B25CD5">
        <w:rPr>
          <w:sz w:val="18"/>
          <w:szCs w:val="18"/>
          <w:lang w:val="fr-CH"/>
        </w:rPr>
        <w:t>Sci.</w:t>
      </w:r>
      <w:r w:rsidR="006B1FE4" w:rsidRPr="00B25CD5">
        <w:rPr>
          <w:sz w:val="18"/>
          <w:szCs w:val="18"/>
          <w:lang w:val="fr-CH"/>
        </w:rPr>
        <w:t xml:space="preserve"> </w:t>
      </w:r>
      <w:r w:rsidRPr="00B25CD5">
        <w:rPr>
          <w:sz w:val="18"/>
          <w:szCs w:val="18"/>
          <w:lang w:val="fr-CH"/>
        </w:rPr>
        <w:t>Policy., 13, 175-184.</w:t>
      </w:r>
    </w:p>
    <w:p w14:paraId="471D7DE3" w14:textId="77777777" w:rsidR="00F3536C" w:rsidRPr="00A4272B" w:rsidRDefault="00F3536C" w:rsidP="006B1FE4">
      <w:pPr>
        <w:rPr>
          <w:sz w:val="18"/>
          <w:szCs w:val="18"/>
          <w:lang w:val="en-US"/>
        </w:rPr>
      </w:pPr>
      <w:r w:rsidRPr="00B25CD5">
        <w:rPr>
          <w:sz w:val="18"/>
          <w:szCs w:val="18"/>
          <w:lang w:val="fr-CH"/>
        </w:rPr>
        <w:t xml:space="preserve">Hansen, K. M., Christensen, J. H., Brandt, J., Frohn, L. M., Geels, C., 2004. </w:t>
      </w:r>
      <w:r w:rsidRPr="00A4272B">
        <w:rPr>
          <w:sz w:val="18"/>
          <w:szCs w:val="18"/>
          <w:lang w:val="en-US"/>
        </w:rPr>
        <w:t>Modelling atmospheric transport of persistent organic pollutants in the Northern Hemisphere with a 3-D dynamical model: DEHM-POP. Atmos. Chem. Phys. Discuss., 4:1339-1370.</w:t>
      </w:r>
    </w:p>
    <w:p w14:paraId="43DD41CD" w14:textId="77777777" w:rsidR="00182CFD" w:rsidRPr="00A4272B" w:rsidRDefault="00182CFD" w:rsidP="006B1FE4">
      <w:pPr>
        <w:rPr>
          <w:sz w:val="18"/>
          <w:szCs w:val="18"/>
          <w:lang w:val="en-US"/>
        </w:rPr>
      </w:pPr>
      <w:r w:rsidRPr="00A4272B">
        <w:rPr>
          <w:sz w:val="18"/>
          <w:szCs w:val="18"/>
          <w:lang w:val="en-US"/>
        </w:rPr>
        <w:t>Harner, T., Saini, A, Shahpoury, P., Eng, A., Schuster, J.K., Kalisa, E., Mastin, J. Cross-cutting Research and Future Directions under the GAPS Networks Environmental Science: Advances (under review).</w:t>
      </w:r>
    </w:p>
    <w:p w14:paraId="176CCC10" w14:textId="130019B8" w:rsidR="00182CFD" w:rsidRPr="00A4272B" w:rsidRDefault="00182CFD" w:rsidP="006B1FE4">
      <w:pPr>
        <w:rPr>
          <w:sz w:val="18"/>
          <w:szCs w:val="18"/>
          <w:lang w:val="en-US"/>
        </w:rPr>
      </w:pPr>
      <w:r w:rsidRPr="00A4272B">
        <w:rPr>
          <w:sz w:val="18"/>
          <w:szCs w:val="18"/>
          <w:lang w:val="en-US"/>
        </w:rPr>
        <w:t>Hung, H., Halsall, C., Ball, H., Bidleman, T., Dachs, J., De Silva, A., Hermanson, M., Kallenborn, R., Muir, D., Sühring, R., Wang, X., Wilson, S. Climate change influence on the levels and trends of persistent organic pollutants (POPs) and chemicals of emerging Arctic concern (CEACs) in the Arctic physical environment – a review. Environ. Sci.: Processes Impacts, 24, 1577-1615, 2022.</w:t>
      </w:r>
    </w:p>
    <w:p w14:paraId="51734EA5" w14:textId="505CE93E" w:rsidR="00F3536C" w:rsidRPr="00A4272B" w:rsidRDefault="00F3536C" w:rsidP="006B1FE4">
      <w:pPr>
        <w:rPr>
          <w:sz w:val="18"/>
          <w:szCs w:val="18"/>
          <w:lang w:val="en-US"/>
        </w:rPr>
      </w:pPr>
      <w:r w:rsidRPr="00A4272B">
        <w:rPr>
          <w:sz w:val="18"/>
          <w:szCs w:val="18"/>
          <w:lang w:val="en-US"/>
        </w:rPr>
        <w:lastRenderedPageBreak/>
        <w:t>Harner, T., Shoeib, M., Diamond, M., Stern, G., Rosenberg, B. 2004. Using passive air samplers to assess urban-rural trends for persistent organic pollutants (POPs): 1. Polychlorinated biphenyls (PCBs) and organochlorine pesticides (OCPs). Environ. Sci. Technol. 38, 4474-4483.</w:t>
      </w:r>
    </w:p>
    <w:p w14:paraId="4F9D0055" w14:textId="77777777" w:rsidR="00F3536C" w:rsidRPr="00A4272B" w:rsidRDefault="00F3536C" w:rsidP="006B1FE4">
      <w:pPr>
        <w:rPr>
          <w:sz w:val="18"/>
          <w:szCs w:val="18"/>
          <w:lang w:val="en-US"/>
        </w:rPr>
      </w:pPr>
      <w:r w:rsidRPr="00A4272B">
        <w:rPr>
          <w:sz w:val="18"/>
          <w:szCs w:val="18"/>
          <w:lang w:val="en-US"/>
        </w:rPr>
        <w:t>Harner, T., Pozo Gallardo, K., Gouin, T., Macdonald, A., M., Hung, H. 2006. Global pilot study for persistent organic pollutants (POPs) using PUF disks passive air samplers. Environ. Pollut. 144, 445-452.</w:t>
      </w:r>
    </w:p>
    <w:p w14:paraId="5522A866" w14:textId="77777777" w:rsidR="00F3536C" w:rsidRPr="00A4272B" w:rsidRDefault="00F3536C" w:rsidP="006B1FE4">
      <w:pPr>
        <w:rPr>
          <w:sz w:val="18"/>
          <w:szCs w:val="18"/>
          <w:lang w:val="en-US"/>
        </w:rPr>
      </w:pPr>
      <w:r w:rsidRPr="00A4272B">
        <w:rPr>
          <w:sz w:val="18"/>
          <w:szCs w:val="18"/>
          <w:lang w:val="en-US"/>
        </w:rPr>
        <w:t>Harner, T., Su, K, Genualdi, S., Karpowicz, J., Ahrens, L., Mihele, C., Schuster, J., Charland, J-P., Narayan, J. 2013. Calibration and application of PUF disk passive air samplers for tracking polycyclic aromatic compounds (PACs). Atmos. Environ. 75, 123-128.</w:t>
      </w:r>
    </w:p>
    <w:p w14:paraId="2DA343FF" w14:textId="77777777" w:rsidR="00F3536C" w:rsidRPr="00A4272B" w:rsidRDefault="00F3536C" w:rsidP="006B1FE4">
      <w:pPr>
        <w:rPr>
          <w:sz w:val="18"/>
          <w:szCs w:val="18"/>
          <w:lang w:val="en-US"/>
        </w:rPr>
      </w:pPr>
      <w:r w:rsidRPr="00A4272B">
        <w:rPr>
          <w:sz w:val="18"/>
          <w:szCs w:val="18"/>
          <w:lang w:val="en-US"/>
        </w:rPr>
        <w:t>Harner, T., Mitrovic, M., Ahrens, L., Schuster, J. 2014. Characterisation of PUF disk passive air samplers for new priority chemicals: a review. Organohalogen Compds. 76, 442-445.</w:t>
      </w:r>
    </w:p>
    <w:p w14:paraId="6B745989" w14:textId="29D0522C" w:rsidR="00F3536C" w:rsidRPr="00A4272B" w:rsidRDefault="00F3536C" w:rsidP="006B1FE4">
      <w:pPr>
        <w:rPr>
          <w:sz w:val="18"/>
          <w:szCs w:val="18"/>
          <w:lang w:val="en-US"/>
        </w:rPr>
      </w:pPr>
      <w:r w:rsidRPr="00A4272B">
        <w:rPr>
          <w:sz w:val="18"/>
          <w:szCs w:val="18"/>
          <w:lang w:val="en-US"/>
        </w:rPr>
        <w:t>Harner, T. (2017) 2017_v1_5_Template for calculating PUF and SIP disk sample air volumes_September_15 Accessed at: https://www.researchgate.net/publication/319764519_2017_v1_5_Template_for_calculating_Effective_Air_Sample_Volumes_for_PUF_and_SIP_Disk_Samplers_Sept_15</w:t>
      </w:r>
      <w:r w:rsidR="00C96212" w:rsidRPr="00A4272B">
        <w:rPr>
          <w:sz w:val="18"/>
          <w:szCs w:val="18"/>
          <w:lang w:val="en-US"/>
        </w:rPr>
        <w:t>.</w:t>
      </w:r>
    </w:p>
    <w:p w14:paraId="699BDD0B" w14:textId="77777777" w:rsidR="00F3536C" w:rsidRPr="00A4272B" w:rsidRDefault="00F3536C" w:rsidP="006B1FE4">
      <w:pPr>
        <w:rPr>
          <w:sz w:val="18"/>
          <w:szCs w:val="18"/>
          <w:lang w:val="en-US"/>
        </w:rPr>
      </w:pPr>
      <w:r w:rsidRPr="00A4272B">
        <w:rPr>
          <w:sz w:val="18"/>
          <w:szCs w:val="18"/>
          <w:lang w:val="en-US"/>
        </w:rPr>
        <w:t>Hayward, S. J.; Gouin, T.; Wania, F. 2010. Comparison of four active and passive sampling techniques for pesticides in air. Environ. Sci. Technol. 44, 3410−3416.</w:t>
      </w:r>
    </w:p>
    <w:p w14:paraId="1B7BEE01" w14:textId="77777777" w:rsidR="00F3536C" w:rsidRPr="00A4272B" w:rsidRDefault="00F3536C" w:rsidP="006B1FE4">
      <w:pPr>
        <w:rPr>
          <w:sz w:val="18"/>
          <w:szCs w:val="18"/>
          <w:lang w:val="en-US"/>
        </w:rPr>
      </w:pPr>
      <w:r w:rsidRPr="00A4272B">
        <w:rPr>
          <w:sz w:val="18"/>
          <w:szCs w:val="18"/>
          <w:lang w:val="en-US"/>
        </w:rPr>
        <w:t>Herkert, N.J., Spak, S.N., Smith, A., Schuster, J.K., Harner, T., Martinez, A., Hornbuckle, K.C. 2018. Calibration and evaluation of PUF-PAS sampling rates across the global atmospheric passive sampling (GAPS) network. Environmental Science: Processes &amp; Impacts 20, 210-219.</w:t>
      </w:r>
    </w:p>
    <w:p w14:paraId="7C664B44" w14:textId="77777777" w:rsidR="00F3536C" w:rsidRPr="00A4272B" w:rsidRDefault="00F3536C" w:rsidP="006B1FE4">
      <w:pPr>
        <w:rPr>
          <w:sz w:val="18"/>
          <w:szCs w:val="18"/>
          <w:lang w:val="en-US"/>
        </w:rPr>
      </w:pPr>
      <w:r w:rsidRPr="00A4272B">
        <w:rPr>
          <w:sz w:val="18"/>
          <w:szCs w:val="18"/>
          <w:lang w:val="en-US"/>
        </w:rPr>
        <w:t>Herkert, N.J., Hornbuckle, K.C. 2018. Effects of room airflow on accurate determination of PUF-PAS sampling rates in the indoor environment. Environmental Science: Processes &amp; Impacts 20, 757-766.</w:t>
      </w:r>
    </w:p>
    <w:p w14:paraId="7B6264AA" w14:textId="77777777" w:rsidR="00F3536C" w:rsidRPr="00A4272B" w:rsidRDefault="00F3536C" w:rsidP="006B1FE4">
      <w:pPr>
        <w:rPr>
          <w:sz w:val="18"/>
          <w:szCs w:val="18"/>
          <w:lang w:val="en-US"/>
        </w:rPr>
      </w:pPr>
      <w:r w:rsidRPr="00A4272B">
        <w:rPr>
          <w:sz w:val="18"/>
          <w:szCs w:val="18"/>
          <w:lang w:val="en-US"/>
        </w:rPr>
        <w:t>Holt, E., Bohlin-Nizzetto, P., Boruvkova, J., Harner, T., Kalina, J., Melymuk, L., Klanova, J. 2017. Using long-term air monitoring of semi-volatile organic compounds to evaluate the uncertainty in polyurethane-disk passive sampler-derived air concentrations. Environ. Pollut. 220, 1100-1111.</w:t>
      </w:r>
    </w:p>
    <w:p w14:paraId="08BCBC6E" w14:textId="77777777" w:rsidR="00F3536C" w:rsidRPr="00A4272B" w:rsidRDefault="00F3536C" w:rsidP="006B1FE4">
      <w:pPr>
        <w:rPr>
          <w:sz w:val="18"/>
          <w:szCs w:val="18"/>
          <w:lang w:val="en-US"/>
        </w:rPr>
      </w:pPr>
      <w:r w:rsidRPr="00A4272B">
        <w:rPr>
          <w:sz w:val="18"/>
          <w:szCs w:val="18"/>
          <w:lang w:val="en-US"/>
        </w:rPr>
        <w:t>Hung, H., Kallenborn, R., Breivik, K., Su, Y., Brorstrøm-Lunden, E., Olafsdottir, K, Thorlacius, J. M., Leppanen, S., Bossi, R., Skov, H., Manø, S., Stern, G., Sverko, E., Fellin, P. 2010. Atmospheric monitoring of organic pollutants in the Arctic under the Arctic Monitoring and Assessment Programme (AMAP): 1993-2006. Sci. Tot. Environ. 408: 2854–2873.</w:t>
      </w:r>
    </w:p>
    <w:p w14:paraId="4B958660" w14:textId="77777777" w:rsidR="00F3536C" w:rsidRPr="00A4272B" w:rsidRDefault="00F3536C" w:rsidP="006B1FE4">
      <w:pPr>
        <w:rPr>
          <w:sz w:val="18"/>
          <w:szCs w:val="18"/>
          <w:lang w:val="en-US"/>
        </w:rPr>
      </w:pPr>
      <w:r w:rsidRPr="00A4272B">
        <w:rPr>
          <w:sz w:val="18"/>
          <w:szCs w:val="18"/>
          <w:lang w:val="en-US"/>
        </w:rPr>
        <w:t>Hung, H., Katsoyiannis, A. A., Brorström-Lundén, E., Olafsdottir, K., Aas, W., Breivik, K., Bohlin-Nizzetto, P., Sigurdsson, A., Hakola, H., Bossi, R., Skov, H., Sverko, E., Barresi, E., Fellin, P., Wilson, S. 2016. Temporal Trends of Persistent Organic Pollutants (POPs) in Arctic Air: 20 Years of Monitoring under the Arctic Monitoring and Assessment Programme (AMAP). Environ. Pollut., 217: 52-61.</w:t>
      </w:r>
    </w:p>
    <w:p w14:paraId="7656D602" w14:textId="5B1B0A12" w:rsidR="00381FA7" w:rsidRPr="00A4272B" w:rsidRDefault="00381FA7" w:rsidP="006B1FE4">
      <w:pPr>
        <w:rPr>
          <w:sz w:val="18"/>
          <w:szCs w:val="18"/>
          <w:lang w:val="en-US"/>
        </w:rPr>
      </w:pPr>
      <w:r w:rsidRPr="00A4272B">
        <w:rPr>
          <w:sz w:val="18"/>
          <w:szCs w:val="18"/>
          <w:lang w:val="en-US"/>
        </w:rPr>
        <w:t>Hung, H., Halsall, C., Ball, H., Bidleman, T., Dachs, J., De Silva, A., Hermanson, M., Kallenborn, R., Muir, D., Sühring, R., Wang, X., Wilson, S. Climate change influence on the levels and trends of persistent organic pollutants (POPs) and chemicals of emerging Arctic concern (CEACs) in the Arctic physical environment – a review. Environ. Sci.: Processes Impacts, 24, 1577-1615, 2022.</w:t>
      </w:r>
    </w:p>
    <w:p w14:paraId="4250F67A" w14:textId="77777777" w:rsidR="00F3536C" w:rsidRPr="00B25CD5" w:rsidRDefault="00F3536C" w:rsidP="006B1FE4">
      <w:pPr>
        <w:rPr>
          <w:sz w:val="18"/>
          <w:szCs w:val="18"/>
          <w:lang w:val="es-ES"/>
        </w:rPr>
      </w:pPr>
      <w:r w:rsidRPr="00A4272B">
        <w:rPr>
          <w:sz w:val="18"/>
          <w:szCs w:val="18"/>
          <w:lang w:val="en-US"/>
        </w:rPr>
        <w:t xml:space="preserve">Hsu, Y. K., Holsen, T. M., Hopke, P. K., 2003a. Comparison of hybrid receptor models to locate PCB sources in Chicago. </w:t>
      </w:r>
      <w:r w:rsidRPr="00B25CD5">
        <w:rPr>
          <w:sz w:val="18"/>
          <w:szCs w:val="18"/>
          <w:lang w:val="es-ES"/>
        </w:rPr>
        <w:t>Atmos. Environ., 37:545-562.</w:t>
      </w:r>
    </w:p>
    <w:p w14:paraId="370C8BD9" w14:textId="77777777" w:rsidR="00F3536C" w:rsidRPr="00A4272B" w:rsidRDefault="00F3536C" w:rsidP="006B1FE4">
      <w:pPr>
        <w:rPr>
          <w:sz w:val="18"/>
          <w:szCs w:val="18"/>
          <w:lang w:val="en-US"/>
        </w:rPr>
      </w:pPr>
      <w:r w:rsidRPr="00B25CD5">
        <w:rPr>
          <w:sz w:val="18"/>
          <w:szCs w:val="18"/>
          <w:lang w:val="es-ES"/>
        </w:rPr>
        <w:t xml:space="preserve">Hsu, Y. K., Holsen, T. M., Hopke, P. K., 2003b. </w:t>
      </w:r>
      <w:r w:rsidRPr="00A4272B">
        <w:rPr>
          <w:sz w:val="18"/>
          <w:szCs w:val="18"/>
          <w:lang w:val="en-US"/>
        </w:rPr>
        <w:t>Locating and quantifying PCB sources in Chicago: Receptor modelling and field sampling. Environ. Sci. Technol., 37:681-690.</w:t>
      </w:r>
    </w:p>
    <w:p w14:paraId="775DE263" w14:textId="77777777" w:rsidR="00F3536C" w:rsidRPr="00A4272B" w:rsidRDefault="00F3536C" w:rsidP="006B1FE4">
      <w:pPr>
        <w:rPr>
          <w:sz w:val="18"/>
          <w:szCs w:val="18"/>
          <w:lang w:val="en-US"/>
        </w:rPr>
      </w:pPr>
      <w:r w:rsidRPr="00A4272B">
        <w:rPr>
          <w:sz w:val="18"/>
          <w:szCs w:val="18"/>
          <w:lang w:val="en-US"/>
        </w:rPr>
        <w:t>Hung, H., Halsall, C. J., Blanchard, P., Li, H. H., Fellin, P., Stern, G., Rosenberg, B. 2002. Temporal trends of organochlorine pesticides in the Canadian arctic atmosphere. Environ. Sci. Technol. 36, 862-868.</w:t>
      </w:r>
    </w:p>
    <w:p w14:paraId="67C2F902" w14:textId="77777777" w:rsidR="00F3536C" w:rsidRPr="00A4272B" w:rsidRDefault="00F3536C" w:rsidP="006B1FE4">
      <w:pPr>
        <w:rPr>
          <w:sz w:val="18"/>
          <w:szCs w:val="18"/>
          <w:lang w:val="en-US"/>
        </w:rPr>
      </w:pPr>
      <w:r w:rsidRPr="00A4272B">
        <w:rPr>
          <w:sz w:val="18"/>
          <w:szCs w:val="18"/>
          <w:lang w:val="en-US"/>
        </w:rPr>
        <w:t>Hung, H. et al., 2010. Atmospheric monitoring of organic pollutants in the arctic uner the arctic monitoring and assessment programme (AMAP): 1993-2006.</w:t>
      </w:r>
    </w:p>
    <w:p w14:paraId="3DD7A41C" w14:textId="77777777" w:rsidR="00F3536C" w:rsidRPr="00A4272B" w:rsidRDefault="00F3536C" w:rsidP="006B1FE4">
      <w:pPr>
        <w:rPr>
          <w:sz w:val="18"/>
          <w:szCs w:val="18"/>
          <w:lang w:val="en-US"/>
        </w:rPr>
      </w:pPr>
      <w:r w:rsidRPr="00A4272B">
        <w:rPr>
          <w:sz w:val="18"/>
          <w:szCs w:val="18"/>
          <w:lang w:val="en-US"/>
        </w:rPr>
        <w:t>Jariyasopit, N., Liu, Y., Liggio, J., Harner, T., 2015. Stability of polycyclic aromatic compounds in polyurethane foam type passive air samplers upon O3 exposure. Atmos. Environ. 120, 200-204.</w:t>
      </w:r>
    </w:p>
    <w:p w14:paraId="14BF8C9C" w14:textId="77777777" w:rsidR="00F3536C" w:rsidRPr="00A4272B" w:rsidRDefault="00F3536C" w:rsidP="006B1FE4">
      <w:pPr>
        <w:rPr>
          <w:sz w:val="18"/>
          <w:szCs w:val="18"/>
          <w:lang w:val="en-US"/>
        </w:rPr>
      </w:pPr>
      <w:r w:rsidRPr="00A4272B">
        <w:rPr>
          <w:sz w:val="18"/>
          <w:szCs w:val="18"/>
          <w:lang w:val="en-US"/>
        </w:rPr>
        <w:t>Jaward, F. M., Farrar, N. J., Harner, T., Sweetman, A. J., Jones, K. C., 2004a. Passive air sampling of PCBs, PBDEs and organochlorine pesticides across Europe. Environ. Sci. Technol., 38:34-41.</w:t>
      </w:r>
    </w:p>
    <w:p w14:paraId="1381E643" w14:textId="77777777" w:rsidR="00F3536C" w:rsidRPr="00A4272B" w:rsidRDefault="00F3536C" w:rsidP="006B1FE4">
      <w:pPr>
        <w:rPr>
          <w:sz w:val="18"/>
          <w:szCs w:val="18"/>
          <w:lang w:val="en-US"/>
        </w:rPr>
      </w:pPr>
      <w:r w:rsidRPr="00A4272B">
        <w:rPr>
          <w:sz w:val="18"/>
          <w:szCs w:val="18"/>
          <w:lang w:val="en-US"/>
        </w:rPr>
        <w:t>Jaward, F. M., Farrar, N. J., Harner, T., Sweetman, A. J., Jones, K. C., 2004b. Passive air sampling of PAHs and PCNs across Europe. Environ. Toxicol. Chem., 23. 1355-1364.</w:t>
      </w:r>
    </w:p>
    <w:p w14:paraId="796B448B" w14:textId="77777777" w:rsidR="00F3536C" w:rsidRPr="00B25CD5" w:rsidRDefault="00F3536C" w:rsidP="006B1FE4">
      <w:pPr>
        <w:rPr>
          <w:sz w:val="18"/>
          <w:szCs w:val="18"/>
          <w:lang w:val="fr-CH"/>
        </w:rPr>
      </w:pPr>
      <w:r w:rsidRPr="00A4272B">
        <w:rPr>
          <w:sz w:val="18"/>
          <w:szCs w:val="18"/>
          <w:lang w:val="en-US"/>
        </w:rPr>
        <w:t xml:space="preserve">Jaward, F. M., Zhang, G., Nam, J. J., Sweetman, A. J., Obbard, J. P., Kobara, Y., Jones, K. C. 2005. Passive air sampling of polychlorinated biphenyls, organochlorine compounds, and polybrominated diphenyl ethers across Asia. </w:t>
      </w:r>
      <w:r w:rsidRPr="00B25CD5">
        <w:rPr>
          <w:sz w:val="18"/>
          <w:szCs w:val="18"/>
          <w:lang w:val="fr-CH"/>
        </w:rPr>
        <w:t>Environ. Sci. Technol. 39, 8638-8645.</w:t>
      </w:r>
    </w:p>
    <w:p w14:paraId="24C130A3" w14:textId="77777777" w:rsidR="00182CFD" w:rsidRPr="00A4272B" w:rsidRDefault="00182CFD" w:rsidP="006B1FE4">
      <w:pPr>
        <w:rPr>
          <w:sz w:val="18"/>
          <w:szCs w:val="18"/>
          <w:lang w:val="en-US"/>
        </w:rPr>
      </w:pPr>
      <w:r w:rsidRPr="00B25CD5">
        <w:rPr>
          <w:sz w:val="18"/>
          <w:szCs w:val="18"/>
          <w:lang w:val="fr-CH"/>
        </w:rPr>
        <w:t xml:space="preserve">Johannessen, C., Saini, A., Zhang, X., Harner, T.  </w:t>
      </w:r>
      <w:r w:rsidRPr="00A4272B">
        <w:rPr>
          <w:sz w:val="18"/>
          <w:szCs w:val="18"/>
          <w:lang w:val="en-US"/>
        </w:rPr>
        <w:t xml:space="preserve">Air monitoring of tire-derived chemicals in global megacities using passive samplers. Environmental Pollution 2022, 314, 120206.  </w:t>
      </w:r>
      <w:hyperlink r:id="rId94" w:history="1">
        <w:r w:rsidRPr="00A4272B">
          <w:rPr>
            <w:rStyle w:val="Hyperlink"/>
            <w:sz w:val="18"/>
            <w:szCs w:val="18"/>
            <w:lang w:val="en-US"/>
          </w:rPr>
          <w:t>https://doi.org/10.1016/j.envpol.2022.120206</w:t>
        </w:r>
      </w:hyperlink>
      <w:r w:rsidRPr="00A4272B">
        <w:rPr>
          <w:sz w:val="18"/>
          <w:szCs w:val="18"/>
          <w:lang w:val="en-US"/>
        </w:rPr>
        <w:t>.</w:t>
      </w:r>
    </w:p>
    <w:p w14:paraId="6CDC0AEB" w14:textId="77777777" w:rsidR="00381FA7" w:rsidRPr="00A4272B" w:rsidRDefault="00381FA7" w:rsidP="00381FA7">
      <w:pPr>
        <w:rPr>
          <w:sz w:val="18"/>
          <w:szCs w:val="18"/>
          <w:lang w:val="en-US"/>
        </w:rPr>
      </w:pPr>
      <w:r w:rsidRPr="00A4272B">
        <w:rPr>
          <w:sz w:val="18"/>
          <w:szCs w:val="18"/>
          <w:lang w:val="en-US"/>
        </w:rPr>
        <w:t>Johansson, J. 2017. Sources, transport and fate of perfluoroalkyl acids in the atmosphere. Department of Environmental Science and Analytical Chemistry, Stockholm University.</w:t>
      </w:r>
    </w:p>
    <w:p w14:paraId="79B4B643" w14:textId="48D88D13" w:rsidR="00182CFD" w:rsidRPr="00A4272B" w:rsidRDefault="00182CFD" w:rsidP="006B1FE4">
      <w:pPr>
        <w:rPr>
          <w:sz w:val="18"/>
          <w:szCs w:val="18"/>
          <w:lang w:val="en-US"/>
        </w:rPr>
      </w:pPr>
      <w:r w:rsidRPr="00A4272B">
        <w:rPr>
          <w:sz w:val="18"/>
          <w:szCs w:val="18"/>
          <w:lang w:val="en-US"/>
        </w:rPr>
        <w:t>Johansson, J. H., Salter, M. E., Acosta Navarro, J. C., Leck, C., Nilsson, E. D., Cousins, I. T. Global transport of perfluoroalkyl acids via sea spray aerosol. Environmental Science: Processes &amp; Impacts 2019, 21(4), 635.</w:t>
      </w:r>
    </w:p>
    <w:p w14:paraId="3F4D41A7" w14:textId="57F76C1F" w:rsidR="00F3536C" w:rsidRPr="00B25CD5" w:rsidRDefault="00F3536C" w:rsidP="006B1FE4">
      <w:pPr>
        <w:rPr>
          <w:sz w:val="18"/>
          <w:szCs w:val="18"/>
          <w:lang w:val="fr-CH"/>
        </w:rPr>
      </w:pPr>
      <w:r w:rsidRPr="00A4272B">
        <w:rPr>
          <w:sz w:val="18"/>
          <w:szCs w:val="18"/>
          <w:lang w:val="en-US"/>
        </w:rPr>
        <w:lastRenderedPageBreak/>
        <w:t xml:space="preserve">Kalina, J., Scheringer, M., Boruvkova, J., Kukucxka, P., Pribylova, P., Bohlin-Nizzetto, P., Klanova, J. 2017. Passive Air Samplers </w:t>
      </w:r>
      <w:r w:rsidR="00BE4F21" w:rsidRPr="00A4272B">
        <w:rPr>
          <w:sz w:val="18"/>
          <w:szCs w:val="18"/>
          <w:lang w:val="en-US"/>
        </w:rPr>
        <w:t>a</w:t>
      </w:r>
      <w:r w:rsidRPr="00A4272B">
        <w:rPr>
          <w:sz w:val="18"/>
          <w:szCs w:val="18"/>
          <w:lang w:val="en-US"/>
        </w:rPr>
        <w:t xml:space="preserve">s a Tool for Assessing Long-Term Trends in Atmospheric Concentrations of Semivolatile Organic Compounds. </w:t>
      </w:r>
      <w:r w:rsidRPr="00B25CD5">
        <w:rPr>
          <w:sz w:val="18"/>
          <w:szCs w:val="18"/>
          <w:lang w:val="fr-CH"/>
        </w:rPr>
        <w:t>Environ. Sci. Technol. 51, 7047-7054.</w:t>
      </w:r>
    </w:p>
    <w:p w14:paraId="2933A2F4" w14:textId="114AE963" w:rsidR="00182CFD" w:rsidRPr="00B25CD5" w:rsidRDefault="00381FA7" w:rsidP="006B1FE4">
      <w:pPr>
        <w:rPr>
          <w:sz w:val="18"/>
          <w:szCs w:val="18"/>
          <w:lang w:val="fr-CH"/>
        </w:rPr>
      </w:pPr>
      <w:r w:rsidRPr="00B25CD5">
        <w:rPr>
          <w:sz w:val="18"/>
          <w:szCs w:val="18"/>
          <w:lang w:val="fr-CH"/>
        </w:rPr>
        <w:t xml:space="preserve">Kalisa, E., Saini, A., Lee, K., Mastin, J., Schuster, J., Harner, T.  </w:t>
      </w:r>
      <w:r w:rsidRPr="00A4272B">
        <w:rPr>
          <w:sz w:val="18"/>
          <w:szCs w:val="18"/>
          <w:lang w:val="en-US"/>
        </w:rPr>
        <w:t xml:space="preserve">Capturing the Aerobiome: Application of Polyurethane Foam Disk Passive Samplers for Bioaerosol Monitoring. </w:t>
      </w:r>
      <w:r w:rsidRPr="00B25CD5">
        <w:rPr>
          <w:sz w:val="18"/>
          <w:szCs w:val="18"/>
          <w:lang w:val="fr-CH"/>
        </w:rPr>
        <w:t xml:space="preserve">Environ. Sci. Technol. Air.  2024, 1, 414-425. </w:t>
      </w:r>
      <w:hyperlink r:id="rId95" w:history="1">
        <w:r w:rsidRPr="00B25CD5">
          <w:rPr>
            <w:rStyle w:val="Hyperlink"/>
            <w:sz w:val="18"/>
            <w:szCs w:val="18"/>
            <w:lang w:val="fr-CH"/>
          </w:rPr>
          <w:t>https://pubs.acs.org/doi/10.1021/acsestair.3c00107</w:t>
        </w:r>
      </w:hyperlink>
      <w:r w:rsidRPr="00B25CD5">
        <w:rPr>
          <w:sz w:val="18"/>
          <w:szCs w:val="18"/>
          <w:lang w:val="fr-CH"/>
        </w:rPr>
        <w:t xml:space="preserve">. </w:t>
      </w:r>
    </w:p>
    <w:p w14:paraId="11DC7AE3" w14:textId="075D813D" w:rsidR="00F3536C" w:rsidRPr="00A4272B" w:rsidRDefault="00F3536C" w:rsidP="006B1FE4">
      <w:pPr>
        <w:rPr>
          <w:sz w:val="18"/>
          <w:szCs w:val="18"/>
          <w:lang w:val="en-US"/>
        </w:rPr>
      </w:pPr>
      <w:r w:rsidRPr="00B25CD5">
        <w:rPr>
          <w:sz w:val="18"/>
          <w:szCs w:val="18"/>
          <w:lang w:val="pt-PT"/>
        </w:rPr>
        <w:t xml:space="preserve">Klanova, J., Kohoutek, J., Hamplova, L., Urbanova, P., Holoubek, I. 2006. </w:t>
      </w:r>
      <w:r w:rsidRPr="00A4272B">
        <w:rPr>
          <w:sz w:val="18"/>
          <w:szCs w:val="18"/>
          <w:lang w:val="en-US"/>
        </w:rPr>
        <w:t>Passive air sampler as a tool for long-term air pollution monitoring: Part 1. Performance assessment for seasonal and spatial variations, Environmental Pollution 144, 393-405.</w:t>
      </w:r>
    </w:p>
    <w:p w14:paraId="52631A6D" w14:textId="77777777" w:rsidR="00F3536C" w:rsidRPr="00A4272B" w:rsidRDefault="00F3536C" w:rsidP="006B1FE4">
      <w:pPr>
        <w:rPr>
          <w:sz w:val="18"/>
          <w:szCs w:val="18"/>
          <w:lang w:val="en-US"/>
        </w:rPr>
      </w:pPr>
      <w:r w:rsidRPr="00A4272B">
        <w:rPr>
          <w:sz w:val="18"/>
          <w:szCs w:val="18"/>
          <w:lang w:val="en-US"/>
        </w:rPr>
        <w:t>Klanova, J., Eupr, P., Kohoutek, J., Harner, T. 2008. Assessing the influence of meteorological parameters on the performance of polyurethane foam-based passive air samplers. Environ. Sci. Technol. 42, 550-555.</w:t>
      </w:r>
    </w:p>
    <w:p w14:paraId="3EF997C5" w14:textId="77777777" w:rsidR="00F3536C" w:rsidRPr="00A4272B" w:rsidRDefault="00F3536C" w:rsidP="006B1FE4">
      <w:pPr>
        <w:rPr>
          <w:sz w:val="18"/>
          <w:szCs w:val="18"/>
          <w:lang w:val="en-US"/>
        </w:rPr>
      </w:pPr>
      <w:r w:rsidRPr="00A4272B">
        <w:rPr>
          <w:sz w:val="18"/>
          <w:szCs w:val="18"/>
          <w:lang w:val="en-US"/>
        </w:rPr>
        <w:t xml:space="preserve">Klánová, J., Čupr, P., Holoubek, I., Borůvková, J., Kareš, R., Tomšej, T., Ocelka, T. 2009a Monitoring of persistent organic pollutants in Africa. Part 1: Passive air sampling across the continent in 2008. Journal of Environmental Monitoring 11, 1952-1963. </w:t>
      </w:r>
    </w:p>
    <w:p w14:paraId="0840480C" w14:textId="77777777" w:rsidR="00F3536C" w:rsidRPr="00A4272B" w:rsidRDefault="00F3536C" w:rsidP="006B1FE4">
      <w:pPr>
        <w:rPr>
          <w:sz w:val="18"/>
          <w:szCs w:val="18"/>
          <w:lang w:val="en-US"/>
        </w:rPr>
      </w:pPr>
      <w:r w:rsidRPr="00A4272B">
        <w:rPr>
          <w:sz w:val="18"/>
          <w:szCs w:val="18"/>
          <w:lang w:val="en-US"/>
        </w:rPr>
        <w:t>Klánová, J., Čupr, P., Holoubek, I., Borůvková, J., Přibylová, P., Kareš, R., Kohoutek, J., Dvorská, A., Komprda, J.: 2009b. Toward the Global Monitoring of POPs. Contribution of the MONET network. Masaryk University, Brno, Czech Republic. ISBN 978-80-210-4853-9.</w:t>
      </w:r>
    </w:p>
    <w:p w14:paraId="2518A1EB" w14:textId="77777777" w:rsidR="00F3536C" w:rsidRPr="00A4272B" w:rsidRDefault="00F3536C" w:rsidP="006B1FE4">
      <w:pPr>
        <w:rPr>
          <w:sz w:val="18"/>
          <w:szCs w:val="18"/>
          <w:lang w:val="en-US"/>
        </w:rPr>
      </w:pPr>
      <w:r w:rsidRPr="00A4272B">
        <w:rPr>
          <w:sz w:val="18"/>
          <w:szCs w:val="18"/>
          <w:lang w:val="en-US"/>
        </w:rPr>
        <w:t>Klánová, J., Kohoutek, J., Čupr, P., Holoubek, I. 2007. Are the residents of former Yugoslavia still exposed to elevated PCB levels due to the Balkan wars? Part 2: Passive air sampling network. Environ. Int. 33 (6), 727-735.</w:t>
      </w:r>
    </w:p>
    <w:p w14:paraId="3D0878A2" w14:textId="77777777" w:rsidR="00F3536C" w:rsidRPr="00A4272B" w:rsidRDefault="00F3536C" w:rsidP="006B1FE4">
      <w:pPr>
        <w:rPr>
          <w:sz w:val="18"/>
          <w:szCs w:val="18"/>
          <w:lang w:val="en-US"/>
        </w:rPr>
      </w:pPr>
      <w:r w:rsidRPr="00A4272B">
        <w:rPr>
          <w:sz w:val="18"/>
          <w:szCs w:val="18"/>
          <w:lang w:val="en-US"/>
        </w:rPr>
        <w:t>Klánová, J., Čupr, P., Kohoutek, J., Harner, T. 2008. Assessing meteorological parameters on the performance of PUF disks passive air samplers for POPs. Environ. Sci. Technol. 42 (2), 550-555.</w:t>
      </w:r>
    </w:p>
    <w:p w14:paraId="0908A48A" w14:textId="37ED312F" w:rsidR="00F3536C" w:rsidRPr="00A4272B" w:rsidRDefault="00F3536C" w:rsidP="006B1FE4">
      <w:pPr>
        <w:rPr>
          <w:sz w:val="18"/>
          <w:szCs w:val="18"/>
          <w:lang w:val="en-US"/>
        </w:rPr>
      </w:pPr>
      <w:r w:rsidRPr="00A4272B">
        <w:rPr>
          <w:sz w:val="18"/>
          <w:szCs w:val="18"/>
          <w:lang w:val="en-US"/>
        </w:rPr>
        <w:t>Klánová, J., Čupr, P., Holoubek, I., Borůvková, J., Kareš, R., Tomšej, T., Ocelka, T. 2009. Monitoring of persistent organic pollutants in Africa. Part 1: Passive air sampling across the continent in 2008. Journal of Environmental Monitoring 11, 1952-1963</w:t>
      </w:r>
      <w:r w:rsidR="00C96212" w:rsidRPr="00A4272B">
        <w:rPr>
          <w:sz w:val="18"/>
          <w:szCs w:val="18"/>
          <w:lang w:val="en-US"/>
        </w:rPr>
        <w:t>.</w:t>
      </w:r>
    </w:p>
    <w:p w14:paraId="2B9CF2C3" w14:textId="77777777" w:rsidR="00F3536C" w:rsidRPr="00A4272B" w:rsidRDefault="00F3536C" w:rsidP="006B1FE4">
      <w:pPr>
        <w:rPr>
          <w:sz w:val="18"/>
          <w:szCs w:val="18"/>
          <w:lang w:val="en-US"/>
        </w:rPr>
      </w:pPr>
      <w:r w:rsidRPr="00A4272B">
        <w:rPr>
          <w:sz w:val="18"/>
          <w:szCs w:val="18"/>
          <w:lang w:val="en-US"/>
        </w:rPr>
        <w:t>Koblizkova, M., Genualdi, S., Lee, S.C., Harner, T. 2012. Application of sorbeny impregnated polyurethane foam (SIP) disk passive air samplers for investigating organochlorine pesticides and Polybrominated Diphenyl ethers at the global scale. Environ. Sci. Technol. 46, 391-396.</w:t>
      </w:r>
    </w:p>
    <w:p w14:paraId="3F19F842" w14:textId="77777777" w:rsidR="00F3536C" w:rsidRPr="00A4272B" w:rsidRDefault="00F3536C" w:rsidP="006B1FE4">
      <w:pPr>
        <w:rPr>
          <w:sz w:val="18"/>
          <w:szCs w:val="18"/>
          <w:lang w:val="en-US"/>
        </w:rPr>
      </w:pPr>
      <w:r w:rsidRPr="00A4272B">
        <w:rPr>
          <w:sz w:val="18"/>
          <w:szCs w:val="18"/>
          <w:lang w:val="en-US"/>
        </w:rPr>
        <w:t>Koziol, A. S., Pudykiewicz, J. A., 2001. Global-scale environmental transport of persistent organic pollutants. Chemosphere, 45:1181-1200.</w:t>
      </w:r>
    </w:p>
    <w:p w14:paraId="6255D883" w14:textId="77777777" w:rsidR="00F3536C" w:rsidRPr="00A4272B" w:rsidRDefault="00F3536C" w:rsidP="006B1FE4">
      <w:pPr>
        <w:rPr>
          <w:sz w:val="18"/>
          <w:szCs w:val="18"/>
          <w:lang w:val="en-US"/>
        </w:rPr>
      </w:pPr>
      <w:r w:rsidRPr="00A4272B">
        <w:rPr>
          <w:sz w:val="18"/>
          <w:szCs w:val="18"/>
          <w:lang w:val="en-US"/>
        </w:rPr>
        <w:t>Kuang, Y., Zhou, G., Wen, D., Li, J., Sun, F. 2011. Analysis of polycyclic aromatic hydrocarbons in tree-rings of Masson pine (pinus massoniana L.) from two industrial sites in the Pearl River Delta, south China. Journal of Environmental Monitoring. 13, 2630.</w:t>
      </w:r>
    </w:p>
    <w:p w14:paraId="125FFFF2" w14:textId="77777777" w:rsidR="00F3536C" w:rsidRPr="00A4272B" w:rsidRDefault="00F3536C" w:rsidP="006B1FE4">
      <w:pPr>
        <w:rPr>
          <w:sz w:val="18"/>
          <w:szCs w:val="18"/>
          <w:lang w:val="en-US"/>
        </w:rPr>
      </w:pPr>
      <w:r w:rsidRPr="00A4272B">
        <w:rPr>
          <w:sz w:val="18"/>
          <w:szCs w:val="18"/>
          <w:lang w:val="en-US"/>
        </w:rPr>
        <w:t>Lal, V., Aalbersberg, W., Fiedler, H., van Bavel, B., and de Boer, J. 2013. Capacity building for persistent organic pollutant (POP) analysis in the Pacific and POP trends in the Pacific Islands. TrAC-Trends in Analytical Chemistry 46, 173-177.</w:t>
      </w:r>
    </w:p>
    <w:p w14:paraId="07EA9F0A" w14:textId="24DC32E6" w:rsidR="00F3536C" w:rsidRPr="00A4272B" w:rsidRDefault="00F3536C" w:rsidP="006B1FE4">
      <w:pPr>
        <w:rPr>
          <w:sz w:val="18"/>
          <w:szCs w:val="18"/>
          <w:lang w:val="en-US"/>
        </w:rPr>
      </w:pPr>
      <w:r w:rsidRPr="00A4272B">
        <w:rPr>
          <w:sz w:val="18"/>
          <w:szCs w:val="18"/>
          <w:lang w:val="en-US"/>
        </w:rPr>
        <w:t>Lammel, G.; Dobrovolny, P.; Dvorska, A.; Chroma, K; Brazdil, R; Holoubek, I; Hosek, J. 2009 Monitoring of persistent organic pollutants in Africa. Part 2: Design of a network to monitor the continental and intercontinental background. Journal of Environmental Monitoring 2009, 11, 1964-1972</w:t>
      </w:r>
      <w:r w:rsidR="00C87B52" w:rsidRPr="00A4272B">
        <w:rPr>
          <w:sz w:val="18"/>
          <w:szCs w:val="18"/>
          <w:lang w:val="en-US"/>
        </w:rPr>
        <w:t>.</w:t>
      </w:r>
    </w:p>
    <w:p w14:paraId="4EE3F7FB" w14:textId="4F003130" w:rsidR="00F3536C" w:rsidRPr="00A4272B" w:rsidRDefault="00F3536C" w:rsidP="006B1FE4">
      <w:pPr>
        <w:rPr>
          <w:sz w:val="18"/>
          <w:szCs w:val="18"/>
          <w:lang w:val="en-US"/>
        </w:rPr>
      </w:pPr>
      <w:r w:rsidRPr="00A4272B">
        <w:rPr>
          <w:sz w:val="18"/>
          <w:szCs w:val="18"/>
          <w:lang w:val="en-US"/>
        </w:rPr>
        <w:t>Lammel, G., Heil, A., Stemmler, I., Dvorská, A., Klánová, J. 2013. On the Contribution of Biomass Burning to POPs (PAHs and PCDDs) in Air in Africa. Environmental Science and Technology 47 (20), 11616–11624</w:t>
      </w:r>
      <w:r w:rsidR="00C87B52" w:rsidRPr="00A4272B">
        <w:rPr>
          <w:sz w:val="18"/>
          <w:szCs w:val="18"/>
          <w:lang w:val="en-US"/>
        </w:rPr>
        <w:t>.</w:t>
      </w:r>
    </w:p>
    <w:p w14:paraId="1AAD3E9D" w14:textId="77777777" w:rsidR="00F3536C" w:rsidRPr="00A4272B" w:rsidRDefault="00F3536C" w:rsidP="006B1FE4">
      <w:pPr>
        <w:rPr>
          <w:sz w:val="18"/>
          <w:szCs w:val="18"/>
          <w:lang w:val="en-US"/>
        </w:rPr>
      </w:pPr>
      <w:r w:rsidRPr="00A4272B">
        <w:rPr>
          <w:sz w:val="18"/>
          <w:szCs w:val="18"/>
          <w:lang w:val="en-US"/>
        </w:rPr>
        <w:t>Lane, D. A. Ed. 1999. Gas and particle phase measurements of atmospheric organic compounds. Gordon and Breach Science Publishers.</w:t>
      </w:r>
    </w:p>
    <w:p w14:paraId="0C000EA7" w14:textId="77777777" w:rsidR="00182CFD" w:rsidRPr="00A4272B" w:rsidRDefault="00182CFD" w:rsidP="006B1FE4">
      <w:pPr>
        <w:rPr>
          <w:sz w:val="18"/>
          <w:szCs w:val="18"/>
          <w:lang w:val="en-US"/>
        </w:rPr>
      </w:pPr>
      <w:r w:rsidRPr="00A4272B">
        <w:rPr>
          <w:sz w:val="18"/>
          <w:szCs w:val="18"/>
          <w:lang w:val="en-US"/>
        </w:rPr>
        <w:t>Li, Y., Zhan, F., Shunthirasingham, C., Lei, Y. D., Hung, H., Wania, F. (2023a) Unbiased passive sampling of all polychlorinated biphenyls congeners from air. Environ. Sci. Technol. Lett. 10 (7): 565-572.</w:t>
      </w:r>
    </w:p>
    <w:p w14:paraId="793ED011" w14:textId="2320C1EE" w:rsidR="00182CFD" w:rsidRPr="00B25CD5" w:rsidRDefault="00182CFD" w:rsidP="006B1FE4">
      <w:pPr>
        <w:rPr>
          <w:sz w:val="18"/>
          <w:szCs w:val="18"/>
          <w:lang w:val="fr-CH"/>
        </w:rPr>
      </w:pPr>
      <w:r w:rsidRPr="00A4272B">
        <w:rPr>
          <w:sz w:val="18"/>
          <w:szCs w:val="18"/>
          <w:lang w:val="en-US"/>
        </w:rPr>
        <w:t xml:space="preserve">Li, Y., Zhan, F., Lei, Y. D., Shunthirasingham, C., Hung, H., Wania, F. (2023b) Field Calibration and PAS-SIM Model Evaluation of the XAD-Based Passive Air Samplers for Semi-Volatile Organic Compounds. </w:t>
      </w:r>
      <w:r w:rsidRPr="00B25CD5">
        <w:rPr>
          <w:sz w:val="18"/>
          <w:szCs w:val="18"/>
          <w:lang w:val="fr-CH"/>
        </w:rPr>
        <w:t>Environ. Sci. Technol., 57, 9224-9233, DOI: 10.1021/acs.est.3c00809</w:t>
      </w:r>
      <w:r w:rsidR="00C96212" w:rsidRPr="00B25CD5">
        <w:rPr>
          <w:sz w:val="18"/>
          <w:szCs w:val="18"/>
          <w:lang w:val="fr-CH"/>
        </w:rPr>
        <w:t>.</w:t>
      </w:r>
    </w:p>
    <w:p w14:paraId="0347CC21" w14:textId="7A31F7B5" w:rsidR="00F3536C" w:rsidRPr="00A4272B" w:rsidRDefault="00F3536C" w:rsidP="006B1FE4">
      <w:pPr>
        <w:rPr>
          <w:sz w:val="18"/>
          <w:szCs w:val="18"/>
          <w:lang w:val="en-US"/>
        </w:rPr>
      </w:pPr>
      <w:r w:rsidRPr="00B25CD5">
        <w:rPr>
          <w:sz w:val="18"/>
          <w:szCs w:val="18"/>
          <w:lang w:val="fr-CH"/>
        </w:rPr>
        <w:t xml:space="preserve">Lin J.L., Noll, K.E., Holsen, T.M. 1994. </w:t>
      </w:r>
      <w:r w:rsidRPr="00A4272B">
        <w:rPr>
          <w:sz w:val="18"/>
          <w:szCs w:val="18"/>
          <w:lang w:val="en-US"/>
        </w:rPr>
        <w:t>Dry deposition velocities as a function of particle size in the ambient atmosphere. Aerosol Sci. Technol. 20:3, 239-252.</w:t>
      </w:r>
    </w:p>
    <w:p w14:paraId="5923925F" w14:textId="7AA19010" w:rsidR="00182CFD" w:rsidRPr="00A4272B" w:rsidRDefault="00182CFD" w:rsidP="006B1FE4">
      <w:pPr>
        <w:rPr>
          <w:sz w:val="18"/>
          <w:szCs w:val="18"/>
          <w:lang w:val="en-US"/>
        </w:rPr>
      </w:pPr>
      <w:r w:rsidRPr="00A4272B">
        <w:rPr>
          <w:sz w:val="18"/>
          <w:szCs w:val="18"/>
          <w:lang w:val="en-US"/>
        </w:rPr>
        <w:t>Liu, Q., Li., L., Zhang, X., Saini, A., Li, W., Hung, H., Hao, C., Li, K., Lee, P., Wentzell, J.J.B., Huo, C., Li., S-M., Harner, T., and Liggio, J. Uncovering global-scale risks from commercial chemicals in air.  Nature 2021, 600, 457-461. https://doi.org/10.1038/s41586-021-04134-6</w:t>
      </w:r>
      <w:r w:rsidR="00C96212" w:rsidRPr="00A4272B">
        <w:rPr>
          <w:sz w:val="18"/>
          <w:szCs w:val="18"/>
          <w:lang w:val="en-US"/>
        </w:rPr>
        <w:t>.</w:t>
      </w:r>
    </w:p>
    <w:p w14:paraId="746EBF37" w14:textId="77777777" w:rsidR="00F3536C" w:rsidRPr="00A4272B" w:rsidRDefault="00F3536C" w:rsidP="006B1FE4">
      <w:pPr>
        <w:rPr>
          <w:sz w:val="18"/>
          <w:szCs w:val="18"/>
          <w:lang w:val="en-US"/>
        </w:rPr>
      </w:pPr>
      <w:r w:rsidRPr="00A4272B">
        <w:rPr>
          <w:sz w:val="18"/>
          <w:szCs w:val="18"/>
          <w:lang w:val="en-US"/>
        </w:rPr>
        <w:t xml:space="preserve">Liu, Yongchun, Liggio, J., Harner, T., Jantunen, L., Shoeib, M., Li, S-M. 2014. Heterogeneous OH inititated oxidation: A possible explanation for the persistence of organophosphate flame retardants in air. Environ Sci. Technol. 48, 1041-1048. </w:t>
      </w:r>
    </w:p>
    <w:p w14:paraId="57AA87C9" w14:textId="77777777" w:rsidR="00F3536C" w:rsidRPr="00A4272B" w:rsidRDefault="00F3536C" w:rsidP="006B1FE4">
      <w:pPr>
        <w:rPr>
          <w:sz w:val="18"/>
          <w:szCs w:val="18"/>
          <w:lang w:val="en-US"/>
        </w:rPr>
      </w:pPr>
      <w:r w:rsidRPr="00A4272B">
        <w:rPr>
          <w:sz w:val="18"/>
          <w:szCs w:val="18"/>
          <w:lang w:val="en-US"/>
        </w:rPr>
        <w:t>Ma, J., Hung, H., Blanchard, P. 2004. How do climate fluctuations affect persistent organic pollutant distribution in North America? Evidence from a decade of air monitoring data. 2004. Environ. Sci. Technol. 38, 2538-2543.</w:t>
      </w:r>
    </w:p>
    <w:p w14:paraId="4427FCAA" w14:textId="77777777" w:rsidR="00F3536C" w:rsidRPr="00A4272B" w:rsidRDefault="00F3536C" w:rsidP="006B1FE4">
      <w:pPr>
        <w:rPr>
          <w:sz w:val="18"/>
          <w:szCs w:val="18"/>
          <w:lang w:val="en-US"/>
        </w:rPr>
      </w:pPr>
      <w:r w:rsidRPr="00A4272B">
        <w:rPr>
          <w:sz w:val="18"/>
          <w:szCs w:val="18"/>
          <w:lang w:val="en-US"/>
        </w:rPr>
        <w:t>Ma, J., Hung, H., Tian, C., Kallenborn, R. 2011. Revolatilization of persistent organic pollutants in the Arctic induced by climate change. Nature Climate Change. 1, 255-260.</w:t>
      </w:r>
    </w:p>
    <w:p w14:paraId="4D14ED02" w14:textId="77777777" w:rsidR="00F3536C" w:rsidRPr="00A4272B" w:rsidRDefault="00F3536C" w:rsidP="006B1FE4">
      <w:pPr>
        <w:rPr>
          <w:sz w:val="18"/>
          <w:szCs w:val="18"/>
          <w:lang w:val="en-US"/>
        </w:rPr>
      </w:pPr>
      <w:r w:rsidRPr="00A4272B">
        <w:rPr>
          <w:sz w:val="18"/>
          <w:szCs w:val="18"/>
          <w:lang w:val="en-US"/>
        </w:rPr>
        <w:lastRenderedPageBreak/>
        <w:t>Ma, J., Hung, H., Macdonald, R. W. (2016) The influence of global climate change on the environmental fate of persistent organic pollutants: A review with emphasis on the Northern Hemisphere and the Arctic as a receptor. Global and Planetary Change, 146: 89-108.</w:t>
      </w:r>
    </w:p>
    <w:p w14:paraId="36D54B1B" w14:textId="77777777" w:rsidR="00F3536C" w:rsidRPr="00A4272B" w:rsidRDefault="00F3536C" w:rsidP="006B1FE4">
      <w:pPr>
        <w:rPr>
          <w:sz w:val="18"/>
          <w:szCs w:val="18"/>
          <w:lang w:val="en-US"/>
        </w:rPr>
      </w:pPr>
      <w:r w:rsidRPr="00A4272B">
        <w:rPr>
          <w:sz w:val="18"/>
          <w:szCs w:val="18"/>
          <w:lang w:val="en-US"/>
        </w:rPr>
        <w:t>Macdonald, R., Harner, T., Fyfe, J. 2005. Recent climate change in the Arctic and its impact on contaminant pathways and interpretation of temporal trend data. Sci. Total Environ. 342, 5-86.</w:t>
      </w:r>
    </w:p>
    <w:p w14:paraId="2FAF1B6F" w14:textId="77777777" w:rsidR="00F3536C" w:rsidRPr="00A4272B" w:rsidRDefault="00F3536C" w:rsidP="006B1FE4">
      <w:pPr>
        <w:rPr>
          <w:sz w:val="18"/>
          <w:szCs w:val="18"/>
          <w:lang w:val="en-US"/>
        </w:rPr>
      </w:pPr>
      <w:r w:rsidRPr="00A4272B">
        <w:rPr>
          <w:sz w:val="18"/>
          <w:szCs w:val="18"/>
          <w:lang w:val="en-US"/>
        </w:rPr>
        <w:t>MacLeod, M., Woodfine, D. G., Mackay, D., McKone, T. E., Bennett, D.H., Maddalena, R., 2001. BETR North America: A regionally segmented multimedia contaminant fate model for North America. Environ. Sci. Pollut. Res., 8:156-163.</w:t>
      </w:r>
    </w:p>
    <w:p w14:paraId="2E6C00A9" w14:textId="3ABC94B6" w:rsidR="00F3536C" w:rsidRPr="00A4272B" w:rsidRDefault="00F3536C" w:rsidP="006B1FE4">
      <w:pPr>
        <w:rPr>
          <w:sz w:val="18"/>
          <w:szCs w:val="18"/>
          <w:lang w:val="en-US"/>
        </w:rPr>
      </w:pPr>
      <w:r w:rsidRPr="00A4272B">
        <w:rPr>
          <w:sz w:val="18"/>
          <w:szCs w:val="18"/>
          <w:lang w:val="en-US"/>
        </w:rPr>
        <w:t>MacLeod, M., Wegmann, F., Scheringer, M. Model Results for Overall Persistence and Potential for Long</w:t>
      </w:r>
      <w:r w:rsidR="00182CFD" w:rsidRPr="00A4272B">
        <w:rPr>
          <w:sz w:val="18"/>
          <w:szCs w:val="18"/>
          <w:lang w:val="en-US"/>
        </w:rPr>
        <w:t xml:space="preserve"> </w:t>
      </w:r>
      <w:r w:rsidRPr="00A4272B">
        <w:rPr>
          <w:sz w:val="18"/>
          <w:szCs w:val="18"/>
          <w:lang w:val="en-US"/>
        </w:rPr>
        <w:t xml:space="preserve">Range Transport for the UNECE Convention on Long­range Transboundary Air Pollution Protocol on Persistent Organic Substances Candidate Substances. June 11, 2007, Available from: </w:t>
      </w:r>
      <w:hyperlink r:id="rId96" w:history="1">
        <w:r w:rsidR="00F10022" w:rsidRPr="00A4272B">
          <w:rPr>
            <w:rStyle w:val="Hyperlink"/>
            <w:sz w:val="18"/>
            <w:szCs w:val="18"/>
            <w:lang w:val="en-US"/>
          </w:rPr>
          <w:t>https://www.ethz.ch/content/dam/ethz/special-interest/chab/icb/set-dam/documents/downloads/UNECE-POP-CandidatesTheTool.pdf</w:t>
        </w:r>
      </w:hyperlink>
      <w:r w:rsidR="00C96212" w:rsidRPr="00A4272B">
        <w:rPr>
          <w:lang w:val="en-US"/>
        </w:rPr>
        <w:t>.</w:t>
      </w:r>
    </w:p>
    <w:p w14:paraId="00621A0E" w14:textId="5AC3D50A" w:rsidR="00F3536C" w:rsidRPr="00A4272B" w:rsidRDefault="00F3536C" w:rsidP="006B1FE4">
      <w:pPr>
        <w:rPr>
          <w:sz w:val="18"/>
          <w:szCs w:val="18"/>
          <w:lang w:val="en-US"/>
        </w:rPr>
      </w:pPr>
      <w:r w:rsidRPr="00B25CD5">
        <w:rPr>
          <w:sz w:val="18"/>
          <w:szCs w:val="18"/>
          <w:lang w:val="nb-NO"/>
        </w:rPr>
        <w:t xml:space="preserve">Markovic, M., Prokop, S., Staebler, R.M., Liggio, J., Harner, T. 2015. </w:t>
      </w:r>
      <w:r w:rsidRPr="00A4272B">
        <w:rPr>
          <w:sz w:val="18"/>
          <w:szCs w:val="18"/>
          <w:lang w:val="en-US"/>
        </w:rPr>
        <w:t>Evaluation of the particle infiltration efficiency of three passive samplers and the PS-1 active air sampler. Atmos. Environ. 112, 289-293.</w:t>
      </w:r>
    </w:p>
    <w:p w14:paraId="4E8E4993" w14:textId="77777777" w:rsidR="00F3536C" w:rsidRPr="00A4272B" w:rsidRDefault="00F3536C" w:rsidP="006B1FE4">
      <w:pPr>
        <w:rPr>
          <w:sz w:val="18"/>
          <w:szCs w:val="18"/>
          <w:lang w:val="en-US"/>
        </w:rPr>
      </w:pPr>
      <w:r w:rsidRPr="00A4272B">
        <w:rPr>
          <w:sz w:val="18"/>
          <w:szCs w:val="18"/>
          <w:lang w:val="en-US"/>
        </w:rPr>
        <w:t>Martrat, M.G., Parera J, Adrados M. A, Abalos M, Fiedler H, Abad E, 2012. Analysis of PBDEs in Passive Air Samples to Support the Global Monitoring Plan under the Stockholm Convention on Persistent Organic Pollutants. Organohalogen Compd. 74, 1308-1311.</w:t>
      </w:r>
    </w:p>
    <w:p w14:paraId="62E0BCAC" w14:textId="38D22747" w:rsidR="00182CFD" w:rsidRPr="00A4272B" w:rsidRDefault="00182CFD" w:rsidP="006B1FE4">
      <w:pPr>
        <w:rPr>
          <w:sz w:val="18"/>
          <w:szCs w:val="18"/>
          <w:lang w:val="en-US"/>
        </w:rPr>
      </w:pPr>
      <w:r w:rsidRPr="00A4272B">
        <w:rPr>
          <w:sz w:val="18"/>
          <w:szCs w:val="18"/>
          <w:lang w:val="en-US"/>
        </w:rPr>
        <w:t xml:space="preserve">Melymuk, L., Bohlin Nizzetto, P., Harner, T. (+17 authors). Global intercomparison of polyurethane foam passive air samplers evaluating variability in SVOCs due to sampler design and analysis.  Environmental Science &amp; Policy 2021, 125, 1-9. </w:t>
      </w:r>
      <w:hyperlink r:id="rId97" w:history="1">
        <w:r w:rsidRPr="00A4272B">
          <w:rPr>
            <w:rStyle w:val="Hyperlink"/>
            <w:sz w:val="18"/>
            <w:szCs w:val="18"/>
            <w:lang w:val="en-US"/>
          </w:rPr>
          <w:t>https://doi.org/10.1016/j.envsci.2021.08.003</w:t>
        </w:r>
      </w:hyperlink>
      <w:r w:rsidRPr="00A4272B">
        <w:rPr>
          <w:sz w:val="18"/>
          <w:szCs w:val="18"/>
          <w:lang w:val="en-US"/>
        </w:rPr>
        <w:t>.</w:t>
      </w:r>
    </w:p>
    <w:p w14:paraId="43A978FA" w14:textId="43E69FA2" w:rsidR="00F3536C" w:rsidRPr="00A4272B" w:rsidRDefault="00F3536C" w:rsidP="006B1FE4">
      <w:pPr>
        <w:rPr>
          <w:sz w:val="18"/>
          <w:szCs w:val="18"/>
          <w:lang w:val="en-US"/>
        </w:rPr>
      </w:pPr>
      <w:r w:rsidRPr="00A4272B">
        <w:rPr>
          <w:sz w:val="18"/>
          <w:szCs w:val="18"/>
          <w:lang w:val="en-US"/>
        </w:rPr>
        <w:t>Meire, R.O., Lee, S.C., Yao, Y., Targino, A.C., Torres, J.P., Harner, T. Seasonal and altitudinal variations of legacy and current-use pesticides in the Brazilian tropical and subtropical mountains. Atmospheric Environment 2012, 59, 108-116.</w:t>
      </w:r>
    </w:p>
    <w:p w14:paraId="5792D840" w14:textId="77777777" w:rsidR="00F3536C" w:rsidRPr="00A4272B" w:rsidRDefault="00F3536C" w:rsidP="006B1FE4">
      <w:pPr>
        <w:rPr>
          <w:sz w:val="18"/>
          <w:szCs w:val="18"/>
          <w:lang w:val="en-US"/>
        </w:rPr>
      </w:pPr>
      <w:r w:rsidRPr="00A4272B">
        <w:rPr>
          <w:sz w:val="18"/>
          <w:szCs w:val="18"/>
          <w:lang w:val="en-US"/>
        </w:rPr>
        <w:t>Melymuk, L., Bohlin, P., Sanka, Ondrej, Pozo, K., Klanova, J. 2014. Current Challenges in Air Sampling of Semivolatile Organic Contaminants: Sampling Artifacts and Their Influence on Data Comparability. Environ. Sci. Technol. 48, 14077-14091.</w:t>
      </w:r>
    </w:p>
    <w:p w14:paraId="377EE964" w14:textId="77777777" w:rsidR="00F3536C" w:rsidRPr="00A4272B" w:rsidRDefault="00F3536C" w:rsidP="006B1FE4">
      <w:pPr>
        <w:rPr>
          <w:sz w:val="18"/>
          <w:szCs w:val="18"/>
          <w:lang w:val="en-US"/>
        </w:rPr>
      </w:pPr>
      <w:r w:rsidRPr="00A4272B">
        <w:rPr>
          <w:sz w:val="18"/>
          <w:szCs w:val="18"/>
          <w:lang w:val="en-US"/>
        </w:rPr>
        <w:t>Melymuk, L., Bohlin-Nizzetto, P., Prokeš, R., Kukučka, P., Klánová, J. 2016. Sampling artifacts in active air sampling of semivolatile organic contaminants: comparing theoretical and measured artifacts and evaluating implications for monitoring networks. Environmental Pollution 217, 97-106.</w:t>
      </w:r>
    </w:p>
    <w:p w14:paraId="1ACC6883" w14:textId="77777777" w:rsidR="00F3536C" w:rsidRPr="00A4272B" w:rsidRDefault="00F3536C" w:rsidP="006B1FE4">
      <w:pPr>
        <w:rPr>
          <w:sz w:val="18"/>
          <w:szCs w:val="18"/>
          <w:lang w:val="en-US"/>
        </w:rPr>
      </w:pPr>
      <w:r w:rsidRPr="00A4272B">
        <w:rPr>
          <w:sz w:val="18"/>
          <w:szCs w:val="18"/>
          <w:lang w:val="en-US"/>
        </w:rPr>
        <w:t xml:space="preserve">Melymuk, L., Bohlin-Nizzetto, P., Prokeš, R., Kukučka, P., Přibylová, P., Vojta, Š, Kohoutek, J., Lammel, G., Klánová, J. 2017. Uncertainties in monitoring of SVOCs in air caused by within-sampler degradation during active and passive air sampling. Atmospheric Environment, 167, 553–565. </w:t>
      </w:r>
    </w:p>
    <w:p w14:paraId="2ED2327F" w14:textId="77777777" w:rsidR="00F3536C" w:rsidRPr="00A4272B" w:rsidRDefault="00F3536C" w:rsidP="006B1FE4">
      <w:pPr>
        <w:rPr>
          <w:sz w:val="18"/>
          <w:szCs w:val="18"/>
          <w:lang w:val="en-US"/>
        </w:rPr>
      </w:pPr>
      <w:r w:rsidRPr="00A4272B">
        <w:rPr>
          <w:sz w:val="18"/>
          <w:szCs w:val="18"/>
          <w:lang w:val="en-US"/>
        </w:rPr>
        <w:t>Melymuk, L.; Bohlin-Nizzetto, P.; Kukucka, P.; Vojta, S.; Kalina, J.; Cupr, P.; Klanova, J. 2018. Seasonality and indoor/outdoor relationships of flame retardants and PCBs in residential air. Environ. Pollut. 218, 392-401.</w:t>
      </w:r>
    </w:p>
    <w:p w14:paraId="407EA691" w14:textId="55C8F0FA" w:rsidR="00182CFD" w:rsidRPr="00A4272B" w:rsidRDefault="00182CFD" w:rsidP="006B1FE4">
      <w:pPr>
        <w:rPr>
          <w:sz w:val="18"/>
          <w:szCs w:val="18"/>
          <w:lang w:val="en-US"/>
        </w:rPr>
      </w:pPr>
      <w:r w:rsidRPr="00A4272B">
        <w:rPr>
          <w:sz w:val="18"/>
          <w:szCs w:val="18"/>
          <w:lang w:val="en-US"/>
        </w:rPr>
        <w:t>Miglioranza KSB, Ondarza P, Costa P, de Azevedo A, Gonzalez M, Shimabukuro V, Grondona S, Mitton F, Barra R, Wania F and Fillmann G. (2021). Spatial and temporal distribution of Persistent Organic Pollutants and Current Use Pesticides in the atmosphere of Argentinean Patagonia. Chemosphere .266, 129015.</w:t>
      </w:r>
    </w:p>
    <w:p w14:paraId="50E801DC" w14:textId="4C99B9ED" w:rsidR="00F3536C" w:rsidRPr="00A4272B" w:rsidRDefault="00F3536C" w:rsidP="006B1FE4">
      <w:pPr>
        <w:rPr>
          <w:sz w:val="18"/>
          <w:szCs w:val="18"/>
          <w:lang w:val="en-US"/>
        </w:rPr>
      </w:pPr>
      <w:r w:rsidRPr="00A4272B">
        <w:rPr>
          <w:sz w:val="18"/>
          <w:szCs w:val="18"/>
          <w:lang w:val="en-US"/>
        </w:rPr>
        <w:t>Moody, J. L., Munger, J. W., Goldstein, A. H., Jacob, D. J., Wofsy, S. C., 1998. Harvard Forest regional-scale air mass composition by Patterns in Atmospheric Transport History (PATH), J. Geophys. Res., 103(D11), 13181-13194, 10.1029/98JD00526.</w:t>
      </w:r>
    </w:p>
    <w:p w14:paraId="6F9C38F3" w14:textId="77777777" w:rsidR="00F3536C" w:rsidRPr="00A4272B" w:rsidRDefault="00F3536C" w:rsidP="006B1FE4">
      <w:pPr>
        <w:rPr>
          <w:sz w:val="18"/>
          <w:szCs w:val="18"/>
          <w:lang w:val="en-US"/>
        </w:rPr>
      </w:pPr>
      <w:r w:rsidRPr="00A4272B">
        <w:rPr>
          <w:sz w:val="18"/>
          <w:szCs w:val="18"/>
          <w:lang w:val="en-US"/>
        </w:rPr>
        <w:t xml:space="preserve">Motelay-Massei, A., Harner T., Shoeib, M., Diamond, M., Stern, G., Rosenberg, B. 2005. Using passive air samplers to assess urban-rural trends for persistent organic pollutnats and polycyclic aromatic hydrocarbons. 2. Seasonal trends for PAHs, PCBs, and organochlorine pesticides. Environ. Sci. Technol. 39, 5763-5773. </w:t>
      </w:r>
    </w:p>
    <w:p w14:paraId="5741AEEC" w14:textId="77777777" w:rsidR="00F3536C" w:rsidRPr="00A4272B" w:rsidRDefault="00F3536C" w:rsidP="006B1FE4">
      <w:pPr>
        <w:rPr>
          <w:sz w:val="18"/>
          <w:szCs w:val="18"/>
          <w:lang w:val="en-US"/>
        </w:rPr>
      </w:pPr>
      <w:r w:rsidRPr="00A4272B">
        <w:rPr>
          <w:sz w:val="18"/>
          <w:szCs w:val="18"/>
          <w:lang w:val="en-US"/>
        </w:rPr>
        <w:t>Muir, D., de Wit, Cynthia., Eds. 2010. Levels and trends of legacy and new persistent organic pollutants in the Arctic: an AMAP assessment. Sci. Total Environ. 408, 15.</w:t>
      </w:r>
    </w:p>
    <w:p w14:paraId="0DE07C43" w14:textId="77777777" w:rsidR="00F3536C" w:rsidRPr="00A4272B" w:rsidRDefault="00F3536C" w:rsidP="006B1FE4">
      <w:pPr>
        <w:rPr>
          <w:sz w:val="18"/>
          <w:szCs w:val="18"/>
          <w:lang w:val="en-US"/>
        </w:rPr>
      </w:pPr>
      <w:r w:rsidRPr="00A4272B">
        <w:rPr>
          <w:sz w:val="18"/>
          <w:szCs w:val="18"/>
          <w:lang w:val="en-US"/>
        </w:rPr>
        <w:t>Muir D.C.G, Kurt-Karakus P., Stern G., Evan M. 2013. Legacy and new POPs in marine and lake sediments. In: Canadian arctic contaminants assessment report III: Persistent organic pollutants in Canada’s North. Aboriginal Affairs and Northern Development Canada, Ottawa, pp 218–226.</w:t>
      </w:r>
    </w:p>
    <w:p w14:paraId="780BD8B9" w14:textId="77777777" w:rsidR="00F3536C" w:rsidRPr="00A4272B" w:rsidRDefault="00F3536C" w:rsidP="006B1FE4">
      <w:pPr>
        <w:rPr>
          <w:sz w:val="18"/>
          <w:szCs w:val="18"/>
          <w:lang w:val="en-US"/>
        </w:rPr>
      </w:pPr>
      <w:r w:rsidRPr="00A4272B">
        <w:rPr>
          <w:sz w:val="18"/>
          <w:szCs w:val="18"/>
          <w:lang w:val="en-US"/>
        </w:rPr>
        <w:t>Novak, J., Giesy, J.P., Klanova, J., Hilscherova, K. 2013. In vitro effects of pollutants from particulate and volatile fractions of air samples-day and night variability Environmental Science and Pollution Research 20(9), 6620-6627.</w:t>
      </w:r>
    </w:p>
    <w:p w14:paraId="79862EDC" w14:textId="77777777" w:rsidR="00F3536C" w:rsidRPr="00A4272B" w:rsidRDefault="00F3536C" w:rsidP="006B1FE4">
      <w:pPr>
        <w:rPr>
          <w:sz w:val="18"/>
          <w:szCs w:val="18"/>
          <w:lang w:val="en-US"/>
        </w:rPr>
      </w:pPr>
      <w:r w:rsidRPr="00A4272B">
        <w:rPr>
          <w:sz w:val="18"/>
          <w:szCs w:val="18"/>
          <w:lang w:val="en-US"/>
        </w:rPr>
        <w:t xml:space="preserve">Novák, J., Hilscherová, K., Landlová, L., Čupr, P., Kohút, L., Giesy, J.P., Klánová, J. 2014. Composition and effects of inhalable size fractions of atmospheric aerosols in the polluted atmosphere. Part II. In vitro biological potencies. Environment International 63, 64-70. </w:t>
      </w:r>
    </w:p>
    <w:p w14:paraId="53653F50" w14:textId="6E3AB6AD" w:rsidR="00182CFD" w:rsidRPr="00A4272B" w:rsidRDefault="00182CFD" w:rsidP="006B1FE4">
      <w:pPr>
        <w:rPr>
          <w:sz w:val="18"/>
          <w:szCs w:val="18"/>
          <w:lang w:val="en-US"/>
        </w:rPr>
      </w:pPr>
      <w:r w:rsidRPr="00A4272B">
        <w:rPr>
          <w:sz w:val="18"/>
          <w:szCs w:val="18"/>
          <w:lang w:val="en-US"/>
        </w:rPr>
        <w:t>OECD, 2023. Review of the OECD POV and LRTP Screening Tool 15 years after its release. OECD Environment, Health and Safety Publications. SERIES ON TESTING AND ASSESSMENT. NO. 388. ENV/CBC/MONO(2023)36.</w:t>
      </w:r>
    </w:p>
    <w:p w14:paraId="2BC09F4A" w14:textId="77777777" w:rsidR="00F3536C" w:rsidRPr="00A4272B" w:rsidRDefault="00F3536C" w:rsidP="006B1FE4">
      <w:pPr>
        <w:rPr>
          <w:sz w:val="18"/>
          <w:szCs w:val="18"/>
          <w:lang w:val="en-US"/>
        </w:rPr>
      </w:pPr>
      <w:r w:rsidRPr="00A4272B">
        <w:rPr>
          <w:sz w:val="18"/>
          <w:szCs w:val="18"/>
          <w:lang w:val="en-US"/>
        </w:rPr>
        <w:t>Ockenden, W. A., Prest, H. F., Thomas, G. O., Sweetman, A., Jones, K. C. 1998. Passive air sampling of PCBs: Field calculation of atmospheric sampling rates by triolein-containing semipermeable membrane devices. Environ. Sci. Technol. 32, 1538-1543.</w:t>
      </w:r>
    </w:p>
    <w:p w14:paraId="17ABACFB" w14:textId="77777777" w:rsidR="00F3536C" w:rsidRPr="00A4272B" w:rsidRDefault="00F3536C" w:rsidP="006B1FE4">
      <w:pPr>
        <w:rPr>
          <w:sz w:val="18"/>
          <w:szCs w:val="18"/>
          <w:lang w:val="en-US"/>
        </w:rPr>
      </w:pPr>
      <w:r w:rsidRPr="00A4272B">
        <w:rPr>
          <w:sz w:val="18"/>
          <w:szCs w:val="18"/>
          <w:lang w:val="en-US"/>
        </w:rPr>
        <w:t>Odabasi, M., Falay, E., Tuna, G., Altiok, H., Kara, M., Dumanoglu, Y., Bayram, A., Tolunay, D., Elbir, T. 2015. Biomonitoring of the spatial and historical variations of persistent organic pollutants (POPs) in an industrial region. Environ. Sci. Technol. 49, 2105-2114.</w:t>
      </w:r>
    </w:p>
    <w:p w14:paraId="68B44276" w14:textId="1FFEB8D0" w:rsidR="00182CFD" w:rsidRPr="00A4272B" w:rsidRDefault="00F3536C" w:rsidP="006B1FE4">
      <w:pPr>
        <w:rPr>
          <w:sz w:val="18"/>
          <w:szCs w:val="18"/>
          <w:lang w:val="en-US"/>
        </w:rPr>
      </w:pPr>
      <w:r w:rsidRPr="00A4272B">
        <w:rPr>
          <w:sz w:val="18"/>
          <w:szCs w:val="18"/>
          <w:lang w:val="en-US"/>
        </w:rPr>
        <w:lastRenderedPageBreak/>
        <w:t>Pacyna, J.M., Cousins, I.T., Halsall, C., Rautio, A., Pawlak, J., Pacyna, E.G., Sundseth, K.,</w:t>
      </w:r>
      <w:r w:rsidR="006B1FE4" w:rsidRPr="00A4272B">
        <w:rPr>
          <w:sz w:val="18"/>
          <w:szCs w:val="18"/>
          <w:lang w:val="en-US"/>
        </w:rPr>
        <w:t xml:space="preserve"> G</w:t>
      </w:r>
      <w:r w:rsidR="00182CFD" w:rsidRPr="00A4272B">
        <w:rPr>
          <w:sz w:val="18"/>
          <w:szCs w:val="18"/>
          <w:lang w:val="en-US"/>
        </w:rPr>
        <w:t>lobal environmental regulations. Geophysical Research Letters, 47, e2020GL087535, 2020.</w:t>
      </w:r>
    </w:p>
    <w:p w14:paraId="159713F8" w14:textId="77777777" w:rsidR="00F3536C" w:rsidRPr="00A4272B" w:rsidRDefault="00F3536C" w:rsidP="006B1FE4">
      <w:pPr>
        <w:rPr>
          <w:sz w:val="18"/>
          <w:szCs w:val="18"/>
          <w:lang w:val="en-US"/>
        </w:rPr>
      </w:pPr>
      <w:r w:rsidRPr="00A4272B">
        <w:rPr>
          <w:sz w:val="18"/>
          <w:szCs w:val="18"/>
          <w:lang w:val="en-US"/>
        </w:rPr>
        <w:t>Palmes, E. D., Gunnison, A. F., 1973. Personal monitoring device for gaseous contaminants. American Industrial Hygiene Association Journal, 34,78-81.</w:t>
      </w:r>
    </w:p>
    <w:p w14:paraId="5FE5C086" w14:textId="77777777" w:rsidR="00F3536C" w:rsidRPr="00A4272B" w:rsidRDefault="00F3536C" w:rsidP="006B1FE4">
      <w:pPr>
        <w:rPr>
          <w:sz w:val="18"/>
          <w:szCs w:val="18"/>
          <w:lang w:val="en-US"/>
        </w:rPr>
      </w:pPr>
      <w:r w:rsidRPr="00A4272B">
        <w:rPr>
          <w:sz w:val="18"/>
          <w:szCs w:val="18"/>
          <w:lang w:val="en-US"/>
        </w:rPr>
        <w:t xml:space="preserve">Parnis, J.M., Eng, A., Mackay, D., Harner, T. 2016. Characterizing PUF disk passive air samplers for alkyl-substituted PAHs: measured and modelled PUF-air partition coefficients with COSMO-RS. Chemosphere 145, 360-364. </w:t>
      </w:r>
    </w:p>
    <w:p w14:paraId="0C17ADB3" w14:textId="77777777" w:rsidR="00F3536C" w:rsidRPr="00A4272B" w:rsidRDefault="00F3536C" w:rsidP="006B1FE4">
      <w:pPr>
        <w:rPr>
          <w:sz w:val="18"/>
          <w:szCs w:val="18"/>
          <w:lang w:val="en-US"/>
        </w:rPr>
      </w:pPr>
      <w:r w:rsidRPr="00A4272B">
        <w:rPr>
          <w:sz w:val="18"/>
          <w:szCs w:val="18"/>
          <w:lang w:val="en-US"/>
        </w:rPr>
        <w:t>Persoon, C.; Hornbuckle, K. C. 2009. Calculation of passive sampling rates from both native PCBs and depuration compounds in indoor and outdoor environments. Chemosphere 74, (7), 917-923.</w:t>
      </w:r>
    </w:p>
    <w:p w14:paraId="5210EEC4" w14:textId="77777777" w:rsidR="00182CFD" w:rsidRPr="00A4272B" w:rsidRDefault="00182CFD" w:rsidP="006B1FE4">
      <w:pPr>
        <w:rPr>
          <w:sz w:val="18"/>
          <w:szCs w:val="18"/>
          <w:lang w:val="en-US"/>
        </w:rPr>
      </w:pPr>
      <w:r w:rsidRPr="00A4272B">
        <w:rPr>
          <w:sz w:val="18"/>
          <w:szCs w:val="18"/>
          <w:lang w:val="en-US"/>
        </w:rPr>
        <w:t>Pickard, H. M., Criscitiello, A. S., Spencer, C., Sharp, M. J., Muir, D. C. G., De Silva, A. O., Young, C. J. Continuous non-marine inputs of per- and polyfluroalkyl substances to the High Arctic: a multi-decadal temporal record. Atmospheric Chemistry and Physics, 18, 5045-5058, 2018.</w:t>
      </w:r>
    </w:p>
    <w:p w14:paraId="729678AB" w14:textId="49A3ADF8" w:rsidR="00182CFD" w:rsidRPr="00A4272B" w:rsidRDefault="00182CFD" w:rsidP="006B1FE4">
      <w:pPr>
        <w:rPr>
          <w:sz w:val="18"/>
          <w:szCs w:val="18"/>
          <w:lang w:val="en-US"/>
        </w:rPr>
      </w:pPr>
      <w:r w:rsidRPr="00A4272B">
        <w:rPr>
          <w:sz w:val="18"/>
          <w:szCs w:val="18"/>
          <w:lang w:val="en-US"/>
        </w:rPr>
        <w:t>Pickard, H. M., Crscitiello, A. S., Persaude, D., Spencer, C., Muir, D. C. G., Lehnherr, I., Sharp, M. J., De Silva, A. O., Young, C. J. Ice core record of persistent short-chain fluorinated alkyl acids: Evidence of the impact from</w:t>
      </w:r>
      <w:r w:rsidR="00002B29" w:rsidRPr="00A4272B">
        <w:rPr>
          <w:sz w:val="18"/>
          <w:szCs w:val="18"/>
          <w:lang w:val="en-US"/>
        </w:rPr>
        <w:t xml:space="preserve"> </w:t>
      </w:r>
      <w:r w:rsidR="00002B29" w:rsidRPr="00A4272B">
        <w:t>Global Environmental Regulations. Geophysical Research Letters 47(10): e2020GL087535</w:t>
      </w:r>
      <w:r w:rsidRPr="00A4272B">
        <w:rPr>
          <w:sz w:val="18"/>
          <w:szCs w:val="18"/>
          <w:lang w:val="en-US"/>
        </w:rPr>
        <w:t xml:space="preserve">. </w:t>
      </w:r>
    </w:p>
    <w:p w14:paraId="036F576A" w14:textId="4273E149" w:rsidR="00F3536C" w:rsidRPr="00B25CD5" w:rsidRDefault="00F3536C" w:rsidP="006B1FE4">
      <w:pPr>
        <w:rPr>
          <w:sz w:val="18"/>
          <w:szCs w:val="18"/>
          <w:lang w:val="fr-CH"/>
        </w:rPr>
      </w:pPr>
      <w:r w:rsidRPr="00A4272B">
        <w:rPr>
          <w:sz w:val="18"/>
          <w:szCs w:val="18"/>
          <w:lang w:val="en-US"/>
        </w:rPr>
        <w:t xml:space="preserve">Pozo, K., Harner, T., Shoeib, M., Urrutia, R., Barra, R., Parra, O., Focardi, S. 2004. Passive sampler derived air concentrations of persistent organic pollutants on a north-south transect in Chile. </w:t>
      </w:r>
      <w:r w:rsidRPr="00B25CD5">
        <w:rPr>
          <w:sz w:val="18"/>
          <w:szCs w:val="18"/>
          <w:lang w:val="fr-CH"/>
        </w:rPr>
        <w:t>Environ. Sci. Technol., 38, 6529-6537.</w:t>
      </w:r>
    </w:p>
    <w:p w14:paraId="61793780" w14:textId="77777777" w:rsidR="00F3536C" w:rsidRPr="00A4272B" w:rsidRDefault="00F3536C" w:rsidP="006B1FE4">
      <w:pPr>
        <w:rPr>
          <w:sz w:val="18"/>
          <w:szCs w:val="18"/>
          <w:lang w:val="en-US"/>
        </w:rPr>
      </w:pPr>
      <w:r w:rsidRPr="00B25CD5">
        <w:rPr>
          <w:sz w:val="18"/>
          <w:szCs w:val="18"/>
          <w:lang w:val="fr-CH"/>
        </w:rPr>
        <w:t xml:space="preserve">Pozo, K., Harner, T., Wania, F., Muir, D. C. G., Jones, K. C., Barrie, L. A. 2006. </w:t>
      </w:r>
      <w:r w:rsidRPr="00A4272B">
        <w:rPr>
          <w:sz w:val="18"/>
          <w:szCs w:val="18"/>
          <w:lang w:val="en-US"/>
        </w:rPr>
        <w:t>Toward a global network for persistent organic pollutants in air: results from the GAPS study. Environ. Sci. Technol. 40, 4867-4873.</w:t>
      </w:r>
    </w:p>
    <w:p w14:paraId="025319F9" w14:textId="77777777" w:rsidR="00F3536C" w:rsidRPr="00A4272B" w:rsidRDefault="00F3536C" w:rsidP="006B1FE4">
      <w:pPr>
        <w:rPr>
          <w:sz w:val="18"/>
          <w:szCs w:val="18"/>
          <w:lang w:val="en-US"/>
        </w:rPr>
      </w:pPr>
      <w:r w:rsidRPr="00A4272B">
        <w:rPr>
          <w:sz w:val="18"/>
          <w:szCs w:val="18"/>
          <w:lang w:val="en-US"/>
        </w:rPr>
        <w:t>Pozo, K., Harner, T., Lee. S.C., Wania, F., Muir, D. C. G., Jones, K. C. 2009. Seasonally resolved concentrations of persistent organic pollutants in the global atmosphere from the first year of the GAPS study. Environ. Sci. Technol. 43, 796-803.</w:t>
      </w:r>
    </w:p>
    <w:p w14:paraId="49180B38" w14:textId="77777777" w:rsidR="00F3536C" w:rsidRPr="00A4272B" w:rsidRDefault="00F3536C" w:rsidP="006B1FE4">
      <w:pPr>
        <w:rPr>
          <w:sz w:val="18"/>
          <w:szCs w:val="18"/>
          <w:lang w:val="en-US"/>
        </w:rPr>
      </w:pPr>
      <w:r w:rsidRPr="00A4272B">
        <w:rPr>
          <w:sz w:val="18"/>
          <w:szCs w:val="18"/>
          <w:lang w:val="en-US"/>
        </w:rPr>
        <w:t>Pozo, K.; Harner, T.; Lee, S.C.; Sinha, R.; Sengupta, B.; Loewen, M.; Geethalakshmi, V.; Kannan, K.; Volpi, V. 2011. Assessing seasonal and spatial trends of persistent organic pollutants (POPs) in Indian agricultural regions using PUF disk passive samplers. Environ. Pollut. 159, 646-653.</w:t>
      </w:r>
    </w:p>
    <w:p w14:paraId="3A73522A" w14:textId="77777777" w:rsidR="00F3536C" w:rsidRPr="00A4272B" w:rsidRDefault="00F3536C" w:rsidP="006B1FE4">
      <w:pPr>
        <w:rPr>
          <w:sz w:val="18"/>
          <w:szCs w:val="18"/>
          <w:lang w:val="en-US"/>
        </w:rPr>
      </w:pPr>
      <w:r w:rsidRPr="00A4272B">
        <w:rPr>
          <w:sz w:val="18"/>
          <w:szCs w:val="18"/>
          <w:lang w:val="en-US"/>
        </w:rPr>
        <w:t>Přibylová, P., Kareš, R., Borůvková, J., Čupr, P., Prokeš, R., Kohoutek, J., Holoubek, I., Klánová, J. 2012. Levels of persistent organic pollutants and polycyclic aromatic hydrocarbons in ambient air of Central and Eastern Europe. Atmospheric Pollution Research 3, 494–505.</w:t>
      </w:r>
    </w:p>
    <w:p w14:paraId="7523F889" w14:textId="77777777" w:rsidR="00F3536C" w:rsidRPr="00A4272B" w:rsidRDefault="00F3536C" w:rsidP="006B1FE4">
      <w:pPr>
        <w:rPr>
          <w:sz w:val="18"/>
          <w:szCs w:val="18"/>
          <w:lang w:val="en-US"/>
        </w:rPr>
      </w:pPr>
      <w:r w:rsidRPr="00A4272B">
        <w:rPr>
          <w:sz w:val="18"/>
          <w:szCs w:val="18"/>
          <w:lang w:val="en-US"/>
        </w:rPr>
        <w:t>Rauert, C., Harner, T., Schuster, J.K., Quinto, K., Fillmann, G., Castillo, L.E., Fentanes, O., Ibarra, M.V., Miglioranza, K.S.B., Rivadeneira, I.M., Pozo, K., Puerta, A.P., Zuluaga, B.H.A. 2016. Towards a regional passive air sampling network and strategy for new POPs in the GRULAC region: Perspectives from the GAPS Network and first results for organophosphorus flame retardants. Sci Total Environ. 573, 1294-1302.</w:t>
      </w:r>
    </w:p>
    <w:p w14:paraId="00029377" w14:textId="77777777" w:rsidR="00F3536C" w:rsidRPr="00A4272B" w:rsidRDefault="00F3536C" w:rsidP="006B1FE4">
      <w:pPr>
        <w:rPr>
          <w:sz w:val="18"/>
          <w:szCs w:val="18"/>
          <w:lang w:val="en-US"/>
        </w:rPr>
      </w:pPr>
      <w:r w:rsidRPr="00A4272B">
        <w:rPr>
          <w:sz w:val="18"/>
          <w:szCs w:val="18"/>
          <w:lang w:val="en-US"/>
        </w:rPr>
        <w:t>Rauert, C., Kananathalingham, A., Harner, T. 2017. Characterization and modeling of Polycyclic Aromatic Compound uptake into spruce tree wood. Environ. Sci. Technol. 51, 5287-5295.</w:t>
      </w:r>
    </w:p>
    <w:p w14:paraId="7DDFDAB9" w14:textId="77777777" w:rsidR="00F3536C" w:rsidRPr="00A4272B" w:rsidRDefault="00F3536C" w:rsidP="006B1FE4">
      <w:pPr>
        <w:rPr>
          <w:sz w:val="18"/>
          <w:szCs w:val="18"/>
          <w:lang w:val="en-US"/>
        </w:rPr>
      </w:pPr>
      <w:r w:rsidRPr="00A4272B">
        <w:rPr>
          <w:sz w:val="18"/>
          <w:szCs w:val="18"/>
          <w:lang w:val="en-US"/>
        </w:rPr>
        <w:t>Rauert, C., Shoeib, M., Schuster, J., Eng. A., Harner, T. 2018. Atmospheric concentrations and trends of poly- and perfluoroalkyl substances (PFAS) and volatile methyl siloxanes (VMS) over 7 years of sampling in the Global Atmospheric Passive Sampling (GAPS) network. Environ. Pollut. 238, 94-102.</w:t>
      </w:r>
    </w:p>
    <w:p w14:paraId="0FD6E8A4" w14:textId="6FA1EE5E" w:rsidR="00F3536C" w:rsidRPr="00A4272B" w:rsidRDefault="00F3536C" w:rsidP="006B1FE4">
      <w:pPr>
        <w:rPr>
          <w:sz w:val="18"/>
          <w:szCs w:val="18"/>
          <w:lang w:val="en-US"/>
        </w:rPr>
      </w:pPr>
      <w:r w:rsidRPr="00A4272B">
        <w:rPr>
          <w:sz w:val="18"/>
          <w:szCs w:val="18"/>
          <w:lang w:val="en-US"/>
        </w:rPr>
        <w:t>Rauert, C., Schuster, J. K., Eng, A., Harner, T. 2018b. Global atmospheric concentrations of brominated and chlorinated flame retardants and organophosphate esters. Environ. Sci. Technol, 52, 2777-2789</w:t>
      </w:r>
      <w:r w:rsidR="00C96212" w:rsidRPr="00A4272B">
        <w:rPr>
          <w:sz w:val="18"/>
          <w:szCs w:val="18"/>
          <w:lang w:val="en-US"/>
        </w:rPr>
        <w:t>.</w:t>
      </w:r>
    </w:p>
    <w:p w14:paraId="42A79F8A" w14:textId="0A119ACE" w:rsidR="00F3536C" w:rsidRPr="00B25CD5" w:rsidRDefault="00F3536C" w:rsidP="006B1FE4">
      <w:pPr>
        <w:rPr>
          <w:sz w:val="18"/>
          <w:szCs w:val="18"/>
          <w:lang w:val="fr-CH"/>
        </w:rPr>
      </w:pPr>
      <w:r w:rsidRPr="00A4272B">
        <w:rPr>
          <w:sz w:val="18"/>
          <w:szCs w:val="18"/>
          <w:lang w:val="en-US"/>
        </w:rPr>
        <w:t xml:space="preserve">Rauert, C., Harner, T., Schuster, J.K., Eng, A., Fillmann, G., Castillo, L.E., Fentanes, O., Ibarra, M.V., Miglioranza, K.S.B., Rivadeneira, I.M., Pozo, K., Zuluaga, B.H.A. 2018b. Atmospheric concentrations of new POPs and emerging chemicals of concern in the Group of Latin America and Caribbean (GRULAC) region. </w:t>
      </w:r>
      <w:r w:rsidRPr="00B25CD5">
        <w:rPr>
          <w:sz w:val="18"/>
          <w:szCs w:val="18"/>
          <w:lang w:val="fr-CH"/>
        </w:rPr>
        <w:t xml:space="preserve">Environ. Sci. Technol. </w:t>
      </w:r>
      <w:r w:rsidR="00E27B27" w:rsidRPr="00B25CD5">
        <w:rPr>
          <w:sz w:val="18"/>
          <w:szCs w:val="18"/>
          <w:lang w:val="fr-CH"/>
        </w:rPr>
        <w:t>52(13), 7240-7249</w:t>
      </w:r>
      <w:r w:rsidRPr="00B25CD5">
        <w:rPr>
          <w:sz w:val="18"/>
          <w:szCs w:val="18"/>
          <w:lang w:val="fr-CH"/>
        </w:rPr>
        <w:t>.</w:t>
      </w:r>
    </w:p>
    <w:p w14:paraId="33A0414F" w14:textId="32428DB3" w:rsidR="00F3536C" w:rsidRPr="00A4272B" w:rsidRDefault="00F3536C" w:rsidP="006B1FE4">
      <w:pPr>
        <w:rPr>
          <w:sz w:val="18"/>
          <w:szCs w:val="18"/>
          <w:lang w:val="en-US"/>
        </w:rPr>
      </w:pPr>
      <w:r w:rsidRPr="00B25CD5">
        <w:rPr>
          <w:sz w:val="18"/>
          <w:szCs w:val="18"/>
          <w:lang w:val="fr-CH"/>
        </w:rPr>
        <w:t xml:space="preserve">Reppas-Chrysovitsinos, E., Sobek, A., MacLeod, M. 2017. </w:t>
      </w:r>
      <w:r w:rsidRPr="00A4272B">
        <w:rPr>
          <w:sz w:val="18"/>
          <w:szCs w:val="18"/>
          <w:lang w:val="en-US"/>
        </w:rPr>
        <w:t>Screening-level exposure-based prioritization to identify potential POPs, vPvBs and planetary boundary threats among Arctic contaminants. Emerging Contaminants 3(2), 85-94. https://doi.org/10.1016/j.emcon.2017.06.001</w:t>
      </w:r>
      <w:r w:rsidR="00C96212" w:rsidRPr="00A4272B">
        <w:rPr>
          <w:sz w:val="18"/>
          <w:szCs w:val="18"/>
          <w:lang w:val="en-US"/>
        </w:rPr>
        <w:t>.</w:t>
      </w:r>
    </w:p>
    <w:p w14:paraId="25F634D0" w14:textId="77777777" w:rsidR="00F3536C" w:rsidRPr="00A4272B" w:rsidRDefault="00F3536C" w:rsidP="006B1FE4">
      <w:pPr>
        <w:rPr>
          <w:sz w:val="18"/>
          <w:szCs w:val="18"/>
          <w:lang w:val="en-US"/>
        </w:rPr>
      </w:pPr>
      <w:r w:rsidRPr="00A4272B">
        <w:rPr>
          <w:sz w:val="18"/>
          <w:szCs w:val="18"/>
          <w:lang w:val="en-US"/>
        </w:rPr>
        <w:t>Roots, O., Roose, A., Kull, A., Holoubek, I., Čupr, P., Klánová, J.: Distribution pattern of PCBs, HCB and PeCB using passive air and soil sampling in Estonia. Environmental Science and Pollution Research 2010, 17 (3), 740-749.</w:t>
      </w:r>
    </w:p>
    <w:p w14:paraId="4D7FBCC9" w14:textId="3E42E81D" w:rsidR="00182CFD" w:rsidRPr="00A4272B" w:rsidRDefault="00182CFD" w:rsidP="006B1FE4">
      <w:pPr>
        <w:rPr>
          <w:sz w:val="18"/>
          <w:szCs w:val="18"/>
          <w:lang w:val="en-US"/>
        </w:rPr>
      </w:pPr>
      <w:r w:rsidRPr="00A4272B">
        <w:rPr>
          <w:sz w:val="18"/>
          <w:szCs w:val="18"/>
          <w:lang w:val="en-US"/>
        </w:rPr>
        <w:t xml:space="preserve">Saini, A., Chinnadurai, S., Schuster, J.K., Eng, A., Harner, T.  Per- and polyfluoroalkyl substances and volatile methyl siloxanes in global air: spatial and temporal trends. Environmental Pollution 2023, 323, 121291. </w:t>
      </w:r>
      <w:hyperlink r:id="rId98" w:history="1">
        <w:r w:rsidRPr="00A4272B">
          <w:rPr>
            <w:rStyle w:val="Hyperlink"/>
            <w:sz w:val="18"/>
            <w:szCs w:val="18"/>
            <w:lang w:val="en-US"/>
          </w:rPr>
          <w:t>https://doi.org/10.1016/j.envpol.2023.121291</w:t>
        </w:r>
      </w:hyperlink>
      <w:r w:rsidR="00C96212" w:rsidRPr="00A4272B">
        <w:rPr>
          <w:lang w:val="en-US"/>
        </w:rPr>
        <w:t>.</w:t>
      </w:r>
    </w:p>
    <w:p w14:paraId="387A4AB4" w14:textId="27CF8371" w:rsidR="00182CFD" w:rsidRPr="00B25CD5" w:rsidRDefault="00182CFD" w:rsidP="006B1FE4">
      <w:pPr>
        <w:rPr>
          <w:sz w:val="18"/>
          <w:szCs w:val="18"/>
          <w:lang w:val="fr-CH"/>
        </w:rPr>
      </w:pPr>
      <w:r w:rsidRPr="00A4272B">
        <w:rPr>
          <w:sz w:val="18"/>
          <w:szCs w:val="18"/>
          <w:lang w:val="en-US"/>
        </w:rPr>
        <w:t xml:space="preserve">Saini, A., Harner, T., Chinnadhurai, S., Schuster, J.K., Yates, A., Sweetman, A., Aristizabal-Zuluaga, B. H., Jimenez, B., Manzano, C. A., Gaga, E. O., Stevenson, G., Falandysz, J., Ma, J., Miglioranza, K. S. B., Kannan, K., Tominaga, M., Jariyasopit, N., Rojas, N. Y., Amador-Munoz, O., Sinha, R., Alani, R., Suresh, R.,  Nishino, T., Shoeib, T. GAPS-megacities: A new global platform for investigating persistent organic pollutants and chemicals of emerging concern in urban air. </w:t>
      </w:r>
      <w:r w:rsidRPr="00B25CD5">
        <w:rPr>
          <w:sz w:val="18"/>
          <w:szCs w:val="18"/>
          <w:lang w:val="fr-CH"/>
        </w:rPr>
        <w:t>Environ. Pollut. 2020, 267, 115416 https://doi.org/10.1016/j.envpol.2020.115416</w:t>
      </w:r>
      <w:r w:rsidR="00C96212" w:rsidRPr="00B25CD5">
        <w:rPr>
          <w:sz w:val="18"/>
          <w:szCs w:val="18"/>
          <w:lang w:val="fr-CH"/>
        </w:rPr>
        <w:t>.</w:t>
      </w:r>
    </w:p>
    <w:p w14:paraId="4690B382" w14:textId="77777777" w:rsidR="00182CFD" w:rsidRPr="00A4272B" w:rsidRDefault="00182CFD" w:rsidP="006B1FE4">
      <w:pPr>
        <w:rPr>
          <w:sz w:val="18"/>
          <w:szCs w:val="18"/>
          <w:lang w:val="en-US"/>
        </w:rPr>
      </w:pPr>
      <w:r w:rsidRPr="00B25CD5">
        <w:rPr>
          <w:sz w:val="18"/>
          <w:szCs w:val="18"/>
          <w:lang w:val="fr-CH"/>
        </w:rPr>
        <w:t xml:space="preserve">Samake, A., G. Uzu, J. M. F. Martins, A. Calas, E. Vince, S. Parat, and J. L. Jaffrezo. </w:t>
      </w:r>
      <w:r w:rsidRPr="00A4272B">
        <w:rPr>
          <w:sz w:val="18"/>
          <w:szCs w:val="18"/>
          <w:lang w:val="en-US"/>
        </w:rPr>
        <w:t>2017. 'The unexpected role of bioaerosols in the Oxidative Potential of PM', Scientific Reports, 7.</w:t>
      </w:r>
    </w:p>
    <w:p w14:paraId="7154E37B" w14:textId="77777777" w:rsidR="00F3536C" w:rsidRPr="00A4272B" w:rsidRDefault="00F3536C" w:rsidP="006B1FE4">
      <w:pPr>
        <w:rPr>
          <w:sz w:val="18"/>
          <w:szCs w:val="18"/>
          <w:lang w:val="en-US"/>
        </w:rPr>
      </w:pPr>
      <w:r w:rsidRPr="00A4272B">
        <w:rPr>
          <w:sz w:val="18"/>
          <w:szCs w:val="18"/>
          <w:lang w:val="en-US"/>
        </w:rPr>
        <w:t xml:space="preserve">Scheringer, M. 2009. Long-range transport of organic chemicals in the environment. Environmental Toxicology and Chemistry, 28:677-690. </w:t>
      </w:r>
    </w:p>
    <w:p w14:paraId="60A7D04E" w14:textId="77777777" w:rsidR="00F3536C" w:rsidRPr="00A4272B" w:rsidRDefault="00F3536C" w:rsidP="006B1FE4">
      <w:pPr>
        <w:rPr>
          <w:sz w:val="18"/>
          <w:szCs w:val="18"/>
          <w:lang w:val="en-US"/>
        </w:rPr>
      </w:pPr>
      <w:r w:rsidRPr="00A4272B">
        <w:rPr>
          <w:sz w:val="18"/>
          <w:szCs w:val="18"/>
          <w:lang w:val="en-US"/>
        </w:rPr>
        <w:lastRenderedPageBreak/>
        <w:t>Schlabach, M.; Farag-Clement, R., Hung, H., Kallenborn, R., Su, Y., Aas, W., AMAP.EMEP.NCP inter-laboratory study for POP analysis 2010. EMEP/CCC-Report 7/2011.</w:t>
      </w:r>
    </w:p>
    <w:p w14:paraId="20EF2C76" w14:textId="5EF256E6" w:rsidR="00F3536C" w:rsidRPr="00B25CD5" w:rsidRDefault="00F3536C" w:rsidP="006B1FE4">
      <w:pPr>
        <w:rPr>
          <w:sz w:val="18"/>
          <w:szCs w:val="18"/>
          <w:lang w:val="fr-CH"/>
        </w:rPr>
      </w:pPr>
      <w:r w:rsidRPr="00A4272B">
        <w:rPr>
          <w:sz w:val="18"/>
          <w:szCs w:val="18"/>
          <w:lang w:val="en-US"/>
        </w:rPr>
        <w:t xml:space="preserve">Schuster, J.K., R. </w:t>
      </w:r>
      <w:r w:rsidR="006B1FE4" w:rsidRPr="00A4272B">
        <w:rPr>
          <w:sz w:val="18"/>
          <w:szCs w:val="18"/>
          <w:lang w:val="en-US"/>
        </w:rPr>
        <w:t>Gioia,</w:t>
      </w:r>
      <w:r w:rsidRPr="00A4272B">
        <w:rPr>
          <w:sz w:val="18"/>
          <w:szCs w:val="18"/>
          <w:lang w:val="en-US"/>
        </w:rPr>
        <w:t xml:space="preserve"> Breivik,</w:t>
      </w:r>
      <w:r w:rsidR="006B1FE4" w:rsidRPr="00A4272B">
        <w:rPr>
          <w:sz w:val="18"/>
          <w:szCs w:val="18"/>
          <w:lang w:val="en-US"/>
        </w:rPr>
        <w:t xml:space="preserve"> </w:t>
      </w:r>
      <w:r w:rsidRPr="00A4272B">
        <w:rPr>
          <w:sz w:val="18"/>
          <w:szCs w:val="18"/>
          <w:lang w:val="en-US"/>
        </w:rPr>
        <w:t xml:space="preserve">K., Steinnes, E., Scheringer, M., Jones, K.C. 2010. Trends in European Background Air Reflect Reductions in Primary Emissions of PCBs and PBDEs. </w:t>
      </w:r>
      <w:r w:rsidRPr="00B25CD5">
        <w:rPr>
          <w:sz w:val="18"/>
          <w:szCs w:val="18"/>
          <w:lang w:val="fr-CH"/>
        </w:rPr>
        <w:t>Environmental Science &amp; Technology 44, 6760-6766</w:t>
      </w:r>
      <w:r w:rsidR="00C96212" w:rsidRPr="00B25CD5">
        <w:rPr>
          <w:sz w:val="18"/>
          <w:szCs w:val="18"/>
          <w:lang w:val="fr-CH"/>
        </w:rPr>
        <w:t>.</w:t>
      </w:r>
    </w:p>
    <w:p w14:paraId="12896278" w14:textId="681371DE" w:rsidR="00F3536C" w:rsidRPr="00A4272B" w:rsidRDefault="00F3536C" w:rsidP="006B1FE4">
      <w:pPr>
        <w:rPr>
          <w:sz w:val="18"/>
          <w:szCs w:val="18"/>
          <w:lang w:val="en-US"/>
        </w:rPr>
      </w:pPr>
      <w:r w:rsidRPr="00B25CD5">
        <w:rPr>
          <w:sz w:val="18"/>
          <w:szCs w:val="18"/>
          <w:lang w:val="fr-CH"/>
        </w:rPr>
        <w:t xml:space="preserve">Schuster, J.K., Harner, T. et al. </w:t>
      </w:r>
      <w:r w:rsidRPr="00A4272B">
        <w:rPr>
          <w:sz w:val="18"/>
          <w:szCs w:val="18"/>
          <w:lang w:val="en-US"/>
        </w:rPr>
        <w:t>(n=19</w:t>
      </w:r>
      <w:r w:rsidR="006B1FE4" w:rsidRPr="00A4272B">
        <w:rPr>
          <w:sz w:val="18"/>
          <w:szCs w:val="18"/>
          <w:lang w:val="en-US"/>
        </w:rPr>
        <w:t>),</w:t>
      </w:r>
      <w:r w:rsidRPr="00A4272B">
        <w:rPr>
          <w:sz w:val="18"/>
          <w:szCs w:val="18"/>
          <w:lang w:val="en-US"/>
        </w:rPr>
        <w:t xml:space="preserve"> 2015. Assessing Polychlorinated Dibenzo-p-dioxins and Polychlorinated Dibenzofurans in Air across Latin American Countries Using Polyurethane Foam Disk Passive Air Samplers. Environ. Sci. Technol. 49, 3680-3686. </w:t>
      </w:r>
    </w:p>
    <w:p w14:paraId="3B934087" w14:textId="77777777" w:rsidR="00F3536C" w:rsidRPr="00A4272B" w:rsidRDefault="00F3536C" w:rsidP="006B1FE4">
      <w:pPr>
        <w:rPr>
          <w:sz w:val="18"/>
          <w:szCs w:val="18"/>
          <w:lang w:val="en-US"/>
        </w:rPr>
      </w:pPr>
      <w:r w:rsidRPr="00A4272B">
        <w:rPr>
          <w:sz w:val="18"/>
          <w:szCs w:val="18"/>
          <w:lang w:val="en-US"/>
        </w:rPr>
        <w:t>Schuster, J.; Gioia, R.; Harner, T.; Lee, S.C.; Breivik, K.; Jones, K.C. 2012. Assessment of sorbent impregnated PUF disks (SIPs) for long–term sampling of legacy POPs. J. Environ. Monitor. 14, 71-78.</w:t>
      </w:r>
    </w:p>
    <w:p w14:paraId="7E4FA922" w14:textId="0BEEE831" w:rsidR="00BE4F21" w:rsidRPr="00A4272B" w:rsidRDefault="00BE4F21" w:rsidP="006B1FE4">
      <w:pPr>
        <w:rPr>
          <w:sz w:val="18"/>
          <w:szCs w:val="18"/>
        </w:rPr>
      </w:pPr>
      <w:r w:rsidRPr="00B25CD5">
        <w:rPr>
          <w:sz w:val="18"/>
          <w:szCs w:val="18"/>
          <w:lang w:val="en-US"/>
        </w:rPr>
        <w:t xml:space="preserve">Schuster, J.K., Harner, T., Rauert, C.  </w:t>
      </w:r>
      <w:r w:rsidRPr="00A4272B">
        <w:rPr>
          <w:sz w:val="18"/>
          <w:szCs w:val="18"/>
        </w:rPr>
        <w:t>Impacts of Proximity to Primary Source Areas on Concentrations of POPs at Global Sampling Stations Estimated from Land Cover Information. ACS Omega 2023, 8, 36016-36024.</w:t>
      </w:r>
    </w:p>
    <w:p w14:paraId="1B1F57F5" w14:textId="4281881D" w:rsidR="00F3536C" w:rsidRPr="00A4272B" w:rsidRDefault="00F3536C" w:rsidP="006B1FE4">
      <w:pPr>
        <w:rPr>
          <w:sz w:val="18"/>
          <w:szCs w:val="18"/>
          <w:lang w:val="en-US"/>
        </w:rPr>
      </w:pPr>
      <w:r w:rsidRPr="00A4272B">
        <w:rPr>
          <w:sz w:val="18"/>
          <w:szCs w:val="18"/>
          <w:lang w:val="en-US"/>
        </w:rPr>
        <w:t>Semeena, S., Lammel, G., 2003. Effects of various scenarios of entry of DDT and γ-HCH on the global environmental fate as predicted by a multicompartment chemistry-transport model. Fresenius Environ. Bull., 12:925-939, Special Issue.</w:t>
      </w:r>
    </w:p>
    <w:p w14:paraId="1E550DC8" w14:textId="77777777" w:rsidR="00182CFD" w:rsidRPr="00A4272B" w:rsidRDefault="00182CFD" w:rsidP="006B1FE4">
      <w:pPr>
        <w:rPr>
          <w:sz w:val="18"/>
          <w:szCs w:val="18"/>
          <w:lang w:val="en-US"/>
        </w:rPr>
      </w:pPr>
      <w:r w:rsidRPr="00A4272B">
        <w:rPr>
          <w:sz w:val="18"/>
          <w:szCs w:val="18"/>
          <w:lang w:val="en-US"/>
        </w:rPr>
        <w:t>Sha, B., Johansson, J. H., Tunved, P., Bohlin-Nizzetto, P., Cousins, I. T., Salter, M. E. Sea spray aerosol (SSA) as a source of perfluoroalkyl acids (PFAAs) to the atmosphere: Field evidence from long-term air monitoring. Environmental Science and Technology, 56(1), 228-238, 2021.</w:t>
      </w:r>
    </w:p>
    <w:p w14:paraId="1C7E0E79" w14:textId="77777777" w:rsidR="00F3536C" w:rsidRPr="00B25CD5" w:rsidRDefault="00F3536C" w:rsidP="006B1FE4">
      <w:pPr>
        <w:rPr>
          <w:sz w:val="18"/>
          <w:szCs w:val="18"/>
          <w:lang w:val="pt-PT"/>
        </w:rPr>
      </w:pPr>
      <w:r w:rsidRPr="00A4272B">
        <w:rPr>
          <w:sz w:val="18"/>
          <w:szCs w:val="18"/>
          <w:lang w:val="en-US"/>
        </w:rPr>
        <w:t xml:space="preserve">Shen, L., Lei, Y. D., Wania, F., 2002. Sorption of chlorobenzene vapors on styrene-divinylbenzene polymer. </w:t>
      </w:r>
      <w:r w:rsidRPr="00B25CD5">
        <w:rPr>
          <w:sz w:val="18"/>
          <w:szCs w:val="18"/>
          <w:lang w:val="pt-PT"/>
        </w:rPr>
        <w:t>J. Chem. Eng. Data, 47:944-949.</w:t>
      </w:r>
    </w:p>
    <w:p w14:paraId="2AFE01D7" w14:textId="77777777" w:rsidR="00F3536C" w:rsidRPr="00B25CD5" w:rsidRDefault="00F3536C" w:rsidP="006B1FE4">
      <w:pPr>
        <w:rPr>
          <w:sz w:val="18"/>
          <w:szCs w:val="18"/>
          <w:lang w:val="pt-PT"/>
        </w:rPr>
      </w:pPr>
      <w:r w:rsidRPr="00B25CD5">
        <w:rPr>
          <w:sz w:val="18"/>
          <w:szCs w:val="18"/>
          <w:lang w:val="pt-PT"/>
        </w:rPr>
        <w:t>Shen, L., Wania, F., Lei, Y. D., Teixeira, C., Muir, D.C.G., Bidleman, T.F., 2004. Hexachlorocyclohexanes in the North American atmosphere. Environ. Sci. Technol., 38:965-975.</w:t>
      </w:r>
    </w:p>
    <w:p w14:paraId="6D994C53" w14:textId="77777777" w:rsidR="00F3536C" w:rsidRPr="00B25CD5" w:rsidRDefault="00F3536C" w:rsidP="006B1FE4">
      <w:pPr>
        <w:rPr>
          <w:sz w:val="18"/>
          <w:szCs w:val="18"/>
          <w:lang w:val="pt-PT"/>
        </w:rPr>
      </w:pPr>
      <w:r w:rsidRPr="00B25CD5">
        <w:rPr>
          <w:sz w:val="18"/>
          <w:szCs w:val="18"/>
          <w:lang w:val="pt-PT"/>
        </w:rPr>
        <w:t xml:space="preserve">Shen, L., Wania, F., Lei, Y. D., Teixeira, C., Muir, D.C.G., Bidleman, T.F., 2005. </w:t>
      </w:r>
      <w:r w:rsidRPr="00A4272B">
        <w:rPr>
          <w:sz w:val="18"/>
          <w:szCs w:val="18"/>
          <w:lang w:val="en-US"/>
        </w:rPr>
        <w:t xml:space="preserve">Atmospheric distribution and long-range transport behavior of organochlorine pesticides in North America. </w:t>
      </w:r>
      <w:r w:rsidRPr="00B25CD5">
        <w:rPr>
          <w:sz w:val="18"/>
          <w:szCs w:val="18"/>
          <w:lang w:val="pt-PT"/>
        </w:rPr>
        <w:t>Environ. Sci. Technol. 39: 409-420.</w:t>
      </w:r>
    </w:p>
    <w:p w14:paraId="2D120756" w14:textId="77777777" w:rsidR="00F3536C" w:rsidRPr="00A4272B" w:rsidRDefault="00F3536C" w:rsidP="006B1FE4">
      <w:pPr>
        <w:rPr>
          <w:sz w:val="18"/>
          <w:szCs w:val="18"/>
          <w:lang w:val="en-US"/>
        </w:rPr>
      </w:pPr>
      <w:r w:rsidRPr="00B25CD5">
        <w:rPr>
          <w:sz w:val="18"/>
          <w:szCs w:val="18"/>
          <w:lang w:val="pt-PT"/>
        </w:rPr>
        <w:t xml:space="preserve">Shen, L., Wania, F., Lei, Y. D., Teixeira, C., Muir, D.C.G., Xiao, H. 2006. </w:t>
      </w:r>
      <w:r w:rsidRPr="00A4272B">
        <w:rPr>
          <w:sz w:val="18"/>
          <w:szCs w:val="18"/>
          <w:lang w:val="en-US"/>
        </w:rPr>
        <w:t>Polychlorinated biphenyls and polybrominated diphenyl ethers in the North American atmosphere. Environ. Pollut., 144, 434-444.</w:t>
      </w:r>
    </w:p>
    <w:p w14:paraId="27B03966" w14:textId="77777777" w:rsidR="00F3536C" w:rsidRPr="00A4272B" w:rsidRDefault="00F3536C" w:rsidP="006B1FE4">
      <w:pPr>
        <w:rPr>
          <w:sz w:val="18"/>
          <w:szCs w:val="18"/>
          <w:lang w:val="en-US"/>
        </w:rPr>
      </w:pPr>
      <w:r w:rsidRPr="00A4272B">
        <w:rPr>
          <w:sz w:val="18"/>
          <w:szCs w:val="18"/>
          <w:lang w:val="en-US"/>
        </w:rPr>
        <w:t>Shoeib, M., Harner, T., 2002. Characterization and comparison of three passive air samplers for persistent organic pollutants. Environ. Sci. Technol., 36:4142-4151.</w:t>
      </w:r>
    </w:p>
    <w:p w14:paraId="2E96B8A6" w14:textId="77777777" w:rsidR="00F3536C" w:rsidRPr="00B25CD5" w:rsidRDefault="00F3536C" w:rsidP="006B1FE4">
      <w:pPr>
        <w:rPr>
          <w:sz w:val="18"/>
          <w:szCs w:val="18"/>
          <w:lang w:val="fr-CH"/>
        </w:rPr>
      </w:pPr>
      <w:r w:rsidRPr="00A4272B">
        <w:rPr>
          <w:sz w:val="18"/>
          <w:szCs w:val="18"/>
          <w:lang w:val="en-US"/>
        </w:rPr>
        <w:t xml:space="preserve">Shoeib, M., Harner, T., Wilford, B.H., Jones, K.C., Zhu, J. 2005. Perfluorinated sulfonamides in indoor and outdoor air and indoor dust: occurrence, partitioning, and human exposure. </w:t>
      </w:r>
      <w:r w:rsidRPr="00B25CD5">
        <w:rPr>
          <w:sz w:val="18"/>
          <w:szCs w:val="18"/>
          <w:lang w:val="fr-CH"/>
        </w:rPr>
        <w:t>Environ. Sci. Technol. 39, 6599-6606.</w:t>
      </w:r>
    </w:p>
    <w:p w14:paraId="673693CA" w14:textId="77777777" w:rsidR="00F3536C" w:rsidRPr="00A4272B" w:rsidRDefault="00F3536C" w:rsidP="006B1FE4">
      <w:pPr>
        <w:rPr>
          <w:sz w:val="18"/>
          <w:szCs w:val="18"/>
          <w:lang w:val="en-US"/>
        </w:rPr>
      </w:pPr>
      <w:r w:rsidRPr="00B25CD5">
        <w:rPr>
          <w:sz w:val="18"/>
          <w:szCs w:val="18"/>
          <w:lang w:val="fr-CH"/>
        </w:rPr>
        <w:t xml:space="preserve">Shoeib, M., Harner, T., Lee, S.C., Lane, D., Zhu, J. 2008. </w:t>
      </w:r>
      <w:r w:rsidRPr="00A4272B">
        <w:rPr>
          <w:sz w:val="18"/>
          <w:szCs w:val="18"/>
          <w:lang w:val="en-US"/>
        </w:rPr>
        <w:t>Sorbent-impregnated polyurethane foam disk for passive air sampling of volatile fluorinated chemicals. Anal. Chem. 80, 675-682.</w:t>
      </w:r>
    </w:p>
    <w:p w14:paraId="33D0A445" w14:textId="77777777" w:rsidR="00F3536C" w:rsidRPr="00A4272B" w:rsidRDefault="00F3536C" w:rsidP="006B1FE4">
      <w:pPr>
        <w:rPr>
          <w:sz w:val="18"/>
          <w:szCs w:val="18"/>
          <w:lang w:val="en-US"/>
        </w:rPr>
      </w:pPr>
      <w:r w:rsidRPr="00A4272B">
        <w:rPr>
          <w:sz w:val="18"/>
          <w:szCs w:val="18"/>
          <w:lang w:val="en-US"/>
        </w:rPr>
        <w:t>Shunthirasingham, C., Barra, R., Mendoza, G., Montory, M., Oyiliagu, C.E., Lei, Y. D., Wania, F. Spatial variability of atmospheric semivolatile organic compounds in Chile. Atmsopheric Environment 2011, 45, 303-309.</w:t>
      </w:r>
    </w:p>
    <w:p w14:paraId="663AB684" w14:textId="77777777" w:rsidR="00F3536C" w:rsidRPr="00A4272B" w:rsidRDefault="00F3536C" w:rsidP="006B1FE4">
      <w:pPr>
        <w:rPr>
          <w:sz w:val="18"/>
          <w:szCs w:val="18"/>
          <w:lang w:val="en-US"/>
        </w:rPr>
      </w:pPr>
      <w:r w:rsidRPr="00A4272B">
        <w:rPr>
          <w:sz w:val="18"/>
          <w:szCs w:val="18"/>
          <w:lang w:val="en-US"/>
        </w:rPr>
        <w:t>Shunthirasingham, C., Oyiliagu, C.E., Cao, X., Gouin, T., Wania, F., Lee, S.C., Pozo, K., Harner, T., Muir, D.C.G. Spatial and temporal patterns of pesticides in the global atmosphere. J. Environ. Mon. 2010, 12, 1650-1657.</w:t>
      </w:r>
    </w:p>
    <w:p w14:paraId="7578E2C8" w14:textId="77777777" w:rsidR="00F3536C" w:rsidRPr="00A4272B" w:rsidRDefault="00F3536C" w:rsidP="006B1FE4">
      <w:pPr>
        <w:rPr>
          <w:sz w:val="18"/>
          <w:szCs w:val="18"/>
          <w:lang w:val="en-US"/>
        </w:rPr>
      </w:pPr>
      <w:r w:rsidRPr="00A4272B">
        <w:rPr>
          <w:sz w:val="18"/>
          <w:szCs w:val="18"/>
          <w:lang w:val="en-US"/>
        </w:rPr>
        <w:t>Shunthirasingham, C., Alexandrou, N., Brice, K. A., Dryfhout-Clark, H., Su, K., Shin, C., Park, R., Pajda, A., Noronha, R. and Hung, H. 2018. Temporal trends of halogenated flame retardants in the atmosphere of the Canadian Great Lakes Basin (2005–2014). Environ. Sci.: Processes Impacts, 20: 469-479.</w:t>
      </w:r>
    </w:p>
    <w:p w14:paraId="39A10406" w14:textId="77777777" w:rsidR="00F3536C" w:rsidRPr="00A4272B" w:rsidRDefault="00F3536C" w:rsidP="006B1FE4">
      <w:pPr>
        <w:rPr>
          <w:sz w:val="18"/>
          <w:szCs w:val="18"/>
          <w:lang w:val="en-US"/>
        </w:rPr>
      </w:pPr>
      <w:r w:rsidRPr="00A4272B">
        <w:rPr>
          <w:sz w:val="18"/>
          <w:szCs w:val="18"/>
          <w:lang w:val="en-US"/>
        </w:rPr>
        <w:t xml:space="preserve">Stafilov, T., Skrbic, B., Klánová, J., Cupr, P., Holoubek, I., Kocov, M., Durisic-Mladenovic, N.: Chemometric assessment of the semivolatile organic contaminants content in the atmosphere of the selected sites in the Republic of Macedonia. Journal of Chemometrics 2011, 25, 5, 262-274. </w:t>
      </w:r>
    </w:p>
    <w:p w14:paraId="71242D46" w14:textId="77777777" w:rsidR="00F3536C" w:rsidRPr="00A4272B" w:rsidRDefault="00F3536C" w:rsidP="006B1FE4">
      <w:pPr>
        <w:rPr>
          <w:sz w:val="18"/>
          <w:szCs w:val="18"/>
          <w:lang w:val="en-US"/>
        </w:rPr>
      </w:pPr>
      <w:r w:rsidRPr="00A4272B">
        <w:rPr>
          <w:sz w:val="18"/>
          <w:szCs w:val="18"/>
          <w:lang w:val="en-US"/>
        </w:rPr>
        <w:t>Stroebe, M., Scheringer, M., Held, H., Hungerbuhler, K. 2004. Inter-comparison of multimedia modeling approaches: modes of transport, measures of long-range transport potential and the spatial remote state. Sci. Total Environ., 321, 1-20.</w:t>
      </w:r>
    </w:p>
    <w:p w14:paraId="13E9C121" w14:textId="77777777" w:rsidR="00F3536C" w:rsidRPr="00A4272B" w:rsidRDefault="00F3536C" w:rsidP="006B1FE4">
      <w:pPr>
        <w:rPr>
          <w:sz w:val="18"/>
          <w:szCs w:val="18"/>
          <w:lang w:val="en-US"/>
        </w:rPr>
      </w:pPr>
      <w:r w:rsidRPr="00A4272B">
        <w:rPr>
          <w:sz w:val="18"/>
          <w:szCs w:val="18"/>
          <w:lang w:val="en-US"/>
        </w:rPr>
        <w:t>Su, Y., Hung, H. 2010. Inter-laboratory comparison study on measuring semi-volatile organic chemicals in standards and air samples. Environ. Pollut., 158, 3365-3371.</w:t>
      </w:r>
    </w:p>
    <w:p w14:paraId="09A2DBA5" w14:textId="710286BD" w:rsidR="00F3536C" w:rsidRPr="00A4272B" w:rsidRDefault="00F3536C" w:rsidP="006B1FE4">
      <w:pPr>
        <w:rPr>
          <w:sz w:val="18"/>
          <w:szCs w:val="18"/>
          <w:lang w:val="en-US"/>
        </w:rPr>
      </w:pPr>
      <w:r w:rsidRPr="00A4272B">
        <w:rPr>
          <w:sz w:val="18"/>
          <w:szCs w:val="18"/>
          <w:lang w:val="en-US"/>
        </w:rPr>
        <w:t xml:space="preserve">Su, Y., Hung, H., Stern, G., Sverko, E., Lao, R., Barresi, E., Rosenberg, B., Fellin, P., Li, H., Xiao, H. 2011. Bias from two analytical laboratories involved in a long-term air monitoring </w:t>
      </w:r>
      <w:r w:rsidR="005748BC" w:rsidRPr="00A4272B">
        <w:rPr>
          <w:sz w:val="18"/>
          <w:szCs w:val="18"/>
          <w:lang w:val="en-US"/>
        </w:rPr>
        <w:t xml:space="preserve">programme </w:t>
      </w:r>
      <w:r w:rsidRPr="00A4272B">
        <w:rPr>
          <w:sz w:val="18"/>
          <w:szCs w:val="18"/>
          <w:lang w:val="en-US"/>
        </w:rPr>
        <w:t>measuring organic pollutants in the Arctic: a quality assurance/quality control assessment. J. Environ. Monitor. 13: 3111-3118.</w:t>
      </w:r>
    </w:p>
    <w:p w14:paraId="6C6FA1E4" w14:textId="77777777" w:rsidR="00182CFD" w:rsidRPr="00A4272B" w:rsidRDefault="00182CFD" w:rsidP="006B1FE4">
      <w:pPr>
        <w:rPr>
          <w:sz w:val="18"/>
          <w:szCs w:val="18"/>
          <w:lang w:val="en-US"/>
        </w:rPr>
      </w:pPr>
      <w:r w:rsidRPr="00A4272B">
        <w:rPr>
          <w:sz w:val="18"/>
          <w:szCs w:val="18"/>
          <w:lang w:val="en-US"/>
        </w:rPr>
        <w:t xml:space="preserve">Sverko, E., Tomy, G.T., Reiner, E.J., Li, Y.-F., McCarry, B.E., Arnot, J.A., Law, R.J., Hites, R.A., 2011. Dechlorane Plus and Related Compounds in the Environment: A Review. Environmental Science and Technology. 2011, 45; 5088-5098. https://doi.org//10.1021/es2003028.  </w:t>
      </w:r>
    </w:p>
    <w:p w14:paraId="47D0F573" w14:textId="77777777" w:rsidR="00F3536C" w:rsidRPr="00A4272B" w:rsidRDefault="00F3536C" w:rsidP="006B1FE4">
      <w:pPr>
        <w:rPr>
          <w:sz w:val="18"/>
          <w:szCs w:val="18"/>
          <w:lang w:val="en-US"/>
        </w:rPr>
      </w:pPr>
      <w:r w:rsidRPr="00A4272B">
        <w:rPr>
          <w:sz w:val="18"/>
          <w:szCs w:val="18"/>
          <w:lang w:val="en-US"/>
        </w:rPr>
        <w:t xml:space="preserve">Takasuga, T., Nakano, T., Shibata, Y. Unintentional POPs (PCBs, PCBz, PCNs) contamination in articles containing chlorinated paraffins and related impacted chlorinated paraffin products. 2012. Oraganohalogen Compds. </w:t>
      </w:r>
    </w:p>
    <w:p w14:paraId="36651292" w14:textId="77777777" w:rsidR="00F3536C" w:rsidRPr="00A4272B" w:rsidRDefault="00F3536C" w:rsidP="006B1FE4">
      <w:pPr>
        <w:rPr>
          <w:sz w:val="18"/>
          <w:szCs w:val="18"/>
          <w:lang w:val="en-US"/>
        </w:rPr>
      </w:pPr>
      <w:r w:rsidRPr="00A4272B">
        <w:rPr>
          <w:sz w:val="18"/>
          <w:szCs w:val="18"/>
          <w:lang w:val="en-US"/>
        </w:rPr>
        <w:t>Tao, S., Liu, Y., Xi, W., Lang, C., Liu, S., Dou, H., Liu, W. 2007. Calibration of a passive sampler for both gaseous and particle phase polycyclic aromatic hydrocarbons. Environ. Sci. Technol. 41, 568-573.</w:t>
      </w:r>
    </w:p>
    <w:p w14:paraId="5E86440D" w14:textId="77777777" w:rsidR="00F3536C" w:rsidRPr="00A4272B" w:rsidRDefault="00F3536C" w:rsidP="006B1FE4">
      <w:pPr>
        <w:rPr>
          <w:sz w:val="18"/>
          <w:szCs w:val="18"/>
          <w:lang w:val="en-US"/>
        </w:rPr>
      </w:pPr>
      <w:r w:rsidRPr="00A4272B">
        <w:rPr>
          <w:sz w:val="18"/>
          <w:szCs w:val="18"/>
          <w:lang w:val="en-US"/>
        </w:rPr>
        <w:t>Tuduri, L., Harner, T., Hung, H. 2006. Polyurethane foam (PUF) disks passive air samplers: Wind effect on sampling rates, Environmental Pollution 144, 377-383.</w:t>
      </w:r>
    </w:p>
    <w:p w14:paraId="5FED9ED5" w14:textId="77777777" w:rsidR="00F3536C" w:rsidRPr="00A4272B" w:rsidRDefault="00F3536C" w:rsidP="006B1FE4">
      <w:pPr>
        <w:rPr>
          <w:sz w:val="18"/>
          <w:szCs w:val="18"/>
          <w:lang w:val="en-US"/>
        </w:rPr>
      </w:pPr>
      <w:r w:rsidRPr="00A4272B">
        <w:rPr>
          <w:sz w:val="18"/>
          <w:szCs w:val="18"/>
          <w:lang w:val="en-US"/>
        </w:rPr>
        <w:lastRenderedPageBreak/>
        <w:t xml:space="preserve">Thomas, J., Holsen, T. M., Dhaniyala, S. 2006. Computational fluid dynamic modeling of two passive samplers, Environmental Pollution 144, 384-392. </w:t>
      </w:r>
    </w:p>
    <w:p w14:paraId="39F331BD" w14:textId="35329E2A" w:rsidR="00F3536C" w:rsidRPr="00A4272B" w:rsidRDefault="00F3536C" w:rsidP="006B1FE4">
      <w:pPr>
        <w:rPr>
          <w:sz w:val="18"/>
          <w:szCs w:val="18"/>
          <w:lang w:val="en-US"/>
        </w:rPr>
      </w:pPr>
      <w:r w:rsidRPr="00A4272B">
        <w:rPr>
          <w:sz w:val="18"/>
          <w:szCs w:val="18"/>
          <w:lang w:val="en-US"/>
        </w:rPr>
        <w:t>UNECE Task Force on Hemispheric Transport of Air Pollution 2010 POPs Assessment Report. www.htap.org</w:t>
      </w:r>
      <w:r w:rsidR="00964111" w:rsidRPr="00A4272B">
        <w:rPr>
          <w:sz w:val="18"/>
          <w:szCs w:val="18"/>
          <w:lang w:val="en-US"/>
        </w:rPr>
        <w:t>.</w:t>
      </w:r>
    </w:p>
    <w:p w14:paraId="41C7E9C4" w14:textId="0265EEE0" w:rsidR="00F3536C" w:rsidRPr="00A4272B" w:rsidRDefault="00F3536C" w:rsidP="006B1FE4">
      <w:pPr>
        <w:rPr>
          <w:sz w:val="18"/>
          <w:szCs w:val="18"/>
          <w:lang w:val="en-US"/>
        </w:rPr>
      </w:pPr>
      <w:r w:rsidRPr="00A4272B">
        <w:rPr>
          <w:sz w:val="18"/>
          <w:szCs w:val="18"/>
          <w:lang w:val="en-US"/>
        </w:rPr>
        <w:t>UNEP 2003. Chapter 4 Assessment of Major Transport Pathways. In: Global Report of the Regional Based Assessment of Persistent Toxic Substances (RBA/PTS) of the Global Environmental Facility (GEF), United Nations Environmental Programme (UNEP) Chemicals, Geneva, Switzerland, pp. 137-159.</w:t>
      </w:r>
    </w:p>
    <w:p w14:paraId="2D5FD055" w14:textId="2271CA2D" w:rsidR="00F3536C" w:rsidRPr="00A4272B" w:rsidRDefault="00F3536C" w:rsidP="006B1FE4">
      <w:pPr>
        <w:rPr>
          <w:sz w:val="18"/>
          <w:szCs w:val="18"/>
          <w:lang w:val="en-US"/>
        </w:rPr>
      </w:pPr>
      <w:r w:rsidRPr="00A4272B">
        <w:rPr>
          <w:sz w:val="18"/>
          <w:szCs w:val="18"/>
          <w:lang w:val="en-US"/>
        </w:rPr>
        <w:t>UNEP 2011. Climate change and POPs: predicting the future. Report of the UNEP/AMAP expert group. http://chm.pops.int</w:t>
      </w:r>
    </w:p>
    <w:p w14:paraId="4FC81555" w14:textId="11FC8F06" w:rsidR="00F3536C" w:rsidRPr="00A4272B" w:rsidRDefault="00F3536C" w:rsidP="006B1FE4">
      <w:pPr>
        <w:rPr>
          <w:sz w:val="18"/>
          <w:szCs w:val="18"/>
          <w:lang w:val="en-US"/>
        </w:rPr>
      </w:pPr>
      <w:r w:rsidRPr="00A4272B">
        <w:rPr>
          <w:sz w:val="18"/>
          <w:szCs w:val="18"/>
          <w:lang w:val="en-US"/>
        </w:rPr>
        <w:t>UNEP 2012. Report on Passive Air Sampling under the Global Monitoring Plan for Persistent Organic Pollutants - GMP Projects 2010-2011 http://www.chem.unep.ch/Pops/GMP/Report%20UNEP%20PAS%20Air%20Monitoring%202010-2011.pdf</w:t>
      </w:r>
      <w:r w:rsidR="00C96212" w:rsidRPr="00A4272B">
        <w:rPr>
          <w:sz w:val="18"/>
          <w:szCs w:val="18"/>
          <w:lang w:val="en-US"/>
        </w:rPr>
        <w:t>.</w:t>
      </w:r>
    </w:p>
    <w:p w14:paraId="49E75085" w14:textId="21078803" w:rsidR="00F3536C" w:rsidRPr="00A4272B" w:rsidRDefault="00F3536C" w:rsidP="006B1FE4">
      <w:pPr>
        <w:rPr>
          <w:sz w:val="18"/>
          <w:szCs w:val="18"/>
          <w:lang w:val="en-US"/>
        </w:rPr>
      </w:pPr>
      <w:r w:rsidRPr="00A4272B">
        <w:rPr>
          <w:sz w:val="18"/>
          <w:szCs w:val="18"/>
          <w:lang w:val="en-US"/>
        </w:rPr>
        <w:t>UNEP 2012b. Bi-ennial Global Interlaboratory Assessment on Persistent Organic Pollutants – First Round 2010-2011, United Nations Environment Programme, Geneva, Switzerland; http://www.chem.unep.ch/Pops/GMP/Global/Bi-ennial%20Global%20Interlaboratory%20Assessment%20on%20POPs-Round%201.pdf</w:t>
      </w:r>
      <w:r w:rsidR="00C96212" w:rsidRPr="00A4272B">
        <w:rPr>
          <w:sz w:val="18"/>
          <w:szCs w:val="18"/>
          <w:lang w:val="en-US"/>
        </w:rPr>
        <w:t>.</w:t>
      </w:r>
    </w:p>
    <w:p w14:paraId="60906B93" w14:textId="77777777" w:rsidR="00C87B52" w:rsidRPr="00A4272B" w:rsidRDefault="00F3536C" w:rsidP="00C87B52">
      <w:pPr>
        <w:rPr>
          <w:sz w:val="18"/>
          <w:szCs w:val="18"/>
          <w:lang w:val="en-US"/>
        </w:rPr>
      </w:pPr>
      <w:r w:rsidRPr="00A4272B">
        <w:rPr>
          <w:sz w:val="18"/>
          <w:szCs w:val="18"/>
          <w:lang w:val="en-US"/>
        </w:rPr>
        <w:t xml:space="preserve">UNEP 2012c. Bi-ennial Global Interlaboratory Assessment on Persistent Organic Pollutants – First Round 2010/2011 </w:t>
      </w:r>
      <w:r w:rsidR="00C87B52" w:rsidRPr="00A4272B">
        <w:rPr>
          <w:sz w:val="18"/>
          <w:szCs w:val="18"/>
          <w:lang w:val="en-US"/>
        </w:rPr>
        <w:t>UnIted Nations Environment Programme (UNEP), Geneva, Switzerland.</w:t>
      </w:r>
    </w:p>
    <w:p w14:paraId="4FD50E27" w14:textId="1F7BDD04" w:rsidR="00F3536C" w:rsidRPr="00A4272B" w:rsidRDefault="00F3536C" w:rsidP="006B1FE4">
      <w:pPr>
        <w:rPr>
          <w:sz w:val="18"/>
          <w:szCs w:val="18"/>
          <w:lang w:val="en-US"/>
        </w:rPr>
      </w:pPr>
      <w:r w:rsidRPr="00A4272B">
        <w:rPr>
          <w:sz w:val="18"/>
          <w:szCs w:val="18"/>
          <w:lang w:val="en-US"/>
        </w:rPr>
        <w:t>UNEP 2015. Bi-ennial Global Interlaboratory Assessment on Persistent Organic Pollutants - 2nd Round 2012</w:t>
      </w:r>
      <w:r w:rsidR="00C87B52" w:rsidRPr="00A4272B">
        <w:rPr>
          <w:sz w:val="18"/>
          <w:szCs w:val="18"/>
          <w:lang w:val="en-US"/>
        </w:rPr>
        <w:t>–</w:t>
      </w:r>
      <w:r w:rsidRPr="00A4272B">
        <w:rPr>
          <w:sz w:val="18"/>
          <w:szCs w:val="18"/>
          <w:lang w:val="en-US"/>
        </w:rPr>
        <w:t>2013</w:t>
      </w:r>
      <w:r w:rsidR="00C87B52" w:rsidRPr="00A4272B">
        <w:rPr>
          <w:sz w:val="18"/>
          <w:szCs w:val="18"/>
          <w:lang w:val="en-US"/>
        </w:rPr>
        <w:t xml:space="preserve">. </w:t>
      </w:r>
      <w:r w:rsidRPr="00A4272B">
        <w:rPr>
          <w:sz w:val="18"/>
          <w:szCs w:val="18"/>
          <w:lang w:val="en-US"/>
        </w:rPr>
        <w:t>UnIted Nations Environment Programme</w:t>
      </w:r>
      <w:r w:rsidR="00C87B52" w:rsidRPr="00A4272B">
        <w:rPr>
          <w:sz w:val="18"/>
          <w:szCs w:val="18"/>
          <w:lang w:val="en-US"/>
        </w:rPr>
        <w:t xml:space="preserve"> (UNEP), Geneva, Switzerland</w:t>
      </w:r>
      <w:r w:rsidRPr="00A4272B">
        <w:rPr>
          <w:sz w:val="18"/>
          <w:szCs w:val="18"/>
          <w:lang w:val="en-US"/>
        </w:rPr>
        <w:t>.</w:t>
      </w:r>
    </w:p>
    <w:p w14:paraId="440E0A5F" w14:textId="6332CE4F" w:rsidR="00535F65" w:rsidRPr="00B25CD5" w:rsidRDefault="008F17AE" w:rsidP="006B1FE4">
      <w:pPr>
        <w:rPr>
          <w:sz w:val="18"/>
          <w:szCs w:val="18"/>
          <w:lang w:val="nl-NL"/>
        </w:rPr>
      </w:pPr>
      <w:r w:rsidRPr="00A4272B">
        <w:rPr>
          <w:sz w:val="18"/>
          <w:szCs w:val="18"/>
          <w:lang w:val="en-US"/>
        </w:rPr>
        <w:t>UNEP</w:t>
      </w:r>
      <w:r w:rsidR="00535F65" w:rsidRPr="00A4272B">
        <w:rPr>
          <w:sz w:val="18"/>
          <w:szCs w:val="18"/>
          <w:lang w:val="en-US"/>
        </w:rPr>
        <w:t xml:space="preserve"> 2022. "Kunming-Montreal Global Biodiversity Framework." Conference of the Parties to the Convention on Biological Diversity, </w:t>
      </w:r>
      <w:r w:rsidR="006B1FE4" w:rsidRPr="00A4272B">
        <w:rPr>
          <w:sz w:val="18"/>
          <w:szCs w:val="18"/>
          <w:lang w:val="en-US"/>
        </w:rPr>
        <w:t>fifteenth</w:t>
      </w:r>
      <w:r w:rsidR="00535F65" w:rsidRPr="00A4272B">
        <w:rPr>
          <w:sz w:val="18"/>
          <w:szCs w:val="18"/>
          <w:lang w:val="en-US"/>
        </w:rPr>
        <w:t xml:space="preserve"> meeting - Part II, edited by United Nations Environment </w:t>
      </w:r>
      <w:r w:rsidR="002A6D39" w:rsidRPr="00A4272B">
        <w:rPr>
          <w:sz w:val="18"/>
          <w:szCs w:val="18"/>
          <w:lang w:val="en-US"/>
        </w:rPr>
        <w:t xml:space="preserve">Programme </w:t>
      </w:r>
      <w:r w:rsidR="00535F65" w:rsidRPr="00A4272B">
        <w:rPr>
          <w:sz w:val="18"/>
          <w:szCs w:val="18"/>
          <w:lang w:val="en-US"/>
        </w:rPr>
        <w:t xml:space="preserve">(UNEP). </w:t>
      </w:r>
      <w:r w:rsidR="00535F65" w:rsidRPr="00B25CD5">
        <w:rPr>
          <w:sz w:val="18"/>
          <w:szCs w:val="18"/>
          <w:lang w:val="nl-NL"/>
        </w:rPr>
        <w:t>Montreal, Canada.</w:t>
      </w:r>
    </w:p>
    <w:p w14:paraId="3B8CC54F" w14:textId="2F2192FA" w:rsidR="00F3536C" w:rsidRPr="00A4272B" w:rsidRDefault="00F3536C" w:rsidP="006B1FE4">
      <w:pPr>
        <w:rPr>
          <w:sz w:val="18"/>
          <w:szCs w:val="18"/>
          <w:lang w:val="en-US"/>
        </w:rPr>
      </w:pPr>
      <w:r w:rsidRPr="00B25CD5">
        <w:rPr>
          <w:sz w:val="18"/>
          <w:szCs w:val="18"/>
          <w:lang w:val="nl-NL"/>
        </w:rPr>
        <w:t xml:space="preserve">van Leeuwen, S., van Bavel, B., Abad, E., Leslie, H., Fiedler, H., de Boer, J. 2013. </w:t>
      </w:r>
      <w:r w:rsidRPr="00A4272B">
        <w:rPr>
          <w:sz w:val="18"/>
          <w:szCs w:val="18"/>
          <w:lang w:val="en-US"/>
        </w:rPr>
        <w:t>POPs analysis in the developing world - bringing laboratories in developing countries to a higher quality level. TrAC Trends in Analytical Chemistry (submitted)</w:t>
      </w:r>
      <w:r w:rsidR="00C96212" w:rsidRPr="00A4272B">
        <w:rPr>
          <w:sz w:val="18"/>
          <w:szCs w:val="18"/>
          <w:lang w:val="en-US"/>
        </w:rPr>
        <w:t>.</w:t>
      </w:r>
    </w:p>
    <w:p w14:paraId="227A4B0E" w14:textId="77777777" w:rsidR="00F3536C" w:rsidRPr="00B25CD5" w:rsidRDefault="00F3536C" w:rsidP="006B1FE4">
      <w:pPr>
        <w:rPr>
          <w:sz w:val="18"/>
          <w:szCs w:val="18"/>
          <w:lang w:val="fr-CH"/>
        </w:rPr>
      </w:pPr>
      <w:r w:rsidRPr="00A4272B">
        <w:rPr>
          <w:sz w:val="18"/>
          <w:szCs w:val="18"/>
          <w:lang w:val="en-US"/>
        </w:rPr>
        <w:t xml:space="preserve">Venier, M. Hites, R.A. 2010. Time Trend Analysis of Atmospheric POPs Concentrations in the Great Lakes Region Since 1990. </w:t>
      </w:r>
      <w:r w:rsidRPr="00B25CD5">
        <w:rPr>
          <w:sz w:val="18"/>
          <w:szCs w:val="18"/>
          <w:lang w:val="fr-CH"/>
        </w:rPr>
        <w:t>Environ. Sci. Technol., 2010. 44, 8050-8055.</w:t>
      </w:r>
    </w:p>
    <w:p w14:paraId="489E2C61" w14:textId="77777777" w:rsidR="00F3536C" w:rsidRPr="00A4272B" w:rsidRDefault="00F3536C" w:rsidP="006B1FE4">
      <w:pPr>
        <w:rPr>
          <w:sz w:val="18"/>
          <w:szCs w:val="18"/>
          <w:lang w:val="en-US"/>
        </w:rPr>
      </w:pPr>
      <w:r w:rsidRPr="00B25CD5">
        <w:rPr>
          <w:sz w:val="18"/>
          <w:szCs w:val="18"/>
          <w:lang w:val="fr-CH"/>
        </w:rPr>
        <w:t xml:space="preserve">Venier, M. Hung, H., Tych, W., Hites, R. A. 2012. </w:t>
      </w:r>
      <w:r w:rsidRPr="00A4272B">
        <w:rPr>
          <w:sz w:val="18"/>
          <w:szCs w:val="18"/>
          <w:lang w:val="en-US"/>
        </w:rPr>
        <w:t>Temporal trends of persistent organic pollutants: a comparison of different time series models. Environ. Sci. Technol., 46, 3928-2934.</w:t>
      </w:r>
    </w:p>
    <w:p w14:paraId="54493CD5" w14:textId="77777777" w:rsidR="00182CFD" w:rsidRPr="00A4272B" w:rsidRDefault="00182CFD" w:rsidP="006B1FE4">
      <w:pPr>
        <w:rPr>
          <w:sz w:val="18"/>
          <w:szCs w:val="18"/>
          <w:lang w:val="en-US"/>
        </w:rPr>
      </w:pPr>
      <w:r w:rsidRPr="00A4272B">
        <w:rPr>
          <w:sz w:val="18"/>
          <w:szCs w:val="18"/>
          <w:lang w:val="en-US"/>
        </w:rPr>
        <w:t>Vorkamp, K., Carlsson, P., Corsolini, S., de Wit, C. A., Dietz, R., Gribble, M. O., Houde, M., Kalia, V., Letcher, R. J., Morris, A., Rigét, Routti, H., Muir, D. C. G. Influences of climate change on long-term time series of persistent organic pollutants (POPs) in Arctic and Antarctic biota. Environ. Sci.: Processes Impacts, 24, 1643-1660, 2022.</w:t>
      </w:r>
    </w:p>
    <w:p w14:paraId="77196C56" w14:textId="77777777" w:rsidR="00F3536C" w:rsidRPr="00B25CD5" w:rsidRDefault="00F3536C" w:rsidP="006B1FE4">
      <w:pPr>
        <w:rPr>
          <w:sz w:val="18"/>
          <w:szCs w:val="18"/>
          <w:lang w:val="fr-CH"/>
        </w:rPr>
      </w:pPr>
      <w:r w:rsidRPr="00A4272B">
        <w:rPr>
          <w:sz w:val="18"/>
          <w:szCs w:val="18"/>
          <w:lang w:val="en-US"/>
        </w:rPr>
        <w:t xml:space="preserve">von Waldow, H. Macleod, M., Scheringer, M., Hungerbuhler, K. 2010. Quantifying remoteness from emission sources of persistent organic pollutants on a global scale. </w:t>
      </w:r>
      <w:r w:rsidRPr="00B25CD5">
        <w:rPr>
          <w:sz w:val="18"/>
          <w:szCs w:val="18"/>
          <w:lang w:val="fr-CH"/>
        </w:rPr>
        <w:t xml:space="preserve">Environ. Sci. Technol., 44, 2791-2796. </w:t>
      </w:r>
    </w:p>
    <w:p w14:paraId="255E1D0C" w14:textId="77777777" w:rsidR="00F3536C" w:rsidRPr="00B25CD5" w:rsidRDefault="00F3536C" w:rsidP="006B1FE4">
      <w:pPr>
        <w:rPr>
          <w:sz w:val="18"/>
          <w:szCs w:val="18"/>
          <w:lang w:val="pt-PT"/>
        </w:rPr>
      </w:pPr>
      <w:r w:rsidRPr="00B25CD5">
        <w:rPr>
          <w:sz w:val="18"/>
          <w:szCs w:val="18"/>
          <w:lang w:val="fr-CH"/>
        </w:rPr>
        <w:t xml:space="preserve">Wania, F., Mackay, D., Li, Y.-F., Bidleman, T. F., Strand, A., 1999. </w:t>
      </w:r>
      <w:r w:rsidRPr="00A4272B">
        <w:rPr>
          <w:sz w:val="18"/>
          <w:szCs w:val="18"/>
          <w:lang w:val="en-US"/>
        </w:rPr>
        <w:t xml:space="preserve">Global chemical fate of α-hexachlorocyclohexane. 1. Evaluation of a global distribution model. </w:t>
      </w:r>
      <w:r w:rsidRPr="00B25CD5">
        <w:rPr>
          <w:sz w:val="18"/>
          <w:szCs w:val="18"/>
          <w:lang w:val="pt-PT"/>
        </w:rPr>
        <w:t>Environ. Toxicol. Chem., 18:1390-1399.</w:t>
      </w:r>
    </w:p>
    <w:p w14:paraId="268D2E4D" w14:textId="77777777" w:rsidR="00F3536C" w:rsidRPr="00A4272B" w:rsidRDefault="00F3536C" w:rsidP="006B1FE4">
      <w:pPr>
        <w:rPr>
          <w:sz w:val="18"/>
          <w:szCs w:val="18"/>
          <w:lang w:val="en-US"/>
        </w:rPr>
      </w:pPr>
      <w:r w:rsidRPr="00B25CD5">
        <w:rPr>
          <w:sz w:val="18"/>
          <w:szCs w:val="18"/>
          <w:lang w:val="pt-PT"/>
        </w:rPr>
        <w:t xml:space="preserve">Wania, F., Shen, L., Lei, Y. D., Teixeira, C., Muir, D.C.G., 2003. </w:t>
      </w:r>
      <w:r w:rsidRPr="00A4272B">
        <w:rPr>
          <w:sz w:val="18"/>
          <w:szCs w:val="18"/>
          <w:lang w:val="en-US"/>
        </w:rPr>
        <w:t>Development and calibration of a resin-based passive sampling system for persistent organic pollutants in the atmosphere. Environ. Sci. Technol., 37:1352-1359.</w:t>
      </w:r>
    </w:p>
    <w:p w14:paraId="11360AC1" w14:textId="77777777" w:rsidR="00F3536C" w:rsidRPr="00A4272B" w:rsidRDefault="00F3536C" w:rsidP="006B1FE4">
      <w:pPr>
        <w:rPr>
          <w:sz w:val="18"/>
          <w:szCs w:val="18"/>
          <w:lang w:val="en-US"/>
        </w:rPr>
      </w:pPr>
      <w:r w:rsidRPr="00A4272B">
        <w:rPr>
          <w:sz w:val="18"/>
          <w:szCs w:val="18"/>
          <w:lang w:val="en-US"/>
        </w:rPr>
        <w:t>Wegmann F, Cavin L, MacLeod M, Scheringer M, Hungerbuhler K. 2009. The OECD software tool for screening chemicals for persistence and long-range transport potential. Environmental Modeling &amp; Software 24:228–237.</w:t>
      </w:r>
    </w:p>
    <w:p w14:paraId="3C65BB63" w14:textId="77777777" w:rsidR="00E1502E" w:rsidRPr="00A4272B" w:rsidRDefault="00E1502E" w:rsidP="006B1FE4">
      <w:pPr>
        <w:rPr>
          <w:sz w:val="18"/>
          <w:szCs w:val="18"/>
          <w:lang w:val="en-US"/>
        </w:rPr>
      </w:pPr>
      <w:r w:rsidRPr="00A4272B">
        <w:rPr>
          <w:sz w:val="18"/>
          <w:szCs w:val="18"/>
          <w:lang w:val="en-US"/>
        </w:rPr>
        <w:t>White K.B. et al., Spatial and Temporal Trends of Persistent Organic Pollutants across Europe after 15 Years of MONET Passive Air Sampling. Environmental Science and Technology 2021, 55, 14, 9413–9424.</w:t>
      </w:r>
    </w:p>
    <w:p w14:paraId="25D2894D" w14:textId="77777777" w:rsidR="00E1502E" w:rsidRPr="00A4272B" w:rsidRDefault="00E1502E" w:rsidP="006B1FE4">
      <w:pPr>
        <w:rPr>
          <w:sz w:val="18"/>
          <w:szCs w:val="18"/>
          <w:lang w:val="en-US"/>
        </w:rPr>
      </w:pPr>
      <w:r w:rsidRPr="00A4272B">
        <w:rPr>
          <w:sz w:val="18"/>
          <w:szCs w:val="18"/>
          <w:lang w:val="en-US"/>
        </w:rPr>
        <w:t>White K.B. et al., Spatial and Temporal Trends of Persistent Organic Pollutants across Europe after 15 Years of MONET Passive Air Sampling. Environmental Science and Technology 2023, 57, 31, 11583–11594.</w:t>
      </w:r>
    </w:p>
    <w:p w14:paraId="074A1866" w14:textId="72F43BEB" w:rsidR="00182CFD" w:rsidRPr="00A4272B" w:rsidRDefault="00182CFD" w:rsidP="006B1FE4">
      <w:pPr>
        <w:rPr>
          <w:sz w:val="18"/>
          <w:szCs w:val="18"/>
          <w:lang w:val="en-US"/>
        </w:rPr>
      </w:pPr>
      <w:r w:rsidRPr="00A4272B">
        <w:rPr>
          <w:sz w:val="18"/>
          <w:szCs w:val="18"/>
          <w:lang w:val="en-US"/>
        </w:rPr>
        <w:t>Wilson, S., Munthe, J. 2015. Impacts on human health in the Arctic owing to climate-induced changes in contaminant cycling — the EU ArcRisk project policy outcome. Environ. Sci. Pol. 50, 200–213.</w:t>
      </w:r>
    </w:p>
    <w:p w14:paraId="61474C3A" w14:textId="77777777" w:rsidR="00F3536C" w:rsidRPr="00B25CD5" w:rsidRDefault="00F3536C" w:rsidP="006B1FE4">
      <w:pPr>
        <w:rPr>
          <w:sz w:val="18"/>
          <w:szCs w:val="18"/>
          <w:lang w:val="fr-CH"/>
        </w:rPr>
      </w:pPr>
      <w:r w:rsidRPr="00A4272B">
        <w:rPr>
          <w:sz w:val="18"/>
          <w:szCs w:val="18"/>
          <w:lang w:val="en-US"/>
        </w:rPr>
        <w:t xml:space="preserve">Xiao, H., Hung, H., Harner, T., Lei, Y.D., Wania, F. 2007. A flow-through sampler for semivolatile organic compounds in air. </w:t>
      </w:r>
      <w:r w:rsidRPr="00B25CD5">
        <w:rPr>
          <w:sz w:val="18"/>
          <w:szCs w:val="18"/>
          <w:lang w:val="fr-CH"/>
        </w:rPr>
        <w:t xml:space="preserve">Environ. Sci. Technol., 41:250-256. </w:t>
      </w:r>
    </w:p>
    <w:p w14:paraId="07443D2B" w14:textId="77777777" w:rsidR="00F3536C" w:rsidRPr="00A4272B" w:rsidRDefault="00F3536C" w:rsidP="006B1FE4">
      <w:pPr>
        <w:rPr>
          <w:sz w:val="18"/>
          <w:szCs w:val="18"/>
          <w:lang w:val="en-US"/>
        </w:rPr>
      </w:pPr>
      <w:r w:rsidRPr="00B25CD5">
        <w:rPr>
          <w:sz w:val="18"/>
          <w:szCs w:val="18"/>
          <w:lang w:val="fr-CH"/>
        </w:rPr>
        <w:t xml:space="preserve">Zencak, Z., Klanova, J., Holoubek, I., Gustafsson Ö. 2007. </w:t>
      </w:r>
      <w:r w:rsidRPr="00A4272B">
        <w:rPr>
          <w:sz w:val="18"/>
          <w:szCs w:val="18"/>
          <w:lang w:val="en-US"/>
        </w:rPr>
        <w:t>Source apportionment of atmospheric PAHs in the western Balkans by natural abundance radiocarbon analysis. Environ. Sci. Technol., 41: 3850-3855.</w:t>
      </w:r>
    </w:p>
    <w:p w14:paraId="5FEB43E8" w14:textId="77777777" w:rsidR="00F3536C" w:rsidRPr="00B25CD5" w:rsidRDefault="00F3536C" w:rsidP="006B1FE4">
      <w:pPr>
        <w:rPr>
          <w:sz w:val="18"/>
          <w:szCs w:val="18"/>
          <w:lang w:val="fr-CH"/>
        </w:rPr>
      </w:pPr>
      <w:r w:rsidRPr="00A4272B">
        <w:rPr>
          <w:sz w:val="18"/>
          <w:szCs w:val="18"/>
          <w:lang w:val="en-US"/>
        </w:rPr>
        <w:t xml:space="preserve">Zhang, X., Brown, T. N., Ansari, A., Yeun, B., Kitaoka, K., Kondo, A., Lei, Y. D., Wania, F. 2013. Effect of Wind on the Chemical Uptake Kinetics of a Passive Air Sampler. </w:t>
      </w:r>
      <w:r w:rsidRPr="00B25CD5">
        <w:rPr>
          <w:sz w:val="18"/>
          <w:szCs w:val="18"/>
          <w:lang w:val="fr-CH"/>
        </w:rPr>
        <w:t>Environ. Sci. Technol. 47: 7868–7875.</w:t>
      </w:r>
    </w:p>
    <w:p w14:paraId="5F98F857" w14:textId="77777777" w:rsidR="00F3536C" w:rsidRPr="00A4272B" w:rsidRDefault="00F3536C" w:rsidP="006B1FE4">
      <w:pPr>
        <w:rPr>
          <w:sz w:val="18"/>
          <w:szCs w:val="18"/>
          <w:lang w:val="en-US"/>
        </w:rPr>
      </w:pPr>
      <w:r w:rsidRPr="00B25CD5">
        <w:rPr>
          <w:sz w:val="18"/>
          <w:szCs w:val="18"/>
          <w:lang w:val="fr-CH"/>
        </w:rPr>
        <w:t xml:space="preserve">Zhang X., Hoang, M., Lei, Y. D., Wania, F. 2015. </w:t>
      </w:r>
      <w:r w:rsidRPr="00A4272B">
        <w:rPr>
          <w:sz w:val="18"/>
          <w:szCs w:val="18"/>
          <w:lang w:val="en-US"/>
        </w:rPr>
        <w:t>Exploring the role of the sampler housing in limiting uptake of semivolatile organic compounds in passive air samplers. Environmental Science-Processes &amp; Impacts 17: 2016-2012.)</w:t>
      </w:r>
    </w:p>
    <w:p w14:paraId="0A7C1260" w14:textId="77777777" w:rsidR="00F3536C" w:rsidRPr="00A4272B" w:rsidRDefault="00F3536C" w:rsidP="006B1FE4">
      <w:pPr>
        <w:rPr>
          <w:sz w:val="18"/>
          <w:szCs w:val="18"/>
          <w:lang w:val="en-US"/>
        </w:rPr>
      </w:pPr>
      <w:r w:rsidRPr="00A4272B">
        <w:rPr>
          <w:sz w:val="18"/>
          <w:szCs w:val="18"/>
          <w:lang w:val="en-US"/>
        </w:rPr>
        <w:t>Zhao, Y., Huang, T., Wang, L., Gao, H., and Ma, J. 2015. Step changes in persistent organic pollutants over the Arctic and their implications. Atmos. Chem. Phys., 15, 3479–3495.</w:t>
      </w:r>
    </w:p>
    <w:p w14:paraId="54D9AE83" w14:textId="77777777" w:rsidR="00F3536C" w:rsidRPr="00A4272B" w:rsidRDefault="00F3536C" w:rsidP="006B1FE4">
      <w:pPr>
        <w:rPr>
          <w:sz w:val="18"/>
          <w:szCs w:val="18"/>
          <w:lang w:val="en-US"/>
        </w:rPr>
      </w:pPr>
      <w:r w:rsidRPr="00A4272B">
        <w:rPr>
          <w:sz w:val="18"/>
          <w:szCs w:val="18"/>
          <w:lang w:val="en-US"/>
        </w:rPr>
        <w:t>Zhao, Y., Wang, L., Huang, T., Mo, J., Zhang, X., Gao, H., Ma, J. 2017. Feature extraction of climate variability, seasonality, and long‐term change signals in persistent organic pollutants over the Arctic and the Great Lakes. J. Geophy. Res. Atmos., 122 (16), 8921-8939.</w:t>
      </w:r>
    </w:p>
    <w:p w14:paraId="1030EE5C" w14:textId="7FCF3C29" w:rsidR="009D0545" w:rsidRPr="00A4272B" w:rsidRDefault="009D0545" w:rsidP="00C96212">
      <w:pPr>
        <w:keepNext/>
        <w:outlineLvl w:val="2"/>
        <w:rPr>
          <w:b/>
          <w:bCs/>
          <w:sz w:val="18"/>
          <w:szCs w:val="18"/>
          <w:lang w:val="en-US"/>
        </w:rPr>
      </w:pPr>
      <w:r w:rsidRPr="00A4272B">
        <w:rPr>
          <w:b/>
          <w:bCs/>
          <w:sz w:val="18"/>
          <w:szCs w:val="18"/>
          <w:lang w:val="en-US"/>
        </w:rPr>
        <w:lastRenderedPageBreak/>
        <w:t>Web references</w:t>
      </w:r>
    </w:p>
    <w:p w14:paraId="6F3812DF" w14:textId="6DDAAA88" w:rsidR="00F3536C" w:rsidRPr="00A4272B" w:rsidRDefault="00F3536C" w:rsidP="006B1FE4">
      <w:pPr>
        <w:rPr>
          <w:sz w:val="18"/>
          <w:szCs w:val="18"/>
          <w:lang w:val="en-US"/>
        </w:rPr>
      </w:pPr>
      <w:r w:rsidRPr="00A4272B">
        <w:rPr>
          <w:sz w:val="18"/>
          <w:szCs w:val="18"/>
          <w:lang w:val="en-US"/>
        </w:rPr>
        <w:t>AMAP</w:t>
      </w:r>
      <w:r w:rsidR="00E1502E" w:rsidRPr="00A4272B">
        <w:rPr>
          <w:sz w:val="18"/>
          <w:szCs w:val="18"/>
          <w:lang w:val="en-US"/>
        </w:rPr>
        <w:t xml:space="preserve">: </w:t>
      </w:r>
      <w:r w:rsidRPr="00A4272B">
        <w:rPr>
          <w:sz w:val="18"/>
          <w:szCs w:val="18"/>
          <w:lang w:val="en-US"/>
        </w:rPr>
        <w:t>http://www.amap.no</w:t>
      </w:r>
      <w:r w:rsidR="00C87B52" w:rsidRPr="00A4272B">
        <w:rPr>
          <w:sz w:val="18"/>
          <w:szCs w:val="18"/>
          <w:lang w:val="en-US"/>
        </w:rPr>
        <w:t>.</w:t>
      </w:r>
    </w:p>
    <w:p w14:paraId="5538E3AE" w14:textId="78CD1991" w:rsidR="00F3536C" w:rsidRPr="00A4272B" w:rsidRDefault="00F3536C" w:rsidP="006B1FE4">
      <w:pPr>
        <w:rPr>
          <w:sz w:val="18"/>
          <w:szCs w:val="18"/>
          <w:lang w:val="en-US"/>
        </w:rPr>
      </w:pPr>
      <w:r w:rsidRPr="00A4272B">
        <w:rPr>
          <w:sz w:val="18"/>
          <w:szCs w:val="18"/>
          <w:lang w:val="en-US"/>
        </w:rPr>
        <w:t>East Asian POPs Network</w:t>
      </w:r>
      <w:r w:rsidR="00E1502E" w:rsidRPr="00A4272B">
        <w:rPr>
          <w:sz w:val="18"/>
          <w:szCs w:val="18"/>
          <w:lang w:val="en-US"/>
        </w:rPr>
        <w:t xml:space="preserve">: </w:t>
      </w:r>
      <w:r w:rsidRPr="00A4272B">
        <w:rPr>
          <w:sz w:val="18"/>
          <w:szCs w:val="18"/>
          <w:lang w:val="en-US"/>
        </w:rPr>
        <w:t>http://www.env.go.jp/en/chemi/pops.html</w:t>
      </w:r>
      <w:r w:rsidR="00C87B52" w:rsidRPr="00A4272B">
        <w:rPr>
          <w:sz w:val="18"/>
          <w:szCs w:val="18"/>
          <w:lang w:val="en-US"/>
        </w:rPr>
        <w:t>.</w:t>
      </w:r>
    </w:p>
    <w:p w14:paraId="02836EFE" w14:textId="6F5ABABF" w:rsidR="00F3536C" w:rsidRPr="00A4272B" w:rsidRDefault="00F3536C" w:rsidP="006B1FE4">
      <w:pPr>
        <w:rPr>
          <w:sz w:val="18"/>
          <w:szCs w:val="18"/>
          <w:lang w:val="en-US"/>
        </w:rPr>
      </w:pPr>
      <w:r w:rsidRPr="00A4272B">
        <w:rPr>
          <w:sz w:val="18"/>
          <w:szCs w:val="18"/>
          <w:lang w:val="en-US"/>
        </w:rPr>
        <w:t>EMEP</w:t>
      </w:r>
      <w:r w:rsidR="00E1502E" w:rsidRPr="00A4272B">
        <w:rPr>
          <w:sz w:val="18"/>
          <w:szCs w:val="18"/>
          <w:lang w:val="en-US"/>
        </w:rPr>
        <w:t xml:space="preserve">: </w:t>
      </w:r>
      <w:r w:rsidRPr="00A4272B">
        <w:rPr>
          <w:sz w:val="18"/>
          <w:szCs w:val="18"/>
          <w:lang w:val="en-US"/>
        </w:rPr>
        <w:t>http://www.emep.int/</w:t>
      </w:r>
      <w:r w:rsidR="00C87B52" w:rsidRPr="00A4272B">
        <w:rPr>
          <w:sz w:val="18"/>
          <w:szCs w:val="18"/>
          <w:lang w:val="en-US"/>
        </w:rPr>
        <w:t>.</w:t>
      </w:r>
    </w:p>
    <w:p w14:paraId="0745C584" w14:textId="06BB20F5" w:rsidR="00F3536C" w:rsidRPr="00A4272B" w:rsidRDefault="00F3536C" w:rsidP="006B1FE4">
      <w:pPr>
        <w:rPr>
          <w:sz w:val="18"/>
          <w:szCs w:val="18"/>
          <w:lang w:val="en-US"/>
        </w:rPr>
      </w:pPr>
      <w:r w:rsidRPr="00A4272B">
        <w:rPr>
          <w:sz w:val="18"/>
          <w:szCs w:val="18"/>
          <w:lang w:val="en-US"/>
        </w:rPr>
        <w:t>GAPS</w:t>
      </w:r>
      <w:r w:rsidR="00E1502E" w:rsidRPr="00A4272B">
        <w:rPr>
          <w:sz w:val="18"/>
          <w:szCs w:val="18"/>
          <w:lang w:val="en-US"/>
        </w:rPr>
        <w:t xml:space="preserve">: </w:t>
      </w:r>
      <w:r w:rsidRPr="00A4272B">
        <w:rPr>
          <w:sz w:val="18"/>
          <w:szCs w:val="18"/>
          <w:lang w:val="en-US"/>
        </w:rPr>
        <w:t>http://www.ec.gc.ca/rs-mn/default.asp?lang=En&amp;n=22D58893-1</w:t>
      </w:r>
      <w:r w:rsidR="00C87B52" w:rsidRPr="00A4272B">
        <w:rPr>
          <w:sz w:val="18"/>
          <w:szCs w:val="18"/>
          <w:lang w:val="en-US"/>
        </w:rPr>
        <w:t>.</w:t>
      </w:r>
    </w:p>
    <w:p w14:paraId="1AB7181F" w14:textId="53EC1C50" w:rsidR="00F3536C" w:rsidRPr="00A4272B" w:rsidRDefault="00F3536C" w:rsidP="006B1FE4">
      <w:pPr>
        <w:rPr>
          <w:sz w:val="18"/>
          <w:szCs w:val="18"/>
          <w:lang w:val="en-US"/>
        </w:rPr>
      </w:pPr>
      <w:r w:rsidRPr="00A4272B">
        <w:rPr>
          <w:sz w:val="18"/>
          <w:szCs w:val="18"/>
          <w:lang w:val="en-US"/>
        </w:rPr>
        <w:t>IADN</w:t>
      </w:r>
      <w:r w:rsidR="00E1502E" w:rsidRPr="00A4272B">
        <w:rPr>
          <w:sz w:val="18"/>
          <w:szCs w:val="18"/>
          <w:lang w:val="en-US"/>
        </w:rPr>
        <w:t xml:space="preserve">: </w:t>
      </w:r>
      <w:r w:rsidRPr="00A4272B">
        <w:rPr>
          <w:sz w:val="18"/>
          <w:szCs w:val="18"/>
          <w:lang w:val="en-US"/>
        </w:rPr>
        <w:t>https://www.epa.gov/great-lakes-monitoring/great-lakes-integrated-atmospheric-deposition-network</w:t>
      </w:r>
      <w:r w:rsidR="00C87B52" w:rsidRPr="00A4272B">
        <w:rPr>
          <w:sz w:val="18"/>
          <w:szCs w:val="18"/>
          <w:lang w:val="en-US"/>
        </w:rPr>
        <w:t>.</w:t>
      </w:r>
    </w:p>
    <w:p w14:paraId="7D252C73" w14:textId="3C21086D" w:rsidR="00F3536C" w:rsidRPr="00B25CD5" w:rsidRDefault="00F3536C" w:rsidP="006B1FE4">
      <w:pPr>
        <w:rPr>
          <w:sz w:val="18"/>
          <w:szCs w:val="18"/>
          <w:lang w:val="fr-CH"/>
        </w:rPr>
      </w:pPr>
      <w:r w:rsidRPr="00B25CD5">
        <w:rPr>
          <w:sz w:val="18"/>
          <w:szCs w:val="18"/>
          <w:lang w:val="fr-CH"/>
        </w:rPr>
        <w:t>Lancaster Environment Centre</w:t>
      </w:r>
      <w:r w:rsidR="00E1502E" w:rsidRPr="00B25CD5">
        <w:rPr>
          <w:sz w:val="18"/>
          <w:szCs w:val="18"/>
          <w:lang w:val="fr-CH"/>
        </w:rPr>
        <w:t xml:space="preserve">: </w:t>
      </w:r>
      <w:r w:rsidRPr="00B25CD5">
        <w:rPr>
          <w:sz w:val="18"/>
          <w:szCs w:val="18"/>
          <w:lang w:val="fr-CH"/>
        </w:rPr>
        <w:t>http://www.lec.lancs.ac.uk/</w:t>
      </w:r>
      <w:r w:rsidR="00C87B52" w:rsidRPr="00B25CD5">
        <w:rPr>
          <w:sz w:val="18"/>
          <w:szCs w:val="18"/>
          <w:lang w:val="fr-CH"/>
        </w:rPr>
        <w:t>.</w:t>
      </w:r>
    </w:p>
    <w:p w14:paraId="16272883" w14:textId="5A4D1842" w:rsidR="00F3536C" w:rsidRPr="00B25CD5" w:rsidRDefault="00F3536C" w:rsidP="006B1FE4">
      <w:pPr>
        <w:rPr>
          <w:sz w:val="18"/>
          <w:szCs w:val="18"/>
          <w:lang w:val="es-ES"/>
        </w:rPr>
      </w:pPr>
      <w:r w:rsidRPr="00B25CD5">
        <w:rPr>
          <w:sz w:val="18"/>
          <w:szCs w:val="18"/>
          <w:lang w:val="es-ES"/>
        </w:rPr>
        <w:t>MONET / RECETOX / GENASIS database</w:t>
      </w:r>
      <w:r w:rsidR="00E1502E" w:rsidRPr="00B25CD5">
        <w:rPr>
          <w:sz w:val="18"/>
          <w:szCs w:val="18"/>
          <w:lang w:val="es-ES"/>
        </w:rPr>
        <w:t xml:space="preserve">: </w:t>
      </w:r>
      <w:r w:rsidRPr="00B25CD5">
        <w:rPr>
          <w:sz w:val="18"/>
          <w:szCs w:val="18"/>
          <w:lang w:val="es-ES"/>
        </w:rPr>
        <w:t>http://www.recetox.muni.cz/index-en.php; http://www.genasis.cz/index-en.php</w:t>
      </w:r>
      <w:r w:rsidR="00C87B52" w:rsidRPr="00B25CD5">
        <w:rPr>
          <w:sz w:val="18"/>
          <w:szCs w:val="18"/>
          <w:lang w:val="es-ES"/>
        </w:rPr>
        <w:t>.</w:t>
      </w:r>
    </w:p>
    <w:p w14:paraId="7749D4AC" w14:textId="5AA893EF" w:rsidR="00F3536C" w:rsidRPr="00A4272B" w:rsidRDefault="00F3536C" w:rsidP="006B1FE4">
      <w:pPr>
        <w:rPr>
          <w:sz w:val="18"/>
          <w:szCs w:val="18"/>
          <w:lang w:val="en-US"/>
        </w:rPr>
      </w:pPr>
      <w:r w:rsidRPr="00A4272B">
        <w:rPr>
          <w:sz w:val="18"/>
          <w:szCs w:val="18"/>
          <w:lang w:val="en-US"/>
        </w:rPr>
        <w:t>University of Toronto (Wania Group)</w:t>
      </w:r>
      <w:r w:rsidR="00E1502E" w:rsidRPr="00A4272B">
        <w:rPr>
          <w:sz w:val="18"/>
          <w:szCs w:val="18"/>
          <w:lang w:val="en-US"/>
        </w:rPr>
        <w:t xml:space="preserve">: </w:t>
      </w:r>
      <w:r w:rsidRPr="00A4272B">
        <w:rPr>
          <w:sz w:val="18"/>
          <w:szCs w:val="18"/>
          <w:lang w:val="en-US"/>
        </w:rPr>
        <w:t>http://www.utsc.utoronto.ca/~wania/main.html</w:t>
      </w:r>
      <w:r w:rsidR="00C87B52" w:rsidRPr="00A4272B">
        <w:rPr>
          <w:sz w:val="18"/>
          <w:szCs w:val="18"/>
          <w:lang w:val="en-US"/>
        </w:rPr>
        <w:t>.</w:t>
      </w:r>
    </w:p>
    <w:p w14:paraId="6670B555" w14:textId="1040309D" w:rsidR="00F3536C" w:rsidRPr="00A4272B" w:rsidRDefault="00F3536C" w:rsidP="006B1FE4">
      <w:pPr>
        <w:rPr>
          <w:sz w:val="18"/>
          <w:szCs w:val="18"/>
          <w:lang w:val="en-US"/>
        </w:rPr>
      </w:pPr>
      <w:r w:rsidRPr="00A4272B">
        <w:rPr>
          <w:sz w:val="18"/>
          <w:szCs w:val="18"/>
          <w:lang w:val="en-US"/>
        </w:rPr>
        <w:t>Global Atmsopheric Watch (WMO/GAW)</w:t>
      </w:r>
      <w:r w:rsidR="00E1502E" w:rsidRPr="00A4272B">
        <w:rPr>
          <w:sz w:val="18"/>
          <w:szCs w:val="18"/>
          <w:lang w:val="en-US"/>
        </w:rPr>
        <w:t xml:space="preserve">: </w:t>
      </w:r>
      <w:r w:rsidRPr="00A4272B">
        <w:rPr>
          <w:sz w:val="18"/>
          <w:szCs w:val="18"/>
          <w:lang w:val="en-US"/>
        </w:rPr>
        <w:t>http://www.wmo.int/pages/prog/arep/gaw/gaw_home_en.html</w:t>
      </w:r>
      <w:r w:rsidR="00C87B52" w:rsidRPr="00A4272B">
        <w:rPr>
          <w:sz w:val="18"/>
          <w:szCs w:val="18"/>
          <w:lang w:val="en-US"/>
        </w:rPr>
        <w:t>.</w:t>
      </w:r>
    </w:p>
    <w:p w14:paraId="6EF97DF6" w14:textId="0995A306" w:rsidR="00F3536C" w:rsidRPr="00A4272B" w:rsidRDefault="00F3536C" w:rsidP="006B1FE4">
      <w:pPr>
        <w:rPr>
          <w:sz w:val="18"/>
          <w:szCs w:val="18"/>
          <w:lang w:val="en-US"/>
        </w:rPr>
      </w:pPr>
      <w:r w:rsidRPr="00A4272B">
        <w:rPr>
          <w:sz w:val="18"/>
          <w:szCs w:val="18"/>
          <w:lang w:val="en-US"/>
        </w:rPr>
        <w:t>Mounting and deployment of PUF disk samplers, by AMETEC-UNU: https://www.youtube.com/watch?v=pkz48SyIzXw</w:t>
      </w:r>
      <w:r w:rsidR="00C87B52" w:rsidRPr="00A4272B">
        <w:rPr>
          <w:sz w:val="18"/>
          <w:szCs w:val="18"/>
          <w:lang w:val="en-US"/>
        </w:rPr>
        <w:t>.</w:t>
      </w:r>
    </w:p>
    <w:p w14:paraId="74623B07" w14:textId="4C9BC232" w:rsidR="00F3536C" w:rsidRPr="00A4272B" w:rsidRDefault="00F3536C" w:rsidP="006B1FE4">
      <w:pPr>
        <w:rPr>
          <w:sz w:val="18"/>
          <w:szCs w:val="18"/>
          <w:lang w:val="en-US"/>
        </w:rPr>
      </w:pPr>
      <w:r w:rsidRPr="00A4272B">
        <w:rPr>
          <w:sz w:val="18"/>
          <w:szCs w:val="18"/>
          <w:lang w:val="en-US"/>
        </w:rPr>
        <w:t>Instructions on PUF disk sample changes for Arctic passive network: https://www.youtube.com/watch?v=8A22nvu7kbQ</w:t>
      </w:r>
      <w:r w:rsidR="00C87B52" w:rsidRPr="00A4272B">
        <w:rPr>
          <w:sz w:val="18"/>
          <w:szCs w:val="18"/>
          <w:lang w:val="en-US"/>
        </w:rPr>
        <w:t>.</w:t>
      </w:r>
    </w:p>
    <w:p w14:paraId="777F74B3" w14:textId="0E75C7AB" w:rsidR="00F3536C" w:rsidRPr="00A4272B" w:rsidRDefault="00F3536C" w:rsidP="006B1FE4">
      <w:pPr>
        <w:rPr>
          <w:sz w:val="18"/>
          <w:szCs w:val="18"/>
          <w:lang w:val="en-US"/>
        </w:rPr>
      </w:pPr>
      <w:r w:rsidRPr="00A4272B">
        <w:rPr>
          <w:sz w:val="18"/>
          <w:szCs w:val="18"/>
          <w:lang w:val="en-US"/>
        </w:rPr>
        <w:t>XAD tube sampler setup: https://www.youtube.com/watch?v=9vvrvpRD96k&amp;feature=youtu.be</w:t>
      </w:r>
      <w:r w:rsidR="00C87B52" w:rsidRPr="00A4272B">
        <w:rPr>
          <w:sz w:val="18"/>
          <w:szCs w:val="18"/>
          <w:lang w:val="en-US"/>
        </w:rPr>
        <w:t>.</w:t>
      </w:r>
    </w:p>
    <w:p w14:paraId="6FACEC4A" w14:textId="577993E2" w:rsidR="00F3536C" w:rsidRPr="00A4272B" w:rsidRDefault="00F3536C" w:rsidP="006B1FE4">
      <w:pPr>
        <w:rPr>
          <w:sz w:val="18"/>
          <w:szCs w:val="18"/>
          <w:lang w:val="en-US"/>
        </w:rPr>
      </w:pPr>
      <w:r w:rsidRPr="00A4272B">
        <w:rPr>
          <w:sz w:val="18"/>
          <w:szCs w:val="18"/>
          <w:lang w:val="en-US"/>
        </w:rPr>
        <w:t>Temperature logger installation: https://www.youtube.com/watch?v=nkzbCzRPMyc&amp;feature=youtu.be</w:t>
      </w:r>
      <w:r w:rsidR="00C87B52" w:rsidRPr="00A4272B">
        <w:rPr>
          <w:sz w:val="18"/>
          <w:szCs w:val="18"/>
          <w:lang w:val="en-US"/>
        </w:rPr>
        <w:t>.</w:t>
      </w:r>
    </w:p>
    <w:p w14:paraId="57F1B710" w14:textId="6E2B17BF" w:rsidR="00F3536C" w:rsidRPr="00A4272B" w:rsidRDefault="00F3536C" w:rsidP="006B1FE4">
      <w:pPr>
        <w:rPr>
          <w:sz w:val="18"/>
          <w:szCs w:val="18"/>
          <w:lang w:val="en-US"/>
        </w:rPr>
      </w:pPr>
      <w:r w:rsidRPr="00A4272B">
        <w:rPr>
          <w:sz w:val="18"/>
          <w:szCs w:val="18"/>
          <w:lang w:val="en-US"/>
        </w:rPr>
        <w:t>PUF passive sampling video (in Arabic) https://www.youtube.com/watch?v=NznXwa-xk-0</w:t>
      </w:r>
      <w:r w:rsidR="00C87B52" w:rsidRPr="00A4272B">
        <w:rPr>
          <w:sz w:val="18"/>
          <w:szCs w:val="18"/>
          <w:lang w:val="en-US"/>
        </w:rPr>
        <w:t>.</w:t>
      </w:r>
    </w:p>
    <w:p w14:paraId="6F08B51B" w14:textId="77777777" w:rsidR="00F3536C" w:rsidRPr="00A4272B" w:rsidRDefault="00F3536C" w:rsidP="00766D08">
      <w:pPr>
        <w:outlineLvl w:val="1"/>
        <w:rPr>
          <w:b/>
          <w:bCs/>
          <w:sz w:val="18"/>
          <w:szCs w:val="18"/>
          <w:lang w:val="en-US"/>
        </w:rPr>
      </w:pPr>
      <w:r w:rsidRPr="00A4272B">
        <w:rPr>
          <w:b/>
          <w:bCs/>
          <w:sz w:val="18"/>
          <w:szCs w:val="18"/>
          <w:lang w:val="en-US"/>
        </w:rPr>
        <w:t xml:space="preserve">Chapter 4.2 </w:t>
      </w:r>
    </w:p>
    <w:p w14:paraId="1F0E1F82" w14:textId="71DEDA14" w:rsidR="00C87B52" w:rsidRPr="00A4272B" w:rsidRDefault="00C87B52" w:rsidP="006B1FE4">
      <w:pPr>
        <w:rPr>
          <w:sz w:val="18"/>
          <w:szCs w:val="18"/>
          <w:lang w:val="en-US"/>
        </w:rPr>
      </w:pPr>
      <w:r w:rsidRPr="00A4272B">
        <w:rPr>
          <w:sz w:val="18"/>
          <w:szCs w:val="18"/>
          <w:lang w:val="en-US"/>
        </w:rPr>
        <w:t xml:space="preserve">Acker, L. and E. Schulte (1970a). The occurrence of chlorinated biphenyls and hexachlorobenzene along with chlorinated insecticides in human milk and human adipose tissue. Naturwissenschaften 57(10): 497. </w:t>
      </w:r>
    </w:p>
    <w:p w14:paraId="3C18B3E9" w14:textId="3733C763" w:rsidR="00F3536C" w:rsidRPr="00A4272B" w:rsidRDefault="00F3536C" w:rsidP="006B1FE4">
      <w:pPr>
        <w:rPr>
          <w:sz w:val="18"/>
          <w:szCs w:val="18"/>
          <w:lang w:val="en-US"/>
        </w:rPr>
      </w:pPr>
      <w:r w:rsidRPr="00A4272B">
        <w:rPr>
          <w:sz w:val="18"/>
          <w:szCs w:val="18"/>
          <w:lang w:val="en-US"/>
        </w:rPr>
        <w:t>AMAP 1998. AMAP Assessment Report: Arctic Pollution Issues. Arctic Monitoring and Assessment Programme (AMAP), Oslo Norway, pp. xii+859.</w:t>
      </w:r>
    </w:p>
    <w:p w14:paraId="1ABAC917" w14:textId="6C03A2D8" w:rsidR="00F3536C" w:rsidRPr="00A4272B" w:rsidRDefault="00F3536C" w:rsidP="006B1FE4">
      <w:pPr>
        <w:rPr>
          <w:sz w:val="18"/>
          <w:szCs w:val="18"/>
          <w:lang w:val="en-US"/>
        </w:rPr>
      </w:pPr>
      <w:r w:rsidRPr="00A4272B">
        <w:rPr>
          <w:sz w:val="18"/>
          <w:szCs w:val="18"/>
          <w:lang w:val="en-US"/>
        </w:rPr>
        <w:t>AMAP 2002</w:t>
      </w:r>
      <w:r w:rsidR="00274A8B" w:rsidRPr="00A4272B">
        <w:rPr>
          <w:sz w:val="18"/>
          <w:szCs w:val="18"/>
          <w:lang w:val="en-US"/>
        </w:rPr>
        <w:t>. AMAP Assessment Report</w:t>
      </w:r>
      <w:r w:rsidRPr="00A4272B">
        <w:rPr>
          <w:sz w:val="18"/>
          <w:szCs w:val="18"/>
          <w:lang w:val="en-US"/>
        </w:rPr>
        <w:t>: Human health in the Artic</w:t>
      </w:r>
      <w:r w:rsidR="0074174A" w:rsidRPr="00A4272B">
        <w:rPr>
          <w:sz w:val="18"/>
          <w:szCs w:val="18"/>
          <w:lang w:val="en-US"/>
        </w:rPr>
        <w:t>;</w:t>
      </w:r>
      <w:r w:rsidRPr="00A4272B">
        <w:rPr>
          <w:sz w:val="18"/>
          <w:szCs w:val="18"/>
          <w:lang w:val="en-US"/>
        </w:rPr>
        <w:t xml:space="preserve"> Priority contaminants, « New » toxic substances, and analytical issues. Chapter 4, Burkow I.C.; Weber J.P.</w:t>
      </w:r>
      <w:r w:rsidR="0028129A" w:rsidRPr="00A4272B">
        <w:rPr>
          <w:sz w:val="18"/>
          <w:szCs w:val="18"/>
          <w:lang w:val="en-US"/>
        </w:rPr>
        <w:t xml:space="preserve"> </w:t>
      </w:r>
      <w:r w:rsidRPr="00A4272B">
        <w:rPr>
          <w:sz w:val="18"/>
          <w:szCs w:val="18"/>
          <w:lang w:val="en-US"/>
        </w:rPr>
        <w:t xml:space="preserve">AMAP, 2004. </w:t>
      </w:r>
    </w:p>
    <w:p w14:paraId="0AC129DC" w14:textId="783295E0" w:rsidR="00F3536C" w:rsidRPr="00A4272B" w:rsidRDefault="00F3536C" w:rsidP="006B1FE4">
      <w:pPr>
        <w:rPr>
          <w:sz w:val="18"/>
          <w:szCs w:val="18"/>
          <w:lang w:val="en-US"/>
        </w:rPr>
      </w:pPr>
      <w:r w:rsidRPr="00A4272B">
        <w:rPr>
          <w:sz w:val="18"/>
          <w:szCs w:val="18"/>
          <w:lang w:val="en-US"/>
        </w:rPr>
        <w:t>AMAP 2002</w:t>
      </w:r>
      <w:r w:rsidR="00274A8B" w:rsidRPr="00A4272B">
        <w:rPr>
          <w:sz w:val="18"/>
          <w:szCs w:val="18"/>
          <w:lang w:val="en-US"/>
        </w:rPr>
        <w:t>. AMAP Assessment Report</w:t>
      </w:r>
      <w:r w:rsidRPr="00A4272B">
        <w:rPr>
          <w:sz w:val="18"/>
          <w:szCs w:val="18"/>
          <w:lang w:val="en-US"/>
        </w:rPr>
        <w:t>: Persistent Organic Pollutants in the Arctic. Arctic Monitoring and Assessment Programme, Oslo, Norway, pp. 309.</w:t>
      </w:r>
    </w:p>
    <w:p w14:paraId="2F6FA0BC" w14:textId="22C59B81" w:rsidR="00F3536C" w:rsidRPr="00A4272B" w:rsidRDefault="00F3536C" w:rsidP="006B1FE4">
      <w:pPr>
        <w:rPr>
          <w:sz w:val="18"/>
          <w:szCs w:val="18"/>
          <w:lang w:val="en-US"/>
        </w:rPr>
      </w:pPr>
      <w:r w:rsidRPr="00A4272B">
        <w:rPr>
          <w:sz w:val="18"/>
          <w:szCs w:val="18"/>
          <w:lang w:val="en-US"/>
        </w:rPr>
        <w:t>AMAP 2009</w:t>
      </w:r>
      <w:r w:rsidR="00274A8B" w:rsidRPr="00A4272B">
        <w:rPr>
          <w:sz w:val="18"/>
          <w:szCs w:val="18"/>
          <w:lang w:val="en-US"/>
        </w:rPr>
        <w:t>. AMAP Assessment Report:</w:t>
      </w:r>
      <w:r w:rsidRPr="00A4272B">
        <w:rPr>
          <w:sz w:val="18"/>
          <w:szCs w:val="18"/>
          <w:lang w:val="en-US"/>
        </w:rPr>
        <w:t xml:space="preserve"> Human Health in the Arctic. Arctic Monitoring and Assessment Programme, Oslo, Norway pp 254</w:t>
      </w:r>
      <w:r w:rsidR="0028129A" w:rsidRPr="00A4272B">
        <w:rPr>
          <w:sz w:val="18"/>
          <w:szCs w:val="18"/>
          <w:lang w:val="en-US"/>
        </w:rPr>
        <w:t>.</w:t>
      </w:r>
    </w:p>
    <w:p w14:paraId="68760E88" w14:textId="2D2CF7F4" w:rsidR="00F3536C" w:rsidRPr="00A4272B" w:rsidRDefault="00F3536C" w:rsidP="006B1FE4">
      <w:pPr>
        <w:rPr>
          <w:sz w:val="18"/>
          <w:szCs w:val="18"/>
          <w:lang w:val="en-US"/>
        </w:rPr>
      </w:pPr>
      <w:r w:rsidRPr="00A4272B">
        <w:rPr>
          <w:sz w:val="18"/>
          <w:szCs w:val="18"/>
          <w:lang w:val="en-US"/>
        </w:rPr>
        <w:t>AMAP 2015</w:t>
      </w:r>
      <w:r w:rsidR="00274A8B" w:rsidRPr="00A4272B">
        <w:rPr>
          <w:sz w:val="18"/>
          <w:szCs w:val="18"/>
          <w:lang w:val="en-US"/>
        </w:rPr>
        <w:t>. AMAP Assessment Report</w:t>
      </w:r>
      <w:r w:rsidRPr="00A4272B">
        <w:rPr>
          <w:sz w:val="18"/>
          <w:szCs w:val="18"/>
          <w:lang w:val="en-US"/>
        </w:rPr>
        <w:t>: Human Health in the Arctic. Arctic Monitoring and Assessment Programme, Oslo, Norway</w:t>
      </w:r>
      <w:r w:rsidR="0028129A" w:rsidRPr="00A4272B">
        <w:rPr>
          <w:sz w:val="18"/>
          <w:szCs w:val="18"/>
          <w:lang w:val="en-US"/>
        </w:rPr>
        <w:t>.</w:t>
      </w:r>
    </w:p>
    <w:p w14:paraId="01A26745" w14:textId="7CE5F6F1" w:rsidR="0028129A" w:rsidRPr="00A4272B" w:rsidRDefault="0028129A" w:rsidP="0028129A">
      <w:pPr>
        <w:pStyle w:val="Text0"/>
        <w:spacing w:after="120"/>
        <w:rPr>
          <w:rStyle w:val="dn"/>
          <w:sz w:val="18"/>
          <w:szCs w:val="18"/>
        </w:rPr>
      </w:pPr>
      <w:r w:rsidRPr="00A4272B">
        <w:rPr>
          <w:rStyle w:val="dn"/>
          <w:sz w:val="18"/>
          <w:szCs w:val="18"/>
        </w:rPr>
        <w:t>AMAP 2020</w:t>
      </w:r>
      <w:r w:rsidR="00274A8B" w:rsidRPr="00A4272B">
        <w:rPr>
          <w:rStyle w:val="dn"/>
          <w:sz w:val="18"/>
          <w:szCs w:val="18"/>
        </w:rPr>
        <w:t xml:space="preserve">. </w:t>
      </w:r>
      <w:r w:rsidR="00274A8B" w:rsidRPr="00A4272B">
        <w:rPr>
          <w:sz w:val="18"/>
          <w:szCs w:val="18"/>
        </w:rPr>
        <w:t>AMAP Assessment Report</w:t>
      </w:r>
      <w:r w:rsidRPr="00A4272B">
        <w:rPr>
          <w:rStyle w:val="dn"/>
          <w:sz w:val="18"/>
          <w:szCs w:val="18"/>
        </w:rPr>
        <w:t>:</w:t>
      </w:r>
      <w:r w:rsidRPr="00A4272B">
        <w:rPr>
          <w:sz w:val="18"/>
          <w:szCs w:val="18"/>
        </w:rPr>
        <w:t xml:space="preserve"> Human Health in the Arctic. Arctic Monitoring and Assessment Programme, Oslo, Norway.</w:t>
      </w:r>
    </w:p>
    <w:p w14:paraId="14186721" w14:textId="77777777" w:rsidR="00F3536C" w:rsidRPr="00A4272B" w:rsidRDefault="00F3536C" w:rsidP="0028129A">
      <w:pPr>
        <w:rPr>
          <w:sz w:val="18"/>
          <w:szCs w:val="18"/>
          <w:lang w:val="en-US"/>
        </w:rPr>
      </w:pPr>
      <w:r w:rsidRPr="00A4272B">
        <w:rPr>
          <w:sz w:val="18"/>
          <w:szCs w:val="18"/>
          <w:lang w:val="en-US"/>
        </w:rPr>
        <w:t>Anda, E.E., Nieboer, E., Sandanger, T., Doudarev, A., Odland, J.O. 2007. Intra- and intercompartmental associations between levels of organochlorines in maternal plasma, cord plasma and breast milk, and lead and cadmium in whole blood, for indigenous peoples of Chukotka, Russia. J. Environ. Monit., 9: 8: 884-893.</w:t>
      </w:r>
    </w:p>
    <w:p w14:paraId="073909CD" w14:textId="77777777" w:rsidR="00F3536C" w:rsidRPr="00A4272B" w:rsidRDefault="00F3536C" w:rsidP="006B1FE4">
      <w:pPr>
        <w:rPr>
          <w:sz w:val="18"/>
          <w:szCs w:val="18"/>
          <w:lang w:val="en-US"/>
        </w:rPr>
      </w:pPr>
      <w:r w:rsidRPr="00A4272B">
        <w:rPr>
          <w:sz w:val="18"/>
          <w:szCs w:val="18"/>
          <w:lang w:val="en-US"/>
        </w:rPr>
        <w:t>Becher, G., Haug, L.S., Nicolaysen, T., Polder, A., Skaare, J.U., 2002. Temporal and spatial trends of PCDD/Fs and PCBs in Norwegian breast milk – results from three rounds of WHO co-ordinated studies. Organohalogen Compounds, 56: 325 – 328.</w:t>
      </w:r>
    </w:p>
    <w:p w14:paraId="68188509" w14:textId="030D0E50" w:rsidR="00F3536C" w:rsidRPr="00A4272B" w:rsidRDefault="00F3536C" w:rsidP="006B1FE4">
      <w:pPr>
        <w:rPr>
          <w:sz w:val="18"/>
          <w:szCs w:val="18"/>
          <w:lang w:val="en-US"/>
        </w:rPr>
      </w:pPr>
      <w:r w:rsidRPr="00A4272B">
        <w:rPr>
          <w:sz w:val="18"/>
          <w:szCs w:val="18"/>
          <w:lang w:val="en-US"/>
        </w:rPr>
        <w:t>COMMISSION REGULATION (EU) 2018/192 of 8 February 2018 amending Annex VII to Regulation (EC) No 882/2004 of the European Parliament and of the Council as regards the EU reference laboratories in the field of contaminants in feed and food, Official Journal of the European Union, L 36/15Falanndysz, J., Fernandes, A., Gregoraszczuk, E. and Rose, M. (2014) The Toxicological Effects of Halogenated Naphthalenes: A Review of Aryl Hydrocarbon Receptor-Mediated (Dioxinlike) Relative Potency Factors Journal of Environmental Science and Health, Part C, 32:239–272</w:t>
      </w:r>
      <w:r w:rsidR="009E34B8" w:rsidRPr="00A4272B">
        <w:rPr>
          <w:sz w:val="18"/>
          <w:szCs w:val="18"/>
          <w:lang w:val="en-US"/>
        </w:rPr>
        <w:t>.</w:t>
      </w:r>
    </w:p>
    <w:p w14:paraId="0FB4A3E2" w14:textId="77777777" w:rsidR="00F3536C" w:rsidRPr="00A4272B" w:rsidRDefault="00F3536C" w:rsidP="006B1FE4">
      <w:pPr>
        <w:rPr>
          <w:sz w:val="18"/>
          <w:szCs w:val="18"/>
          <w:lang w:val="en-US"/>
        </w:rPr>
      </w:pPr>
      <w:r w:rsidRPr="00A4272B">
        <w:rPr>
          <w:sz w:val="18"/>
          <w:szCs w:val="18"/>
          <w:lang w:val="en-US"/>
        </w:rPr>
        <w:t>Giesy JP, Kannan K. 2001. Global distribution of perfluorooctane sulfonate in wildlife. Environ Sci Technol 35:1339–1342.</w:t>
      </w:r>
    </w:p>
    <w:p w14:paraId="1FFFC103" w14:textId="3A829190" w:rsidR="00F3536C" w:rsidRPr="00A4272B" w:rsidRDefault="00F3536C" w:rsidP="006B1FE4">
      <w:pPr>
        <w:rPr>
          <w:sz w:val="18"/>
          <w:szCs w:val="18"/>
          <w:lang w:val="en-US"/>
        </w:rPr>
      </w:pPr>
      <w:r w:rsidRPr="00A4272B">
        <w:rPr>
          <w:sz w:val="18"/>
          <w:szCs w:val="18"/>
          <w:lang w:val="en-US"/>
        </w:rPr>
        <w:t>Glynn, A., Berger, U, Bignert, A., Ullah, S., Lignell, S., Aune, M., Darnerud, PO. 2011. Perfluorinated compounds in serum from primparae mothers in Uppsala – time trend 1996-2010. Report to the Swedish national monitoring programme.</w:t>
      </w:r>
      <w:r w:rsidR="00E547B8" w:rsidRPr="00A4272B">
        <w:rPr>
          <w:sz w:val="18"/>
          <w:szCs w:val="18"/>
          <w:lang w:val="en-US"/>
        </w:rPr>
        <w:t xml:space="preserve"> </w:t>
      </w:r>
      <w:r w:rsidRPr="00A4272B">
        <w:rPr>
          <w:sz w:val="18"/>
          <w:szCs w:val="18"/>
          <w:lang w:val="en-US"/>
        </w:rPr>
        <w:t>Contract 215 0906.</w:t>
      </w:r>
    </w:p>
    <w:p w14:paraId="319C5480" w14:textId="77777777" w:rsidR="00F3536C" w:rsidRPr="00A4272B" w:rsidRDefault="00F3536C" w:rsidP="006B1FE4">
      <w:pPr>
        <w:rPr>
          <w:sz w:val="18"/>
          <w:szCs w:val="18"/>
          <w:lang w:val="en-US"/>
        </w:rPr>
      </w:pPr>
      <w:r w:rsidRPr="00A4272B">
        <w:rPr>
          <w:sz w:val="18"/>
          <w:szCs w:val="18"/>
          <w:lang w:val="en-US"/>
        </w:rPr>
        <w:t>Hansen KJ, Clemen LA, Ellefson ME, Johnson HO. 2001. Compound-specific, quantitative characterization of organic: fluorochemicals in biological matrices. Environ Sci Technol. 35:766–70.</w:t>
      </w:r>
    </w:p>
    <w:p w14:paraId="5562861E" w14:textId="17AD3684" w:rsidR="00F3536C" w:rsidRPr="00A4272B" w:rsidRDefault="00F3536C" w:rsidP="006B1FE4">
      <w:pPr>
        <w:rPr>
          <w:sz w:val="18"/>
          <w:szCs w:val="18"/>
          <w:lang w:val="en-US"/>
        </w:rPr>
      </w:pPr>
      <w:r w:rsidRPr="00A4272B">
        <w:rPr>
          <w:sz w:val="18"/>
          <w:szCs w:val="18"/>
          <w:lang w:val="en-US"/>
        </w:rPr>
        <w:t>Hansen, S., Nieboer, E., Odland, J.Ø., Wilsgaard, T., Veyhe, AS., Sandanger, T.M. 2010. Levels of organochlorines and lipids across pregnancy, delivery and postpartum periods in women from Northern Norway. J. Environ. Monit., Advance Article DOI: 10.1039/C0EM00346H</w:t>
      </w:r>
      <w:r w:rsidR="00E547B8" w:rsidRPr="00A4272B">
        <w:rPr>
          <w:sz w:val="18"/>
          <w:szCs w:val="18"/>
          <w:lang w:val="en-US"/>
        </w:rPr>
        <w:t>.</w:t>
      </w:r>
    </w:p>
    <w:p w14:paraId="3FC02203" w14:textId="77777777" w:rsidR="00F3536C" w:rsidRPr="00A4272B" w:rsidRDefault="00F3536C" w:rsidP="006B1FE4">
      <w:pPr>
        <w:rPr>
          <w:sz w:val="18"/>
          <w:szCs w:val="18"/>
          <w:lang w:val="en-US"/>
        </w:rPr>
      </w:pPr>
      <w:r w:rsidRPr="00A4272B">
        <w:rPr>
          <w:sz w:val="18"/>
          <w:szCs w:val="18"/>
          <w:lang w:val="en-US"/>
        </w:rPr>
        <w:t>Harris, C.A., Woolridge, M.W., Hay, A.W., 2001. Factors affecting the transfer of organochlorine pesticide residues to breastmilk. Chemosphere, 43:243-56.</w:t>
      </w:r>
    </w:p>
    <w:p w14:paraId="48E5A342" w14:textId="77777777" w:rsidR="00F3536C" w:rsidRPr="00A4272B" w:rsidRDefault="00F3536C" w:rsidP="006B1FE4">
      <w:pPr>
        <w:rPr>
          <w:sz w:val="18"/>
          <w:szCs w:val="18"/>
          <w:lang w:val="en-US"/>
        </w:rPr>
      </w:pPr>
      <w:r w:rsidRPr="00A4272B">
        <w:rPr>
          <w:sz w:val="18"/>
          <w:szCs w:val="18"/>
          <w:lang w:val="en-US"/>
        </w:rPr>
        <w:t>Haug LS, Thomsen C, Bechert G. 2009. Time Trends and the Influence of Age and Gender on Serum Concentrations of Perfluorinated Compounds in Archived Human Samples. Environ Sci Technol 43: 2131-2136.</w:t>
      </w:r>
    </w:p>
    <w:p w14:paraId="2CB4F079" w14:textId="77777777" w:rsidR="00F3536C" w:rsidRPr="00A4272B" w:rsidRDefault="00F3536C" w:rsidP="006B1FE4">
      <w:pPr>
        <w:rPr>
          <w:sz w:val="18"/>
          <w:szCs w:val="18"/>
          <w:lang w:val="en-US"/>
        </w:rPr>
      </w:pPr>
      <w:r w:rsidRPr="00A4272B">
        <w:rPr>
          <w:sz w:val="18"/>
          <w:szCs w:val="18"/>
          <w:lang w:val="en-US"/>
        </w:rPr>
        <w:lastRenderedPageBreak/>
        <w:t>Iliif, P.J., Piwoz, E.G., Tavengwa, N.V., Zunguza, C.D., Marinda, E.T., Nathoo, K.J., Moulton, L.H., Ward, B.J., Zvitambi Study Group, Humphrey, J.H. 2005. Early exclusive breastfeeding reduces the risk of postnatal HIV-1 transmission and increases HIV- free survival. AIDS. 19:699-708.</w:t>
      </w:r>
    </w:p>
    <w:p w14:paraId="347A0F19" w14:textId="21AB0F9C" w:rsidR="00F3536C" w:rsidRPr="00A4272B" w:rsidRDefault="00F3536C" w:rsidP="006B1FE4">
      <w:pPr>
        <w:rPr>
          <w:sz w:val="18"/>
          <w:szCs w:val="18"/>
          <w:lang w:val="en-US"/>
        </w:rPr>
      </w:pPr>
      <w:r w:rsidRPr="00A4272B">
        <w:rPr>
          <w:sz w:val="18"/>
          <w:szCs w:val="18"/>
          <w:lang w:val="en-US"/>
        </w:rPr>
        <w:t>Jarrell J, Chan S, Hauser R, Hu H. 2005. Longitudinal assessment of PCBs and chlorinated pesticides in pregnant women from Western Canada. Environ Health 4(10):1–8</w:t>
      </w:r>
      <w:r w:rsidR="00E547B8" w:rsidRPr="00A4272B">
        <w:rPr>
          <w:sz w:val="18"/>
          <w:szCs w:val="18"/>
          <w:lang w:val="en-US"/>
        </w:rPr>
        <w:t>.</w:t>
      </w:r>
    </w:p>
    <w:p w14:paraId="49A21450" w14:textId="77777777" w:rsidR="00F3536C" w:rsidRPr="00B25CD5" w:rsidRDefault="00F3536C" w:rsidP="006B1FE4">
      <w:pPr>
        <w:rPr>
          <w:sz w:val="18"/>
          <w:szCs w:val="18"/>
          <w:lang w:val="es-ES"/>
        </w:rPr>
      </w:pPr>
      <w:r w:rsidRPr="00A4272B">
        <w:rPr>
          <w:sz w:val="18"/>
          <w:szCs w:val="18"/>
          <w:lang w:val="en-US"/>
        </w:rPr>
        <w:t xml:space="preserve">Kärrman A, Ericson I, van Bavel B, Darnerud PO, Aune M, Glynn A, Lignell S, Lindström G. 2007. Exposure of perfluorinated chemicals through lactation: levels of matched human milk and serum and a temporal trend, 1996–2004, in Sweden. </w:t>
      </w:r>
      <w:r w:rsidRPr="00B25CD5">
        <w:rPr>
          <w:sz w:val="18"/>
          <w:szCs w:val="18"/>
          <w:lang w:val="es-ES"/>
        </w:rPr>
        <w:t>Environ Health Perspect. 115:226–30.</w:t>
      </w:r>
    </w:p>
    <w:p w14:paraId="69F21FEB" w14:textId="77777777" w:rsidR="00F3536C" w:rsidRPr="00A4272B" w:rsidRDefault="00F3536C" w:rsidP="006B1FE4">
      <w:pPr>
        <w:rPr>
          <w:sz w:val="18"/>
          <w:szCs w:val="18"/>
          <w:lang w:val="en-US"/>
        </w:rPr>
      </w:pPr>
      <w:r w:rsidRPr="00B25CD5">
        <w:rPr>
          <w:sz w:val="18"/>
          <w:szCs w:val="18"/>
          <w:lang w:val="es-ES"/>
        </w:rPr>
        <w:t xml:space="preserve">Kärrman A, Domingo JL, Llebaria X, Nadal M, Bigas E, van Bavel B. 2009. </w:t>
      </w:r>
      <w:r w:rsidRPr="00A4272B">
        <w:rPr>
          <w:sz w:val="18"/>
          <w:szCs w:val="18"/>
          <w:lang w:val="en-US"/>
        </w:rPr>
        <w:t>Biomonitoring perfluorinated compounds in Catalonia, Spain: concentrations and trends in human liver and milk samples. Environ Sci Pollut Res Int17:750–8.</w:t>
      </w:r>
    </w:p>
    <w:p w14:paraId="08BF78EE" w14:textId="436465D6" w:rsidR="00F3536C" w:rsidRPr="00A4272B" w:rsidRDefault="00F3536C" w:rsidP="006B1FE4">
      <w:pPr>
        <w:rPr>
          <w:sz w:val="18"/>
          <w:szCs w:val="18"/>
          <w:lang w:val="en-US"/>
        </w:rPr>
      </w:pPr>
      <w:r w:rsidRPr="00A4272B">
        <w:rPr>
          <w:sz w:val="18"/>
          <w:szCs w:val="18"/>
          <w:lang w:val="en-US"/>
        </w:rPr>
        <w:t>Kärrman A, Davies, J. 2013. PFOS in matched milk and serum from primipara women. Interim Report prepared by Anna Kärrman and Jenna Davies for UNEP Secretariat of the Stockholm Convention. 9 January 2013.</w:t>
      </w:r>
      <w:r w:rsidR="00852F36" w:rsidRPr="00A4272B">
        <w:rPr>
          <w:sz w:val="18"/>
          <w:szCs w:val="18"/>
          <w:lang w:val="en-US"/>
        </w:rPr>
        <w:t xml:space="preserve"> </w:t>
      </w:r>
      <w:hyperlink r:id="rId99" w:history="1">
        <w:r w:rsidR="00852F36" w:rsidRPr="00A4272B">
          <w:rPr>
            <w:rStyle w:val="Hyperlink"/>
            <w:sz w:val="18"/>
            <w:szCs w:val="18"/>
            <w:lang w:val="en-US"/>
          </w:rPr>
          <w:t>https://www.diva-portal.org/smash/get/diva2:710702/FULLTEXT01.pdf</w:t>
        </w:r>
      </w:hyperlink>
      <w:r w:rsidR="00852F36" w:rsidRPr="00A4272B">
        <w:rPr>
          <w:sz w:val="18"/>
          <w:szCs w:val="18"/>
          <w:lang w:val="en-US"/>
        </w:rPr>
        <w:t xml:space="preserve">. </w:t>
      </w:r>
    </w:p>
    <w:p w14:paraId="348EEDEC" w14:textId="24824A96" w:rsidR="00F3536C" w:rsidRPr="00A4272B" w:rsidRDefault="00F3536C" w:rsidP="006B1FE4">
      <w:pPr>
        <w:rPr>
          <w:sz w:val="18"/>
          <w:szCs w:val="18"/>
          <w:lang w:val="en-US"/>
        </w:rPr>
      </w:pPr>
      <w:r w:rsidRPr="00B25CD5">
        <w:rPr>
          <w:sz w:val="18"/>
          <w:szCs w:val="18"/>
          <w:lang w:val="de-DE"/>
        </w:rPr>
        <w:t xml:space="preserve">Krätschmer, K., Cojocariu, C., Schächtele, A., Malisch, R. and Vetter, </w:t>
      </w:r>
      <w:r w:rsidR="00C96212" w:rsidRPr="00B25CD5">
        <w:rPr>
          <w:sz w:val="18"/>
          <w:szCs w:val="18"/>
          <w:lang w:val="de-DE"/>
        </w:rPr>
        <w:t>W.,</w:t>
      </w:r>
      <w:r w:rsidRPr="00B25CD5">
        <w:rPr>
          <w:sz w:val="18"/>
          <w:szCs w:val="18"/>
          <w:lang w:val="de-DE"/>
        </w:rPr>
        <w:t xml:space="preserve"> 2018. </w:t>
      </w:r>
      <w:r w:rsidRPr="00A4272B">
        <w:rPr>
          <w:sz w:val="18"/>
          <w:szCs w:val="18"/>
          <w:lang w:val="en-US"/>
        </w:rPr>
        <w:t>Chlorinated paraffin analysis by gas chromatography Orbitraphigh-resolution mass spectrometry: Method performance, investigation of possible interferences and analysis of fish samples. Journal of Chromatography A, 1539: 53–61</w:t>
      </w:r>
      <w:r w:rsidR="000C1560" w:rsidRPr="00A4272B">
        <w:rPr>
          <w:sz w:val="18"/>
          <w:szCs w:val="18"/>
          <w:lang w:val="en-US"/>
        </w:rPr>
        <w:t>.</w:t>
      </w:r>
    </w:p>
    <w:p w14:paraId="639FA6C1" w14:textId="18858153" w:rsidR="00C87B52" w:rsidRPr="00A4272B" w:rsidRDefault="00C87B52" w:rsidP="00C87B52">
      <w:pPr>
        <w:rPr>
          <w:sz w:val="18"/>
          <w:szCs w:val="18"/>
          <w:lang w:val="en-US"/>
        </w:rPr>
      </w:pPr>
      <w:r w:rsidRPr="00A4272B">
        <w:rPr>
          <w:sz w:val="18"/>
          <w:szCs w:val="18"/>
          <w:lang w:val="en-US"/>
        </w:rPr>
        <w:t>Laug, E. P., F. M. Kunze and C. S. Prickett (1951). Occurrence of DDT in human fat and milk. AMA Arch Ind Hyg Occup Med 3(3): 245-246.</w:t>
      </w:r>
    </w:p>
    <w:p w14:paraId="6A4A37B2" w14:textId="77777777" w:rsidR="00F3536C" w:rsidRPr="00A4272B" w:rsidRDefault="00F3536C" w:rsidP="006B1FE4">
      <w:pPr>
        <w:rPr>
          <w:sz w:val="18"/>
          <w:szCs w:val="18"/>
          <w:lang w:val="en-US"/>
        </w:rPr>
      </w:pPr>
      <w:r w:rsidRPr="00A4272B">
        <w:rPr>
          <w:sz w:val="18"/>
          <w:szCs w:val="18"/>
          <w:lang w:val="en-US"/>
        </w:rPr>
        <w:t>Lignell, S., Aune, M., Glynn, A., Cantillana, T., Fridén, U. 2014. Levels of persistent halogenated organic pollutants (POP) in mother’s milk from first-time mothers in Uppsala, Sweden: results from year 2012 and temporal trends for the time period 1996-2012. Contract 215 1214 from the National Monitoring Programme.</w:t>
      </w:r>
    </w:p>
    <w:p w14:paraId="3C479403" w14:textId="77777777" w:rsidR="00F3536C" w:rsidRPr="00A4272B" w:rsidRDefault="00F3536C" w:rsidP="006B1FE4">
      <w:pPr>
        <w:rPr>
          <w:sz w:val="18"/>
          <w:szCs w:val="18"/>
          <w:lang w:val="en-US"/>
        </w:rPr>
      </w:pPr>
      <w:r w:rsidRPr="00A4272B">
        <w:rPr>
          <w:sz w:val="18"/>
          <w:szCs w:val="18"/>
          <w:lang w:val="en-US"/>
        </w:rPr>
        <w:t>Lignell, S, Aune, M, Darnerud, PO and Glynn, A (2008) Report to the Swedish Environmental Protection Agency, Contract 215 0616 from the National Monitoring Programme.</w:t>
      </w:r>
    </w:p>
    <w:p w14:paraId="21060398" w14:textId="35741E81" w:rsidR="00F3536C" w:rsidRPr="00A4272B" w:rsidRDefault="00F3536C" w:rsidP="006B1FE4">
      <w:pPr>
        <w:rPr>
          <w:sz w:val="18"/>
          <w:szCs w:val="18"/>
          <w:lang w:val="en-US"/>
        </w:rPr>
      </w:pPr>
      <w:r w:rsidRPr="00A4272B">
        <w:rPr>
          <w:sz w:val="18"/>
          <w:szCs w:val="18"/>
          <w:lang w:val="en-US"/>
        </w:rPr>
        <w:t>Longnecker M.P., Klebanoff M.A., Gladen B.C., Berendes HW. Serial levels of serum organochlorines during pregnancy and postpartum. Arch Environ Health 1999;54(2):110–114.</w:t>
      </w:r>
    </w:p>
    <w:p w14:paraId="7EC4A326" w14:textId="42C315AD" w:rsidR="00F3536C" w:rsidRPr="00A4272B" w:rsidRDefault="00F3536C" w:rsidP="006B1FE4">
      <w:pPr>
        <w:rPr>
          <w:sz w:val="18"/>
          <w:szCs w:val="18"/>
          <w:lang w:val="en-US"/>
        </w:rPr>
      </w:pPr>
      <w:r w:rsidRPr="00A4272B">
        <w:rPr>
          <w:sz w:val="18"/>
          <w:szCs w:val="18"/>
          <w:lang w:val="en-US"/>
        </w:rPr>
        <w:t>Lovelady, C.A., Dewey, K.G., Picciano, M.F., Dermer, A., 2002. Guidelines for collection of human milk samples for monitoring and research of environmental chemicals. J Toxicol Environ Health, 65:1881-91</w:t>
      </w:r>
      <w:r w:rsidR="00C96212" w:rsidRPr="00A4272B">
        <w:rPr>
          <w:sz w:val="18"/>
          <w:szCs w:val="18"/>
          <w:lang w:val="en-US"/>
        </w:rPr>
        <w:t>.</w:t>
      </w:r>
    </w:p>
    <w:p w14:paraId="24DB0A09" w14:textId="40ADF66F" w:rsidR="009E34B8" w:rsidRPr="00A4272B" w:rsidRDefault="009E34B8" w:rsidP="006B1FE4">
      <w:pPr>
        <w:rPr>
          <w:sz w:val="18"/>
          <w:szCs w:val="18"/>
          <w:lang w:val="en-US"/>
        </w:rPr>
      </w:pPr>
      <w:r w:rsidRPr="00A4272B">
        <w:rPr>
          <w:sz w:val="18"/>
          <w:szCs w:val="18"/>
          <w:lang w:val="en-US"/>
        </w:rPr>
        <w:t>Malisch, R., Moy, G. 2006. Fou</w:t>
      </w:r>
      <w:r w:rsidR="00ED3544" w:rsidRPr="00A4272B">
        <w:rPr>
          <w:sz w:val="18"/>
          <w:szCs w:val="18"/>
          <w:lang w:val="en-US"/>
        </w:rPr>
        <w:t>r</w:t>
      </w:r>
      <w:r w:rsidRPr="00A4272B">
        <w:rPr>
          <w:sz w:val="18"/>
          <w:szCs w:val="18"/>
          <w:lang w:val="en-US"/>
        </w:rPr>
        <w:t xml:space="preserve">th round of WHO-coordinated exposure studies on levels of persistent organic pollutants in human milk. </w:t>
      </w:r>
      <w:r w:rsidR="00E27B27" w:rsidRPr="00A4272B">
        <w:rPr>
          <w:color w:val="222222"/>
          <w:sz w:val="18"/>
          <w:szCs w:val="18"/>
          <w:lang w:val="en-CA"/>
        </w:rPr>
        <w:t>Organohalogen Compounds 68: 1627-1630.</w:t>
      </w:r>
    </w:p>
    <w:p w14:paraId="021CD2DD" w14:textId="77777777" w:rsidR="009E34B8" w:rsidRPr="00A4272B" w:rsidRDefault="009E34B8" w:rsidP="006B1FE4">
      <w:pPr>
        <w:rPr>
          <w:sz w:val="18"/>
          <w:szCs w:val="18"/>
          <w:lang w:val="en-US"/>
        </w:rPr>
      </w:pPr>
      <w:r w:rsidRPr="00A4272B">
        <w:rPr>
          <w:sz w:val="18"/>
          <w:szCs w:val="18"/>
          <w:lang w:val="en-US"/>
        </w:rPr>
        <w:t>Malisch, R., Van Leeuwen, F.X.R., 2002. Third round of WHO-coordinated exposure study: Analysis of PCBs, PCDDs and PCDFs in human milk. Organohalogen Compounds, 56:317-320.</w:t>
      </w:r>
    </w:p>
    <w:p w14:paraId="26D228BA" w14:textId="77777777" w:rsidR="009E34B8" w:rsidRPr="00A4272B" w:rsidRDefault="009E34B8" w:rsidP="006B1FE4">
      <w:pPr>
        <w:rPr>
          <w:sz w:val="18"/>
          <w:szCs w:val="18"/>
          <w:lang w:val="en-US"/>
        </w:rPr>
      </w:pPr>
      <w:r w:rsidRPr="00A4272B">
        <w:rPr>
          <w:sz w:val="18"/>
          <w:szCs w:val="18"/>
          <w:lang w:val="en-US"/>
        </w:rPr>
        <w:t>Malisch, R., Van Leeuwen, FXR., 2003. Results of the WHO-coordinated exposure study on the levels of PCBs, PCDDs and PCDFs in human milk. Organohalogen Compounds, 64:140-143.</w:t>
      </w:r>
    </w:p>
    <w:p w14:paraId="1BEF0FBF" w14:textId="77777777" w:rsidR="00C87B52" w:rsidRPr="00A4272B" w:rsidRDefault="00C87B52" w:rsidP="00E838BB">
      <w:pPr>
        <w:rPr>
          <w:sz w:val="18"/>
          <w:szCs w:val="18"/>
          <w:lang w:val="en-US"/>
        </w:rPr>
      </w:pPr>
      <w:r w:rsidRPr="00A4272B">
        <w:rPr>
          <w:sz w:val="18"/>
          <w:szCs w:val="18"/>
          <w:lang w:val="en-US"/>
        </w:rPr>
        <w:t>Malisch et al 2023, Rainer Malisch, Peter Fürst, Kateřina Šebková (2023), Persistent Organic Pollutants in Human Milk, Springer. https://doi.org/10.1007/978-3-031-34087-1.</w:t>
      </w:r>
    </w:p>
    <w:p w14:paraId="67712323" w14:textId="77777777" w:rsidR="009E34B8" w:rsidRPr="00A4272B" w:rsidRDefault="009E34B8" w:rsidP="00E838BB">
      <w:pPr>
        <w:rPr>
          <w:sz w:val="18"/>
          <w:szCs w:val="18"/>
          <w:lang w:val="en-US"/>
        </w:rPr>
      </w:pPr>
      <w:r w:rsidRPr="00A4272B">
        <w:rPr>
          <w:sz w:val="18"/>
          <w:szCs w:val="18"/>
          <w:lang w:val="en-US"/>
        </w:rPr>
        <w:t>Martin J.W, K. Kannan, U. Berger, P. de Voogt, J. Field, J. Franklin, J. P. Geisy, T. Harner, D.C.G. Muir, B. Scott, M. Kaiser, U. Järnberg, K.C. Jones, S. C. Mabury, H. Schroeder, M. Simcik, C. Sottani, B. van Bavel, A. Kärrman, G. Lindström, S. van Leeuwen 2004. Analytical Challenges Hamper Perfluoralkyl Research. Researchers need better tools to get to the bottom of the contamination mystery. Environ. Science and Technol. 249A- 255A.</w:t>
      </w:r>
    </w:p>
    <w:p w14:paraId="632E3856" w14:textId="77777777" w:rsidR="00E838BB" w:rsidRPr="00A4272B" w:rsidRDefault="00E838BB" w:rsidP="00E838BB">
      <w:pPr>
        <w:pStyle w:val="Text0"/>
        <w:spacing w:after="120"/>
        <w:rPr>
          <w:rStyle w:val="dn"/>
          <w:sz w:val="18"/>
          <w:szCs w:val="18"/>
        </w:rPr>
      </w:pPr>
      <w:r w:rsidRPr="00A4272B">
        <w:rPr>
          <w:rStyle w:val="dn"/>
          <w:sz w:val="18"/>
          <w:szCs w:val="18"/>
        </w:rPr>
        <w:t>Meironyte, D., K. Noren, and A. Bergman (1999) "Analysis of polybrominated diphenylethers in Swedish human milk. A time-related trend study 1972-1997."Journal of Toxicology and Environmental Health, Part A, 58(6): 329-341. </w:t>
      </w:r>
    </w:p>
    <w:p w14:paraId="58B3ED34" w14:textId="474E5850" w:rsidR="00F3536C" w:rsidRPr="00A4272B" w:rsidRDefault="00F3536C" w:rsidP="00E838BB">
      <w:pPr>
        <w:rPr>
          <w:sz w:val="18"/>
          <w:szCs w:val="18"/>
          <w:lang w:val="en-US"/>
        </w:rPr>
      </w:pPr>
      <w:r w:rsidRPr="00A4272B">
        <w:rPr>
          <w:sz w:val="18"/>
          <w:szCs w:val="18"/>
          <w:lang w:val="en-US"/>
        </w:rPr>
        <w:t>Muckle G, Ayotte P, Dewailly É, Jacobson SW, Jacobson JL. 2001. Prenatal exposure of the northern Quebec Inuit infants to environmental contaminants. Environ Health Perspect 109:1291–1299</w:t>
      </w:r>
      <w:r w:rsidR="000C1560" w:rsidRPr="00A4272B">
        <w:rPr>
          <w:sz w:val="18"/>
          <w:szCs w:val="18"/>
          <w:lang w:val="en-US"/>
        </w:rPr>
        <w:t>.</w:t>
      </w:r>
    </w:p>
    <w:p w14:paraId="099FBC3C" w14:textId="51236D61" w:rsidR="00F3536C" w:rsidRPr="00A4272B" w:rsidRDefault="00F3536C" w:rsidP="006B1FE4">
      <w:pPr>
        <w:rPr>
          <w:sz w:val="18"/>
          <w:szCs w:val="18"/>
          <w:lang w:val="en-US"/>
        </w:rPr>
      </w:pPr>
      <w:r w:rsidRPr="00A4272B">
        <w:rPr>
          <w:sz w:val="18"/>
          <w:szCs w:val="18"/>
          <w:lang w:val="en-US"/>
        </w:rPr>
        <w:t>Newell, M-L. 2005. Mechanics of timing of mother-to-child transmission of HIV-1. AIDS. 12:831-837</w:t>
      </w:r>
      <w:r w:rsidR="00C96212" w:rsidRPr="00A4272B">
        <w:rPr>
          <w:sz w:val="18"/>
          <w:szCs w:val="18"/>
          <w:lang w:val="en-US"/>
        </w:rPr>
        <w:t>.</w:t>
      </w:r>
    </w:p>
    <w:p w14:paraId="50050331" w14:textId="77777777" w:rsidR="00F3536C" w:rsidRPr="00A4272B" w:rsidRDefault="00F3536C" w:rsidP="006B1FE4">
      <w:pPr>
        <w:rPr>
          <w:sz w:val="18"/>
          <w:szCs w:val="18"/>
          <w:lang w:val="en-US"/>
        </w:rPr>
      </w:pPr>
      <w:r w:rsidRPr="00A4272B">
        <w:rPr>
          <w:sz w:val="18"/>
          <w:szCs w:val="18"/>
          <w:lang w:val="en-US"/>
        </w:rPr>
        <w:t>NIOSH. Criteria for a recommended étalon. Occupational exposure to polychlroinated Biophenyl (PCBs) U.S. DHEW, PHS, CDC, Rockville, Md. Publ. 1997, No. 77-225.</w:t>
      </w:r>
    </w:p>
    <w:p w14:paraId="5F1C7C6B" w14:textId="77777777" w:rsidR="00F3536C" w:rsidRPr="00A4272B" w:rsidRDefault="00F3536C" w:rsidP="006B1FE4">
      <w:pPr>
        <w:rPr>
          <w:sz w:val="18"/>
          <w:szCs w:val="18"/>
          <w:lang w:val="en-US"/>
        </w:rPr>
      </w:pPr>
      <w:r w:rsidRPr="00A4272B">
        <w:rPr>
          <w:sz w:val="18"/>
          <w:szCs w:val="18"/>
          <w:lang w:val="en-US"/>
        </w:rPr>
        <w:t>Pereg, D., J.J. Ryan, P. Ayotte, G. Muckle, B. Patry and E. Dewailly, 2003. Temporal and spatial changes of brominated diphenyl ethers (BDEs) and other POPs in human milk from Nunavik (Arctic) and southern Quebec. Organohalogen Compounds, 61:127-130.</w:t>
      </w:r>
    </w:p>
    <w:p w14:paraId="62DDF048" w14:textId="77777777" w:rsidR="00F3536C" w:rsidRPr="00A4272B" w:rsidRDefault="00F3536C" w:rsidP="006B1FE4">
      <w:pPr>
        <w:rPr>
          <w:sz w:val="18"/>
          <w:szCs w:val="18"/>
          <w:lang w:val="en-US"/>
        </w:rPr>
      </w:pPr>
      <w:r w:rsidRPr="00A4272B">
        <w:rPr>
          <w:sz w:val="18"/>
          <w:szCs w:val="18"/>
          <w:lang w:val="en-US"/>
        </w:rPr>
        <w:t>Pereg, D., E. Dewailly, P. Ayotte and G. Muckle, 2008. Monitoring temporal trends of environmental pollutants in maternal blood in Nunavik. In: Synopsis of Research Conducted under the 2007-2008 Northern Contaminants Program. Department of Indian Affairs and Northern Development, Ottawa, Ontario, Canada.</w:t>
      </w:r>
    </w:p>
    <w:p w14:paraId="7757EB12" w14:textId="77777777" w:rsidR="00F3536C" w:rsidRPr="00A4272B" w:rsidRDefault="00F3536C" w:rsidP="006B1FE4">
      <w:pPr>
        <w:rPr>
          <w:sz w:val="18"/>
          <w:szCs w:val="18"/>
          <w:lang w:val="en-US"/>
        </w:rPr>
      </w:pPr>
      <w:r w:rsidRPr="00A4272B">
        <w:rPr>
          <w:sz w:val="18"/>
          <w:szCs w:val="18"/>
          <w:lang w:val="en-US"/>
        </w:rPr>
        <w:t>Phillips D.L., Pirkle J.L., Burse V.W., Bernert J.T., Henderson O., Needham L.L 1989. Chlorinated hydrocarbon levels in human serum: effects of fasting and feeding. Arch Environ Contam Toxicol 18:495 –500.</w:t>
      </w:r>
    </w:p>
    <w:p w14:paraId="02E2077B" w14:textId="77777777" w:rsidR="00F3536C" w:rsidRPr="00A4272B" w:rsidRDefault="00F3536C" w:rsidP="006B1FE4">
      <w:pPr>
        <w:rPr>
          <w:sz w:val="18"/>
          <w:szCs w:val="18"/>
          <w:lang w:val="en-US"/>
        </w:rPr>
      </w:pPr>
      <w:r w:rsidRPr="00A4272B">
        <w:rPr>
          <w:sz w:val="18"/>
          <w:szCs w:val="18"/>
          <w:lang w:val="en-US"/>
        </w:rPr>
        <w:t>Radecki, S., Abbot, A., Eloi, l. 2000. Occupational human immunodeficiency virus exposure among residents and medical students; an analysis of 5-year follow-up data. Arch. Internal Medic. 160:3107-3111.</w:t>
      </w:r>
    </w:p>
    <w:p w14:paraId="3DAD7BFD" w14:textId="77777777" w:rsidR="00C87B52" w:rsidRPr="00B25CD5" w:rsidRDefault="00C87B52" w:rsidP="00C87B52">
      <w:pPr>
        <w:rPr>
          <w:sz w:val="18"/>
          <w:szCs w:val="18"/>
          <w:lang w:val="de-DE"/>
        </w:rPr>
      </w:pPr>
      <w:r w:rsidRPr="00A4272B">
        <w:rPr>
          <w:sz w:val="18"/>
          <w:szCs w:val="18"/>
          <w:lang w:val="en-US"/>
        </w:rPr>
        <w:lastRenderedPageBreak/>
        <w:t xml:space="preserve">Schulte, E. and R. Malisch (1984). Calculation of the real PCB content in environmental samples. II. Gas chromatographc determination of the PCB concentration in human milk and butter. </w:t>
      </w:r>
      <w:r w:rsidRPr="00B25CD5">
        <w:rPr>
          <w:sz w:val="18"/>
          <w:szCs w:val="18"/>
          <w:lang w:val="de-DE"/>
        </w:rPr>
        <w:t xml:space="preserve">Fresenius' Zeitschrift für analytische Chemie 319(6): 54-59. </w:t>
      </w:r>
    </w:p>
    <w:p w14:paraId="3445A990" w14:textId="77777777" w:rsidR="00F3536C" w:rsidRPr="00A4272B" w:rsidRDefault="00F3536C" w:rsidP="006B1FE4">
      <w:pPr>
        <w:rPr>
          <w:sz w:val="18"/>
          <w:szCs w:val="18"/>
          <w:lang w:val="en-US"/>
        </w:rPr>
      </w:pPr>
      <w:r w:rsidRPr="00B25CD5">
        <w:rPr>
          <w:sz w:val="18"/>
          <w:szCs w:val="18"/>
          <w:lang w:val="de-DE"/>
        </w:rPr>
        <w:t xml:space="preserve">Schecter, A., Pavuk, M., Päpke, O., Malisch, R., 2003. </w:t>
      </w:r>
      <w:r w:rsidRPr="00A4272B">
        <w:rPr>
          <w:sz w:val="18"/>
          <w:szCs w:val="18"/>
          <w:lang w:val="en-US"/>
        </w:rPr>
        <w:t>Potassium dichromate and ethyl alcohol as blood preservation for analysis of chlorinated organics. Organohalogen Compounds, 60:154-157.</w:t>
      </w:r>
    </w:p>
    <w:p w14:paraId="01B5C9CA" w14:textId="77777777" w:rsidR="009E34B8" w:rsidRPr="00A4272B" w:rsidRDefault="009E34B8" w:rsidP="006B1FE4">
      <w:pPr>
        <w:rPr>
          <w:sz w:val="18"/>
          <w:szCs w:val="18"/>
          <w:lang w:val="en-US"/>
        </w:rPr>
      </w:pPr>
      <w:r w:rsidRPr="00A4272B">
        <w:rPr>
          <w:sz w:val="18"/>
          <w:szCs w:val="18"/>
          <w:lang w:val="en-US"/>
        </w:rPr>
        <w:t>Sosnowska, A., M. Mudlaff, L. Gorb, N. Bulawska, S. Zdybel, M. Bakker, W. Peijnenburg and T. Puzyn (2023). Expanding the applicability domain of QSPRs for predicting water solubility and vapor pressure of PFAS. Chemosphere 340: 139965.</w:t>
      </w:r>
    </w:p>
    <w:p w14:paraId="6F86D5C6" w14:textId="77777777" w:rsidR="00F3536C" w:rsidRPr="00A4272B" w:rsidRDefault="00F3536C" w:rsidP="006B1FE4">
      <w:pPr>
        <w:rPr>
          <w:sz w:val="18"/>
          <w:szCs w:val="18"/>
          <w:lang w:val="en-US"/>
        </w:rPr>
      </w:pPr>
      <w:r w:rsidRPr="00A4272B">
        <w:rPr>
          <w:sz w:val="18"/>
          <w:szCs w:val="18"/>
          <w:lang w:val="en-US"/>
        </w:rPr>
        <w:t>Tao L, Kannan K, Wong CM, Arcaro KF, Butenhoff JL. 2008. Perfluorinated compounds in human milk from Massachusetts. USA Environ Sci Technol 42:3096–101.</w:t>
      </w:r>
    </w:p>
    <w:p w14:paraId="22C40352" w14:textId="71EA8EEA" w:rsidR="00F3536C" w:rsidRPr="00A4272B" w:rsidRDefault="00F3536C" w:rsidP="006B1FE4">
      <w:pPr>
        <w:rPr>
          <w:sz w:val="18"/>
          <w:szCs w:val="18"/>
          <w:lang w:val="en-US"/>
        </w:rPr>
      </w:pPr>
      <w:r w:rsidRPr="00A4272B">
        <w:rPr>
          <w:sz w:val="18"/>
          <w:szCs w:val="18"/>
          <w:lang w:val="en-US"/>
        </w:rPr>
        <w:t>UNEP 2013. Results of the global survey on concentrations in human milk of persistent organic pollutants by the United Nations Environment Programme and the World Health Organization. UNEP/POPS/COP.6/INF/33 at Conference of the Parties to the Stockholm Convention on Persistent Organic Pollutants, Sixth meeting, Geneva, 28 April–10 May 2013</w:t>
      </w:r>
      <w:r w:rsidR="00964111" w:rsidRPr="00A4272B">
        <w:rPr>
          <w:sz w:val="18"/>
          <w:szCs w:val="18"/>
          <w:lang w:val="en-US"/>
        </w:rPr>
        <w:t>.</w:t>
      </w:r>
    </w:p>
    <w:p w14:paraId="54C013F7" w14:textId="4E79A928" w:rsidR="00F3536C" w:rsidRPr="00A4272B" w:rsidRDefault="00F3536C" w:rsidP="006B1FE4">
      <w:pPr>
        <w:rPr>
          <w:sz w:val="18"/>
          <w:szCs w:val="18"/>
          <w:lang w:val="en-US"/>
        </w:rPr>
      </w:pPr>
      <w:r w:rsidRPr="00A4272B">
        <w:rPr>
          <w:sz w:val="18"/>
          <w:szCs w:val="18"/>
          <w:lang w:val="en-US"/>
        </w:rPr>
        <w:t>UNEP 2017a. UNEP-coordinated Survey of Human Milk for Persistent Organic Pollutants - Guidelines for Organization, Sampling and Analysis, prepared by Karin Malisch and Rainer Malisch, CVUA Freiburg, Germany, and Heidelore Fiedler, Örebro University, Sweden, in January 2017</w:t>
      </w:r>
      <w:r w:rsidR="00964111" w:rsidRPr="00A4272B">
        <w:rPr>
          <w:sz w:val="18"/>
          <w:szCs w:val="18"/>
          <w:lang w:val="en-US"/>
        </w:rPr>
        <w:t>.</w:t>
      </w:r>
    </w:p>
    <w:p w14:paraId="67CAC6E4" w14:textId="2C5B5101" w:rsidR="00F3536C" w:rsidRPr="00A4272B" w:rsidRDefault="00F3536C" w:rsidP="006B1FE4">
      <w:pPr>
        <w:rPr>
          <w:sz w:val="18"/>
          <w:szCs w:val="18"/>
          <w:lang w:val="en-US"/>
        </w:rPr>
      </w:pPr>
      <w:r w:rsidRPr="00A4272B">
        <w:rPr>
          <w:sz w:val="18"/>
          <w:szCs w:val="18"/>
          <w:lang w:val="en-US"/>
        </w:rPr>
        <w:t>UNEP 2017b. Bi-ennial Global Interlaboratory Assessment on Persistent Organic Pollutants – Third Round 2016/2017</w:t>
      </w:r>
      <w:r w:rsidR="00964111" w:rsidRPr="00A4272B">
        <w:rPr>
          <w:sz w:val="18"/>
          <w:szCs w:val="18"/>
          <w:lang w:val="en-US"/>
        </w:rPr>
        <w:t>.</w:t>
      </w:r>
    </w:p>
    <w:p w14:paraId="0D29DD92" w14:textId="2452EF60" w:rsidR="009E34B8" w:rsidRPr="00A4272B" w:rsidRDefault="009E34B8" w:rsidP="006B1FE4">
      <w:pPr>
        <w:rPr>
          <w:sz w:val="18"/>
          <w:szCs w:val="18"/>
          <w:lang w:val="en-US"/>
        </w:rPr>
      </w:pPr>
      <w:r w:rsidRPr="00A4272B">
        <w:rPr>
          <w:sz w:val="18"/>
          <w:szCs w:val="18"/>
          <w:lang w:val="en-US"/>
        </w:rPr>
        <w:t>UNEP 2021. Bi-ennial Global Interlaboratory Assessment on Persistent Organic Pollutants. Fourth Round 2018/2019. https://wedocs.unep.org/20.500.11822/30923, United Nations Environment Programme, Örebro University, &amp; Vrije Universitet Amsterdam.</w:t>
      </w:r>
    </w:p>
    <w:p w14:paraId="1A25E2EA" w14:textId="5A98BD81" w:rsidR="009E34B8" w:rsidRPr="00A4272B" w:rsidRDefault="009E34B8" w:rsidP="006B1FE4">
      <w:pPr>
        <w:rPr>
          <w:sz w:val="18"/>
          <w:szCs w:val="18"/>
          <w:lang w:val="en-US"/>
        </w:rPr>
      </w:pPr>
      <w:r w:rsidRPr="00A4272B">
        <w:rPr>
          <w:sz w:val="18"/>
          <w:szCs w:val="18"/>
          <w:lang w:val="en-US"/>
        </w:rPr>
        <w:t>UNEP 2023. Risk profile for long-chain perfluorocarboxylic acids, their salts and related compounds. UNEP/POPS/POPRC.18/11/Add.4. Geneva, Switzerland, Stockholm Convention on Persistent Organic Pollutants: 57 pp.</w:t>
      </w:r>
    </w:p>
    <w:p w14:paraId="3FA51F3A" w14:textId="5FE4763C" w:rsidR="009E34B8" w:rsidRPr="00A4272B" w:rsidRDefault="009E34B8" w:rsidP="006B1FE4">
      <w:pPr>
        <w:rPr>
          <w:sz w:val="18"/>
          <w:szCs w:val="18"/>
          <w:lang w:val="en-US"/>
        </w:rPr>
      </w:pPr>
      <w:r w:rsidRPr="00A4272B">
        <w:rPr>
          <w:sz w:val="18"/>
          <w:szCs w:val="18"/>
          <w:lang w:val="en-US"/>
        </w:rPr>
        <w:t>US EPA 1996. Method 1669. Sampling Ambient Water for Trace Metals at EPA Water Quality at Criteria Levels. Washington, DC, US Environmental Protection Agency, Office of Water: 39 pp.</w:t>
      </w:r>
    </w:p>
    <w:p w14:paraId="3CABC43E" w14:textId="30AAD24F" w:rsidR="009E34B8" w:rsidRPr="00A4272B" w:rsidRDefault="009E34B8" w:rsidP="006B1FE4">
      <w:pPr>
        <w:rPr>
          <w:sz w:val="18"/>
          <w:szCs w:val="18"/>
          <w:lang w:val="en-US"/>
        </w:rPr>
      </w:pPr>
      <w:r w:rsidRPr="00A4272B">
        <w:rPr>
          <w:sz w:val="18"/>
          <w:szCs w:val="18"/>
          <w:lang w:val="en-US"/>
        </w:rPr>
        <w:t xml:space="preserve">US EPA 2009. Monitoring Guidance for the National Estuary </w:t>
      </w:r>
      <w:r w:rsidR="002A6D39" w:rsidRPr="00A4272B">
        <w:rPr>
          <w:sz w:val="18"/>
          <w:szCs w:val="18"/>
          <w:lang w:val="en-US"/>
        </w:rPr>
        <w:t xml:space="preserve">Programme </w:t>
      </w:r>
      <w:r w:rsidRPr="00A4272B">
        <w:rPr>
          <w:sz w:val="18"/>
          <w:szCs w:val="18"/>
          <w:lang w:val="en-US"/>
        </w:rPr>
        <w:t>EPA842-B-92-004. Washington, DC, US Environmental Protection Agency, National Estuary Program: 75 pp.</w:t>
      </w:r>
    </w:p>
    <w:p w14:paraId="693D02B3" w14:textId="3F29DD04" w:rsidR="00F3536C" w:rsidRPr="00B25CD5" w:rsidRDefault="00F3536C" w:rsidP="006B1FE4">
      <w:pPr>
        <w:rPr>
          <w:sz w:val="18"/>
          <w:szCs w:val="18"/>
          <w:lang w:val="nl-NL"/>
        </w:rPr>
      </w:pPr>
      <w:r w:rsidRPr="00A4272B">
        <w:rPr>
          <w:sz w:val="18"/>
          <w:szCs w:val="18"/>
          <w:lang w:val="en-US"/>
        </w:rPr>
        <w:t xml:space="preserve">van den Berg, M., Kypke, K., Kotz, A., Tritscher, A., Yong, L.S., Magulova, K. Fiedler, H. and Malisch, R., 2017. WHO/UNEP global surveys of PCDDs, PCDFs, PCBs and DDTs in human milk and benefit–risk evaluation of breastfeeding, Arch Toxicol. </w:t>
      </w:r>
      <w:r w:rsidRPr="00B25CD5">
        <w:rPr>
          <w:sz w:val="18"/>
          <w:szCs w:val="18"/>
          <w:lang w:val="nl-NL"/>
        </w:rPr>
        <w:t>91:83-96, DOI 10.1007/s00204-016-1802-z</w:t>
      </w:r>
      <w:r w:rsidR="00D0225B" w:rsidRPr="00B25CD5">
        <w:rPr>
          <w:sz w:val="18"/>
          <w:szCs w:val="18"/>
          <w:lang w:val="nl-NL"/>
        </w:rPr>
        <w:t>.</w:t>
      </w:r>
    </w:p>
    <w:p w14:paraId="3863EEFB" w14:textId="06B83ED2" w:rsidR="00D0225B" w:rsidRPr="00A4272B" w:rsidRDefault="0028129A" w:rsidP="0028129A">
      <w:pPr>
        <w:rPr>
          <w:sz w:val="18"/>
          <w:szCs w:val="18"/>
          <w:lang w:val="en-US"/>
        </w:rPr>
      </w:pPr>
      <w:r w:rsidRPr="00B25CD5">
        <w:rPr>
          <w:sz w:val="18"/>
          <w:szCs w:val="18"/>
          <w:lang w:val="nl-NL"/>
        </w:rPr>
        <w:t>v</w:t>
      </w:r>
      <w:r w:rsidR="00D0225B" w:rsidRPr="00B25CD5">
        <w:rPr>
          <w:sz w:val="18"/>
          <w:szCs w:val="18"/>
          <w:lang w:val="nl-NL"/>
        </w:rPr>
        <w:t xml:space="preserve">an den Berg M, van der Wielen FWM, Olie K and van Boxtel </w:t>
      </w:r>
      <w:r w:rsidR="00964111" w:rsidRPr="00B25CD5">
        <w:rPr>
          <w:sz w:val="18"/>
          <w:szCs w:val="18"/>
          <w:lang w:val="nl-NL"/>
        </w:rPr>
        <w:t>CJ.</w:t>
      </w:r>
      <w:r w:rsidR="00D0225B" w:rsidRPr="00B25CD5">
        <w:rPr>
          <w:sz w:val="18"/>
          <w:szCs w:val="18"/>
          <w:lang w:val="nl-NL"/>
        </w:rPr>
        <w:t xml:space="preserve"> </w:t>
      </w:r>
      <w:r w:rsidR="00D0225B" w:rsidRPr="00A4272B">
        <w:rPr>
          <w:sz w:val="18"/>
          <w:szCs w:val="18"/>
          <w:lang w:val="en-US"/>
        </w:rPr>
        <w:t xml:space="preserve">(1986). The presence of PCDDs and PCDFs inhuman breast milk from the Netherlands. Chemosphere, 15: 693–706. </w:t>
      </w:r>
    </w:p>
    <w:p w14:paraId="649D801E" w14:textId="572812C8" w:rsidR="00F3536C" w:rsidRPr="00A4272B" w:rsidRDefault="0028129A" w:rsidP="0028129A">
      <w:pPr>
        <w:rPr>
          <w:sz w:val="18"/>
          <w:szCs w:val="18"/>
          <w:lang w:val="en-US"/>
        </w:rPr>
      </w:pPr>
      <w:r w:rsidRPr="00A4272B">
        <w:rPr>
          <w:sz w:val="18"/>
          <w:szCs w:val="18"/>
          <w:lang w:val="en-US"/>
        </w:rPr>
        <w:t>v</w:t>
      </w:r>
      <w:r w:rsidR="00F3536C" w:rsidRPr="00A4272B">
        <w:rPr>
          <w:sz w:val="18"/>
          <w:szCs w:val="18"/>
          <w:lang w:val="en-US"/>
        </w:rPr>
        <w:t>an Leeuwen, F.X.R., Malisch, R., 2002. Results of the third round of the WHO-coordinated exposure study on the levels of PCBs, PCDDs and PCDFs in human milk. Organohalogen Compounds, 56: 311-316</w:t>
      </w:r>
      <w:r w:rsidR="00C96212" w:rsidRPr="00A4272B">
        <w:rPr>
          <w:sz w:val="18"/>
          <w:szCs w:val="18"/>
          <w:lang w:val="en-US"/>
        </w:rPr>
        <w:t>.</w:t>
      </w:r>
    </w:p>
    <w:p w14:paraId="56E375D4" w14:textId="4E7BFA27" w:rsidR="0028129A" w:rsidRPr="00A4272B" w:rsidRDefault="0028129A" w:rsidP="0028129A">
      <w:pPr>
        <w:pStyle w:val="Text0"/>
        <w:spacing w:after="120"/>
        <w:rPr>
          <w:rStyle w:val="dn"/>
          <w:sz w:val="18"/>
          <w:szCs w:val="18"/>
        </w:rPr>
      </w:pPr>
      <w:r w:rsidRPr="00A4272B">
        <w:rPr>
          <w:rStyle w:val="dn"/>
          <w:sz w:val="18"/>
          <w:szCs w:val="18"/>
        </w:rPr>
        <w:t>Völkel, W., Genzel-Boroviczény, O., Demmelmair, H., Gebauer, C., Koletzko, B., Twardella, D., Raab, U.and Fromme, H. (2008). Perfluorooctane sulphonate (PFOS) and perfluorooctanoic acid (PFOA) in human breast milk: results of a pilot study. International Journal of Hygiene and Environmental Health, 211(3-4): 440-446. </w:t>
      </w:r>
    </w:p>
    <w:p w14:paraId="0948D8BE" w14:textId="187F0CF0" w:rsidR="00F3536C" w:rsidRPr="00A4272B" w:rsidRDefault="00F3536C" w:rsidP="0028129A">
      <w:pPr>
        <w:rPr>
          <w:sz w:val="18"/>
          <w:szCs w:val="18"/>
          <w:lang w:val="en-US"/>
        </w:rPr>
      </w:pPr>
      <w:r w:rsidRPr="00A4272B">
        <w:rPr>
          <w:sz w:val="18"/>
          <w:szCs w:val="18"/>
          <w:lang w:val="en-US"/>
        </w:rPr>
        <w:t>WHO</w:t>
      </w:r>
      <w:r w:rsidR="00964111" w:rsidRPr="00A4272B">
        <w:rPr>
          <w:sz w:val="18"/>
          <w:szCs w:val="18"/>
          <w:lang w:val="en-US"/>
        </w:rPr>
        <w:t xml:space="preserve"> </w:t>
      </w:r>
      <w:r w:rsidRPr="00A4272B">
        <w:rPr>
          <w:sz w:val="18"/>
          <w:szCs w:val="18"/>
          <w:lang w:val="en-US"/>
        </w:rPr>
        <w:t>1989. Environmental Health Series No. 34 (1989): Levels of PCBs, PCDDs, and PCDFs in breast milk, WHO Regional Office for Europe, Copenhagen, Denmark.</w:t>
      </w:r>
    </w:p>
    <w:p w14:paraId="4AAF9C55" w14:textId="5D200371" w:rsidR="00F3536C" w:rsidRPr="00A4272B" w:rsidRDefault="00F3536C" w:rsidP="006B1FE4">
      <w:pPr>
        <w:rPr>
          <w:sz w:val="18"/>
          <w:szCs w:val="18"/>
          <w:lang w:val="en-US"/>
        </w:rPr>
      </w:pPr>
      <w:r w:rsidRPr="00A4272B">
        <w:rPr>
          <w:sz w:val="18"/>
          <w:szCs w:val="18"/>
          <w:lang w:val="en-US"/>
        </w:rPr>
        <w:t>WHO 1996. Environmental Health in Europe No. 3 (1996): Levels of PCDDs, PCDFs and PCBs in human milk: Second Round of WHO-coordinated exposure study), WHO Regional Office for Europe, Copenhagen, Denmark.</w:t>
      </w:r>
    </w:p>
    <w:p w14:paraId="4E0D4245" w14:textId="3030DEFE" w:rsidR="00F3536C" w:rsidRPr="00A4272B" w:rsidRDefault="00F3536C" w:rsidP="006B1FE4">
      <w:pPr>
        <w:rPr>
          <w:sz w:val="18"/>
          <w:szCs w:val="18"/>
          <w:lang w:val="en-US"/>
        </w:rPr>
      </w:pPr>
      <w:r w:rsidRPr="00A4272B">
        <w:rPr>
          <w:sz w:val="18"/>
          <w:szCs w:val="18"/>
          <w:lang w:val="en-US"/>
        </w:rPr>
        <w:t>WHO 2000. Inter-laboratory quality assessment of levels of PCBs, PCDDs and PCDFs in human milk and blood plasma – fourth round of WHO-coordinated study (2000), WHO Report EUR/00/5020352, WHO European Centre for Environment and Health, Bilthoven, The Netherlands.</w:t>
      </w:r>
    </w:p>
    <w:p w14:paraId="6DB41F4A" w14:textId="5DE7810D" w:rsidR="00F3536C" w:rsidRPr="00A4272B" w:rsidRDefault="00F3536C" w:rsidP="006B1FE4">
      <w:pPr>
        <w:rPr>
          <w:sz w:val="18"/>
          <w:szCs w:val="18"/>
          <w:lang w:val="en-US"/>
        </w:rPr>
      </w:pPr>
      <w:r w:rsidRPr="00A4272B">
        <w:rPr>
          <w:sz w:val="18"/>
          <w:szCs w:val="18"/>
          <w:lang w:val="en-US"/>
        </w:rPr>
        <w:t>WHO 2007. Fourth WHO-coordinated survey of human milk for Persistent Organic pollutants; A protocol for collection, handling and analysis of samples at the country level.</w:t>
      </w:r>
    </w:p>
    <w:p w14:paraId="32214C00" w14:textId="77777777" w:rsidR="00F3536C" w:rsidRPr="00A4272B" w:rsidRDefault="00F3536C" w:rsidP="006B1FE4">
      <w:pPr>
        <w:rPr>
          <w:sz w:val="18"/>
          <w:szCs w:val="18"/>
          <w:lang w:val="en-US"/>
        </w:rPr>
      </w:pPr>
      <w:r w:rsidRPr="00A4272B">
        <w:rPr>
          <w:sz w:val="18"/>
          <w:szCs w:val="18"/>
          <w:lang w:val="en-US"/>
        </w:rPr>
        <w:t>Yuan, Bo; Bogdal, Christian; Berger, Urs; MacLeod, Matthew; Gebbink, Wouter A.; Alsberg, Tomas; Wit, Cynthia A. de (2017): Quantifying Short-Chain Chlorinated Paraffin Congener Groups. In Environmental science &amp; technology 51 (18), pp. 10633–10641. DOI: 10.1021/acs.est.7b02269.</w:t>
      </w:r>
    </w:p>
    <w:p w14:paraId="2D24E33B" w14:textId="28E7BD3E" w:rsidR="009D0545" w:rsidRPr="00A4272B" w:rsidRDefault="009D0545" w:rsidP="009D0545">
      <w:pPr>
        <w:outlineLvl w:val="2"/>
        <w:rPr>
          <w:b/>
          <w:bCs/>
          <w:sz w:val="18"/>
          <w:szCs w:val="18"/>
          <w:lang w:val="en-US"/>
        </w:rPr>
      </w:pPr>
      <w:r w:rsidRPr="00A4272B">
        <w:rPr>
          <w:b/>
          <w:bCs/>
          <w:sz w:val="18"/>
          <w:szCs w:val="18"/>
          <w:lang w:val="en-US"/>
        </w:rPr>
        <w:t>Web references</w:t>
      </w:r>
    </w:p>
    <w:p w14:paraId="7A3DA292" w14:textId="51C5DAAD" w:rsidR="00F3536C" w:rsidRPr="00A4272B" w:rsidRDefault="00F3536C" w:rsidP="006B1FE4">
      <w:pPr>
        <w:rPr>
          <w:sz w:val="18"/>
          <w:szCs w:val="18"/>
          <w:lang w:val="en-US"/>
        </w:rPr>
      </w:pPr>
      <w:r w:rsidRPr="00A4272B">
        <w:rPr>
          <w:sz w:val="18"/>
          <w:szCs w:val="18"/>
          <w:lang w:val="en-US"/>
        </w:rPr>
        <w:t>Proceedings of the GMP workshop: http://www.chem.unep.ch/gmn/Files/popsmonprg_proc.pdf</w:t>
      </w:r>
      <w:r w:rsidR="006B1FE4" w:rsidRPr="00A4272B">
        <w:rPr>
          <w:sz w:val="18"/>
          <w:szCs w:val="18"/>
          <w:lang w:val="en-US"/>
        </w:rPr>
        <w:t>.</w:t>
      </w:r>
    </w:p>
    <w:p w14:paraId="2992B1CD" w14:textId="4727D5A2" w:rsidR="00F3536C" w:rsidRPr="00B25CD5" w:rsidRDefault="00F3536C" w:rsidP="006B1FE4">
      <w:pPr>
        <w:rPr>
          <w:sz w:val="18"/>
          <w:szCs w:val="18"/>
          <w:lang w:val="fr-CH"/>
        </w:rPr>
      </w:pPr>
      <w:r w:rsidRPr="00B25CD5">
        <w:rPr>
          <w:sz w:val="18"/>
          <w:szCs w:val="18"/>
          <w:lang w:val="fr-CH"/>
        </w:rPr>
        <w:t>Centre de Toxicologie du Quebec:</w:t>
      </w:r>
      <w:r w:rsidR="00766D08" w:rsidRPr="00B25CD5">
        <w:rPr>
          <w:sz w:val="18"/>
          <w:szCs w:val="18"/>
          <w:lang w:val="fr-CH"/>
        </w:rPr>
        <w:t xml:space="preserve"> </w:t>
      </w:r>
      <w:r w:rsidRPr="00B25CD5">
        <w:rPr>
          <w:sz w:val="18"/>
          <w:szCs w:val="18"/>
          <w:lang w:val="fr-CH"/>
        </w:rPr>
        <w:t>http://www.inspq.qc.ca/ctqenglish/home</w:t>
      </w:r>
      <w:r w:rsidR="006B1FE4" w:rsidRPr="00B25CD5">
        <w:rPr>
          <w:sz w:val="18"/>
          <w:szCs w:val="18"/>
          <w:lang w:val="fr-CH"/>
        </w:rPr>
        <w:t>.</w:t>
      </w:r>
      <w:r w:rsidRPr="00B25CD5">
        <w:rPr>
          <w:sz w:val="18"/>
          <w:szCs w:val="18"/>
          <w:lang w:val="fr-CH"/>
        </w:rPr>
        <w:t xml:space="preserve"> </w:t>
      </w:r>
    </w:p>
    <w:p w14:paraId="7BBBDB90" w14:textId="2E63002E" w:rsidR="00F3536C" w:rsidRPr="00A4272B" w:rsidRDefault="00F3536C" w:rsidP="006B1FE4">
      <w:pPr>
        <w:rPr>
          <w:sz w:val="18"/>
          <w:szCs w:val="18"/>
          <w:lang w:val="en-US"/>
        </w:rPr>
      </w:pPr>
      <w:r w:rsidRPr="00A4272B">
        <w:rPr>
          <w:sz w:val="18"/>
          <w:szCs w:val="18"/>
          <w:lang w:val="en-US"/>
        </w:rPr>
        <w:t>WHO Food safety: http://www.who.int/foodsafety/chem</w:t>
      </w:r>
      <w:r w:rsidR="006B1FE4" w:rsidRPr="00A4272B">
        <w:rPr>
          <w:sz w:val="18"/>
          <w:szCs w:val="18"/>
          <w:lang w:val="en-US"/>
        </w:rPr>
        <w:t>.</w:t>
      </w:r>
    </w:p>
    <w:p w14:paraId="70E31833" w14:textId="77777777" w:rsidR="00F3536C" w:rsidRPr="00A4272B" w:rsidRDefault="00F3536C" w:rsidP="00766D08">
      <w:pPr>
        <w:outlineLvl w:val="1"/>
        <w:rPr>
          <w:b/>
          <w:bCs/>
          <w:sz w:val="18"/>
          <w:szCs w:val="18"/>
          <w:lang w:val="en-US"/>
        </w:rPr>
      </w:pPr>
      <w:r w:rsidRPr="00A4272B">
        <w:rPr>
          <w:b/>
          <w:bCs/>
          <w:sz w:val="18"/>
          <w:szCs w:val="18"/>
          <w:lang w:val="en-US"/>
        </w:rPr>
        <w:t>Chapter 4.3</w:t>
      </w:r>
    </w:p>
    <w:p w14:paraId="53244427" w14:textId="154EB434" w:rsidR="00F3536C" w:rsidRPr="00A4272B" w:rsidRDefault="00F3536C" w:rsidP="006B1FE4">
      <w:pPr>
        <w:rPr>
          <w:sz w:val="18"/>
          <w:szCs w:val="18"/>
          <w:lang w:val="en-US"/>
        </w:rPr>
      </w:pPr>
      <w:r w:rsidRPr="00A4272B">
        <w:rPr>
          <w:sz w:val="18"/>
          <w:szCs w:val="18"/>
          <w:lang w:val="en-US"/>
        </w:rPr>
        <w:t>Armitage, J.M., Macleod, M., Cousins, I.T., 2009. Modeling the global fate and transport of perfluorooctanoic acid (PFOA) and perfluorooctanoate (PFO) Emitted from direct sources using a multispecies mass balance model. Environ. Sci. Technol. 43, 1134–1140. https://doi.org/10.1021/es802900n</w:t>
      </w:r>
      <w:r w:rsidR="00964111" w:rsidRPr="00A4272B">
        <w:rPr>
          <w:sz w:val="18"/>
          <w:szCs w:val="18"/>
          <w:lang w:val="en-US"/>
        </w:rPr>
        <w:t>.</w:t>
      </w:r>
    </w:p>
    <w:p w14:paraId="77C09FA4" w14:textId="77777777" w:rsidR="00DD15F1" w:rsidRPr="00A4272B" w:rsidRDefault="00DD15F1" w:rsidP="00DD15F1">
      <w:pPr>
        <w:rPr>
          <w:sz w:val="18"/>
          <w:szCs w:val="18"/>
          <w:lang w:val="en-US"/>
        </w:rPr>
      </w:pPr>
      <w:r w:rsidRPr="00A4272B">
        <w:rPr>
          <w:sz w:val="18"/>
          <w:szCs w:val="18"/>
          <w:lang w:val="en-US"/>
        </w:rPr>
        <w:lastRenderedPageBreak/>
        <w:t>Baabish, A., S. Sobhanei and H. Fiedler (2021). Priority perfluoroalkyl substances in surface waters - A snapshot survey from 22 developing countries. Chemosphere 273: 129612.</w:t>
      </w:r>
    </w:p>
    <w:p w14:paraId="31576E1A" w14:textId="0763F8A0" w:rsidR="00F3536C" w:rsidRPr="00A4272B" w:rsidRDefault="00F3536C" w:rsidP="006B1FE4">
      <w:pPr>
        <w:rPr>
          <w:sz w:val="18"/>
          <w:szCs w:val="18"/>
          <w:lang w:val="en-US"/>
        </w:rPr>
      </w:pPr>
      <w:r w:rsidRPr="00A4272B">
        <w:rPr>
          <w:sz w:val="18"/>
          <w:szCs w:val="18"/>
          <w:lang w:val="en-US"/>
        </w:rPr>
        <w:t>Bečanová J., Komprdová K., Vrana B., Klánová J., 2016. Annual dynamics of perfluorinated compounds in sediment: A case study in the Morava River in Zlín district, Czech Republic. Chemosphere 151, 225–233. https://doi.org/10.1016/j.chemosphere.2016.02.081</w:t>
      </w:r>
      <w:r w:rsidR="00964111" w:rsidRPr="00A4272B">
        <w:rPr>
          <w:sz w:val="18"/>
          <w:szCs w:val="18"/>
          <w:lang w:val="en-US"/>
        </w:rPr>
        <w:t>.</w:t>
      </w:r>
    </w:p>
    <w:p w14:paraId="67D00D93" w14:textId="77777777" w:rsidR="00DD15F1" w:rsidRPr="00B25CD5" w:rsidRDefault="00DD15F1" w:rsidP="00DD15F1">
      <w:pPr>
        <w:rPr>
          <w:sz w:val="18"/>
          <w:szCs w:val="18"/>
          <w:lang w:val="fr-CH"/>
        </w:rPr>
      </w:pPr>
      <w:r w:rsidRPr="00A4272B">
        <w:rPr>
          <w:sz w:val="18"/>
          <w:szCs w:val="18"/>
          <w:lang w:val="en-US"/>
        </w:rPr>
        <w:t xml:space="preserve">Beggs, C., Mackie, R., Vrana, B., Prokeš, R., Gorji, S.G., Schulze, B., Thomas, K. V., Mueller, J.F., Kaserzon, S.L., 2023. Estimation of per- and poly-fluoroalkyl substances mass loads in the Danube River using passive sampling. </w:t>
      </w:r>
      <w:r w:rsidRPr="00B25CD5">
        <w:rPr>
          <w:sz w:val="18"/>
          <w:szCs w:val="18"/>
          <w:lang w:val="fr-CH"/>
        </w:rPr>
        <w:t>Sci. Total Environ. 892, 164458.</w:t>
      </w:r>
    </w:p>
    <w:p w14:paraId="02279E6F" w14:textId="2145BB6A" w:rsidR="00F3536C" w:rsidRPr="00A4272B" w:rsidRDefault="00F3536C" w:rsidP="006B1FE4">
      <w:pPr>
        <w:rPr>
          <w:sz w:val="18"/>
          <w:szCs w:val="18"/>
          <w:lang w:val="en-US"/>
        </w:rPr>
      </w:pPr>
      <w:r w:rsidRPr="00B25CD5">
        <w:rPr>
          <w:sz w:val="18"/>
          <w:szCs w:val="18"/>
          <w:lang w:val="fr-CH"/>
        </w:rPr>
        <w:t xml:space="preserve">Berger U., Kaiser M.A., Kärrman A., et al. </w:t>
      </w:r>
      <w:r w:rsidRPr="00A4272B">
        <w:rPr>
          <w:sz w:val="18"/>
          <w:szCs w:val="18"/>
          <w:lang w:val="en-US"/>
        </w:rPr>
        <w:t>(2011) Recent developments in trace analysis of poly- and perfluoroalkyl substances. Anal Bioanal Chem 400:1625–1635. https://doi.org/10.1007/s00216-011-4823-8</w:t>
      </w:r>
      <w:r w:rsidR="00964111" w:rsidRPr="00A4272B">
        <w:rPr>
          <w:sz w:val="18"/>
          <w:szCs w:val="18"/>
          <w:lang w:val="en-US"/>
        </w:rPr>
        <w:t>.</w:t>
      </w:r>
    </w:p>
    <w:p w14:paraId="75CA0F49" w14:textId="77777777" w:rsidR="00DD15F1" w:rsidRPr="00A4272B" w:rsidRDefault="00DD15F1" w:rsidP="00DD15F1">
      <w:pPr>
        <w:rPr>
          <w:sz w:val="18"/>
          <w:szCs w:val="18"/>
          <w:lang w:val="en-US"/>
        </w:rPr>
      </w:pPr>
      <w:r w:rsidRPr="00A4272B">
        <w:rPr>
          <w:sz w:val="18"/>
          <w:szCs w:val="18"/>
          <w:lang w:val="en-US"/>
        </w:rPr>
        <w:t>Bogdal, Christian; Alsberg, Tomas; Diefenbacher, Pascal S.; MacLeod, Matthew; Berger, Urs (2015): Fast Quantification of Chlorinated Paraffins in Environmental Samples by Direct Injection High-Resolution Mass Spectrometry with Pattern Deconvolution. In Anal. Chem. 87 (5), pp. 2852–2860. DOI: 10.1021/ac504444d.</w:t>
      </w:r>
    </w:p>
    <w:p w14:paraId="527F3E81" w14:textId="52FD23A8" w:rsidR="00DD15F1" w:rsidRPr="00A4272B" w:rsidRDefault="00DD15F1" w:rsidP="00DD15F1">
      <w:pPr>
        <w:rPr>
          <w:sz w:val="18"/>
          <w:szCs w:val="18"/>
          <w:lang w:val="en-US"/>
        </w:rPr>
      </w:pPr>
      <w:r w:rsidRPr="00A4272B">
        <w:rPr>
          <w:sz w:val="18"/>
          <w:szCs w:val="18"/>
          <w:lang w:val="en-US"/>
        </w:rPr>
        <w:t xml:space="preserve">Dunn, M., Becanova, J., Snook, J., Ruyle, B., Lohmann, R., 2023. Calibration of Perfluorinated Alkyl Acid Uptake Rates by a Tube Passive Sampler in Water. ACS ES&amp;T </w:t>
      </w:r>
      <w:r w:rsidR="00964111" w:rsidRPr="00A4272B">
        <w:rPr>
          <w:sz w:val="18"/>
          <w:szCs w:val="18"/>
          <w:lang w:val="en-US"/>
        </w:rPr>
        <w:t>Water,</w:t>
      </w:r>
      <w:r w:rsidRPr="00A4272B">
        <w:rPr>
          <w:sz w:val="18"/>
          <w:szCs w:val="18"/>
          <w:lang w:val="en-US"/>
        </w:rPr>
        <w:t xml:space="preserve"> 3 (2) 332–341. https://doi.org/10.1021/ACSESTWATER.2C00384.</w:t>
      </w:r>
    </w:p>
    <w:p w14:paraId="768DBF0A" w14:textId="77777777" w:rsidR="00DD15F1" w:rsidRPr="00A4272B" w:rsidRDefault="00DD15F1" w:rsidP="00DD15F1">
      <w:pPr>
        <w:rPr>
          <w:sz w:val="18"/>
          <w:szCs w:val="18"/>
          <w:lang w:val="en-US"/>
        </w:rPr>
      </w:pPr>
      <w:r w:rsidRPr="00A4272B">
        <w:rPr>
          <w:sz w:val="18"/>
          <w:szCs w:val="18"/>
          <w:lang w:val="en-US"/>
        </w:rPr>
        <w:t>Gardiner, C., A. Robuck, J. Becanova, M. Cantwell, S. Kaserzon, D. Katz, J. Mueller and R. Lohmann (2022). Field Validation of a Novel Passive Sampler for Dissolved PFAS in Surface Waters. Environmental Toxicology and Chemistry 41(10): 2375-2385.</w:t>
      </w:r>
    </w:p>
    <w:p w14:paraId="44F5CAA3" w14:textId="77777777" w:rsidR="00F3536C" w:rsidRPr="00A4272B" w:rsidRDefault="00F3536C" w:rsidP="006B1FE4">
      <w:pPr>
        <w:rPr>
          <w:sz w:val="18"/>
          <w:szCs w:val="18"/>
          <w:lang w:val="en-US"/>
        </w:rPr>
      </w:pPr>
      <w:r w:rsidRPr="00A4272B">
        <w:rPr>
          <w:sz w:val="18"/>
          <w:szCs w:val="18"/>
          <w:lang w:val="en-US"/>
        </w:rPr>
        <w:t>Gouin, T., Wania, F., 2007. Time trends of Arctic contamination in relation to emission history and chemical persistence and partitioning properties. Environ. Sci. Technol. 41, 5986–92.</w:t>
      </w:r>
    </w:p>
    <w:p w14:paraId="246B9F8B" w14:textId="5FC929BE" w:rsidR="00F3536C" w:rsidRPr="00A4272B" w:rsidRDefault="00F3536C" w:rsidP="006B1FE4">
      <w:pPr>
        <w:rPr>
          <w:sz w:val="18"/>
          <w:szCs w:val="18"/>
          <w:lang w:val="en-US"/>
        </w:rPr>
      </w:pPr>
      <w:r w:rsidRPr="00A4272B">
        <w:rPr>
          <w:sz w:val="18"/>
          <w:szCs w:val="18"/>
          <w:lang w:val="en-US"/>
        </w:rPr>
        <w:t xml:space="preserve">GMP, U., Protocol 1: The analysis of perfluorooctane sulfonic acid (PFOS) in water and Perfluorooctane sulfonamide (FOSA), mothers’ milk, human serum and air, and the analysis of some perfluorooctane sulfonamides (FOSAS) and perfluorooctane sulfonamido ethanols (FOSES) in air, </w:t>
      </w:r>
      <w:r w:rsidR="00C96212" w:rsidRPr="00A4272B">
        <w:rPr>
          <w:sz w:val="18"/>
          <w:szCs w:val="18"/>
          <w:lang w:val="en-US"/>
        </w:rPr>
        <w:t>UNEP</w:t>
      </w:r>
      <w:r w:rsidRPr="00A4272B">
        <w:rPr>
          <w:sz w:val="18"/>
          <w:szCs w:val="18"/>
          <w:lang w:val="en-US"/>
        </w:rPr>
        <w:t xml:space="preserve"> Chemicals </w:t>
      </w:r>
      <w:r w:rsidR="00C96212" w:rsidRPr="00A4272B">
        <w:rPr>
          <w:sz w:val="18"/>
          <w:szCs w:val="18"/>
          <w:lang w:val="en-US"/>
        </w:rPr>
        <w:t>B</w:t>
      </w:r>
      <w:r w:rsidRPr="00A4272B">
        <w:rPr>
          <w:sz w:val="18"/>
          <w:szCs w:val="18"/>
          <w:lang w:val="en-US"/>
        </w:rPr>
        <w:t>ranch, Division of Technology, Industry and Economics, 2015</w:t>
      </w:r>
      <w:r w:rsidR="006B1FE4" w:rsidRPr="00A4272B">
        <w:rPr>
          <w:sz w:val="18"/>
          <w:szCs w:val="18"/>
          <w:lang w:val="en-US"/>
        </w:rPr>
        <w:t>.</w:t>
      </w:r>
    </w:p>
    <w:p w14:paraId="4FD4572F" w14:textId="77777777" w:rsidR="00F3536C" w:rsidRPr="00A4272B" w:rsidRDefault="00F3536C" w:rsidP="006B1FE4">
      <w:pPr>
        <w:rPr>
          <w:sz w:val="18"/>
          <w:szCs w:val="18"/>
          <w:lang w:val="en-US"/>
        </w:rPr>
      </w:pPr>
      <w:r w:rsidRPr="00A4272B">
        <w:rPr>
          <w:sz w:val="18"/>
          <w:szCs w:val="18"/>
          <w:lang w:val="en-US"/>
        </w:rPr>
        <w:t>International Organisation for Standardisation, 1992. ISO 5667-9:1992 Water quality -- Sampling -- Part 9: Guidance on sampling from marine waters.</w:t>
      </w:r>
    </w:p>
    <w:p w14:paraId="20218F0D" w14:textId="77777777" w:rsidR="00F3536C" w:rsidRPr="00A4272B" w:rsidRDefault="00F3536C" w:rsidP="006B1FE4">
      <w:pPr>
        <w:rPr>
          <w:sz w:val="18"/>
          <w:szCs w:val="18"/>
          <w:lang w:val="en-US"/>
        </w:rPr>
      </w:pPr>
      <w:r w:rsidRPr="00A4272B">
        <w:rPr>
          <w:sz w:val="18"/>
          <w:szCs w:val="18"/>
          <w:lang w:val="en-US"/>
        </w:rPr>
        <w:t>International Organisation for Standardisation, 2006. ISO 5667-1:2006 - Water quality -- Sampling -- Part 1: Guidance on the design of sampling programmes and sampling techniques.</w:t>
      </w:r>
    </w:p>
    <w:p w14:paraId="4279AB8E" w14:textId="77777777" w:rsidR="00F3536C" w:rsidRPr="00A4272B" w:rsidRDefault="00F3536C" w:rsidP="006B1FE4">
      <w:pPr>
        <w:rPr>
          <w:sz w:val="18"/>
          <w:szCs w:val="18"/>
          <w:lang w:val="en-US"/>
        </w:rPr>
      </w:pPr>
      <w:r w:rsidRPr="00A4272B">
        <w:rPr>
          <w:sz w:val="18"/>
          <w:szCs w:val="18"/>
          <w:lang w:val="en-US"/>
        </w:rPr>
        <w:t>International Organisation for Standardisation, 2009 ISO 25101:2009. Water quality - Determination of perfluorooctanesulfonate (PFOS) and perfluorooctanoate (PFOA) - Method for unfiltered samples using solid phase extraction and liquid chromatography/mass spectrometry.</w:t>
      </w:r>
    </w:p>
    <w:p w14:paraId="50B74B83" w14:textId="77777777" w:rsidR="00F3536C" w:rsidRPr="00A4272B" w:rsidRDefault="00F3536C" w:rsidP="006B1FE4">
      <w:pPr>
        <w:rPr>
          <w:sz w:val="18"/>
          <w:szCs w:val="18"/>
          <w:lang w:val="en-US"/>
        </w:rPr>
      </w:pPr>
      <w:r w:rsidRPr="00A4272B">
        <w:rPr>
          <w:sz w:val="18"/>
          <w:szCs w:val="18"/>
          <w:lang w:val="en-US"/>
        </w:rPr>
        <w:t>International Organisation for Standardisation, 2014. ISO 5667-6:2014 Water quality -- Sampling -- Part 6: Guidance on sampling of rivers and streams.</w:t>
      </w:r>
    </w:p>
    <w:p w14:paraId="22D8D422" w14:textId="77777777" w:rsidR="00F3536C" w:rsidRPr="00A4272B" w:rsidRDefault="00F3536C" w:rsidP="006B1FE4">
      <w:pPr>
        <w:rPr>
          <w:sz w:val="18"/>
          <w:szCs w:val="18"/>
          <w:lang w:val="en-US"/>
        </w:rPr>
      </w:pPr>
      <w:r w:rsidRPr="00A4272B">
        <w:rPr>
          <w:sz w:val="18"/>
          <w:szCs w:val="18"/>
          <w:lang w:val="en-US"/>
        </w:rPr>
        <w:t>International Organisation for Standardisation, 2014b. ISO 5667-14: 2014. Water quality — Sampling — part 14. Guidance on quality assurance of environmental water sampling and handling.</w:t>
      </w:r>
    </w:p>
    <w:p w14:paraId="734ED345" w14:textId="77777777" w:rsidR="00F3536C" w:rsidRPr="00A4272B" w:rsidRDefault="00F3536C" w:rsidP="006B1FE4">
      <w:pPr>
        <w:rPr>
          <w:sz w:val="18"/>
          <w:szCs w:val="18"/>
          <w:lang w:val="en-US"/>
        </w:rPr>
      </w:pPr>
      <w:r w:rsidRPr="00A4272B">
        <w:rPr>
          <w:sz w:val="18"/>
          <w:szCs w:val="18"/>
          <w:lang w:val="en-US"/>
        </w:rPr>
        <w:t>International Organisation for Standardisation, 2016. ISO 5667-4:2016 Water quality -- Sampling -- Part 4: Guidance on sampling from lakes, natural and man-made.</w:t>
      </w:r>
    </w:p>
    <w:p w14:paraId="320C03BD" w14:textId="77777777" w:rsidR="00F3536C" w:rsidRPr="00A4272B" w:rsidRDefault="00F3536C" w:rsidP="006B1FE4">
      <w:pPr>
        <w:rPr>
          <w:sz w:val="18"/>
          <w:szCs w:val="18"/>
          <w:lang w:val="en-US"/>
        </w:rPr>
      </w:pPr>
      <w:r w:rsidRPr="00A4272B">
        <w:rPr>
          <w:sz w:val="18"/>
          <w:szCs w:val="18"/>
          <w:lang w:val="en-US"/>
        </w:rPr>
        <w:t>Jurado, E., ZaldĆvar, J.-M., Marinov, D., Dachs, J., 2007. Fate of persistent organic pollutants in the water column: Does turbulent mixing matter? Mar. Pollut. Bull. 54, 441–451.</w:t>
      </w:r>
    </w:p>
    <w:p w14:paraId="4B28C706" w14:textId="4D997AA0" w:rsidR="00DD15F1" w:rsidRPr="00A4272B" w:rsidRDefault="00DD15F1" w:rsidP="00DD15F1">
      <w:pPr>
        <w:rPr>
          <w:sz w:val="18"/>
          <w:szCs w:val="18"/>
          <w:lang w:val="en-US"/>
        </w:rPr>
      </w:pPr>
      <w:r w:rsidRPr="00A4272B">
        <w:rPr>
          <w:sz w:val="18"/>
          <w:szCs w:val="18"/>
          <w:lang w:val="en-US"/>
        </w:rPr>
        <w:t>Kaserzon, S. L., S. Vijayasarathy, J. Bräunig, L. Mueller, D. W. Hawker, K. V. Thomas and J. F. Mueller (2019). Calibration and validation of a novel passive sampling device for the time integrative monitoring of per- and polyfluoroalkyl substances (PFASs) and precursors in contaminated groundwater. Journal of Hazardous Materials 366: 423-431. https://doi.org/10.1016/j.jhazmat.2018.12.010.</w:t>
      </w:r>
    </w:p>
    <w:p w14:paraId="7C875411" w14:textId="6D8FFBAA" w:rsidR="00F3536C" w:rsidRPr="00A4272B" w:rsidRDefault="00F3536C" w:rsidP="006B1FE4">
      <w:pPr>
        <w:rPr>
          <w:sz w:val="18"/>
          <w:szCs w:val="18"/>
          <w:lang w:val="en-US"/>
        </w:rPr>
      </w:pPr>
      <w:r w:rsidRPr="00A4272B">
        <w:rPr>
          <w:sz w:val="18"/>
          <w:szCs w:val="18"/>
          <w:lang w:val="en-US"/>
        </w:rPr>
        <w:t>Kaserzon, S.L., Hawker, D.W., Booij, K., O’Brien, D.S., Kennedy, K., Vermeirssen, E.L.M., Mueller, J.F., 2014. Passive sampling of perfluorinated chemicals in water: In-situ calibration. Environ. Pollut. https://doi.org/10.1016/j.envpol.2013.11.030</w:t>
      </w:r>
      <w:r w:rsidR="0028129A" w:rsidRPr="00A4272B">
        <w:rPr>
          <w:sz w:val="18"/>
          <w:szCs w:val="18"/>
          <w:lang w:val="en-US"/>
        </w:rPr>
        <w:t>.</w:t>
      </w:r>
    </w:p>
    <w:p w14:paraId="6EB0F9BF" w14:textId="35613737" w:rsidR="00F3536C" w:rsidRPr="00A4272B" w:rsidRDefault="00F3536C" w:rsidP="006B1FE4">
      <w:pPr>
        <w:rPr>
          <w:sz w:val="18"/>
          <w:szCs w:val="18"/>
          <w:lang w:val="en-US"/>
        </w:rPr>
      </w:pPr>
      <w:r w:rsidRPr="00A4272B">
        <w:rPr>
          <w:sz w:val="18"/>
          <w:szCs w:val="18"/>
          <w:lang w:val="en-US"/>
        </w:rPr>
        <w:t>Kaserzon, S.L., Kennedy, K., Hawker, D.W., Thompson, J., Carter, S., Roach, A.C., Booij, K., Mueller, J.F., 2012. Development and calibration of a passive sampler for perfluorinated alkyl carboxylates and sulfonates in water. Environ. Sci. Technol. 46, 4985–4993. https://doi.org/10.1021/es300593a</w:t>
      </w:r>
      <w:r w:rsidR="0028129A" w:rsidRPr="00A4272B">
        <w:rPr>
          <w:sz w:val="18"/>
          <w:szCs w:val="18"/>
          <w:lang w:val="en-US"/>
        </w:rPr>
        <w:t>.</w:t>
      </w:r>
    </w:p>
    <w:p w14:paraId="166A120B" w14:textId="3FF5022C" w:rsidR="00F3536C" w:rsidRPr="00A4272B" w:rsidRDefault="00F3536C" w:rsidP="006B1FE4">
      <w:pPr>
        <w:rPr>
          <w:sz w:val="18"/>
          <w:szCs w:val="18"/>
          <w:lang w:val="en-US"/>
        </w:rPr>
      </w:pPr>
      <w:r w:rsidRPr="00A4272B">
        <w:rPr>
          <w:sz w:val="18"/>
          <w:szCs w:val="18"/>
          <w:lang w:val="en-US"/>
        </w:rPr>
        <w:t>Kaserzon, S.L., Vermeirssen, E.L.M., Hawker, D.W., Kennedy, K., Bentley, C., Thompson, J., Booij, K., Mueller, J.F., 2013. Passive sampling of perfluorinated chemicals in water: Flow rate effects on chemical uptake. Environ. Pollut. 177, 58–63. https://doi.org/10.1016/j.envpol.2013.02.002</w:t>
      </w:r>
      <w:r w:rsidR="0028129A" w:rsidRPr="00A4272B">
        <w:rPr>
          <w:sz w:val="18"/>
          <w:szCs w:val="18"/>
          <w:lang w:val="en-US"/>
        </w:rPr>
        <w:t>.</w:t>
      </w:r>
    </w:p>
    <w:p w14:paraId="7E42FAFF" w14:textId="754DAD0F" w:rsidR="00F3536C" w:rsidRPr="00A4272B" w:rsidRDefault="00F3536C" w:rsidP="006B1FE4">
      <w:pPr>
        <w:rPr>
          <w:sz w:val="18"/>
          <w:szCs w:val="18"/>
          <w:lang w:val="en-US"/>
        </w:rPr>
      </w:pPr>
      <w:r w:rsidRPr="00A4272B">
        <w:rPr>
          <w:sz w:val="18"/>
          <w:szCs w:val="18"/>
          <w:lang w:val="en-US"/>
        </w:rPr>
        <w:t>Lohmann, R., E. Jurado, H.A. Dijkstra, and J. Dachs, Vertical eddy difusion as a key mechanism for removing perfluoroctanoic acid (PFOA) from the global surface oceans. Environ. Poll., 2013. 179: p. 88-94</w:t>
      </w:r>
      <w:r w:rsidR="0028129A" w:rsidRPr="00A4272B">
        <w:rPr>
          <w:sz w:val="18"/>
          <w:szCs w:val="18"/>
          <w:lang w:val="en-US"/>
        </w:rPr>
        <w:t>.</w:t>
      </w:r>
    </w:p>
    <w:p w14:paraId="6AA40205" w14:textId="73DCB661" w:rsidR="00F3536C" w:rsidRPr="00A4272B" w:rsidRDefault="00F3536C" w:rsidP="006B1FE4">
      <w:pPr>
        <w:rPr>
          <w:sz w:val="18"/>
          <w:szCs w:val="18"/>
          <w:lang w:val="en-US"/>
        </w:rPr>
      </w:pPr>
      <w:r w:rsidRPr="00A4272B">
        <w:rPr>
          <w:sz w:val="18"/>
          <w:szCs w:val="18"/>
          <w:lang w:val="en-US"/>
        </w:rPr>
        <w:t>Lohmann, R., Muir, D., Zeng, E.Y., Bao, L.J., Allan, I.J., Arinaitwe, K., Booij, K., Helm, P., Kaserzon, S., Mueller, J.F., Shibata, Y., Smedes, F., Tsapakis, M., Wong, C.S., You, J., 2017. Aquatic Global Passive Sampling (AQUA-GAPS) Revisited: First Steps toward a Network of Networks for Monitoring Organic Contaminants in the Aquatic Environment. Environ. Sci. Technol. 51, 1060–1067. https://doi.org/10.1021/acs.est.6b05159</w:t>
      </w:r>
      <w:r w:rsidR="0028129A" w:rsidRPr="00A4272B">
        <w:rPr>
          <w:sz w:val="18"/>
          <w:szCs w:val="18"/>
          <w:lang w:val="en-US"/>
        </w:rPr>
        <w:t>.</w:t>
      </w:r>
    </w:p>
    <w:p w14:paraId="30EE5D8C" w14:textId="47B69BEC" w:rsidR="00F3536C" w:rsidRPr="00A4272B" w:rsidRDefault="00F3536C" w:rsidP="006B1FE4">
      <w:pPr>
        <w:rPr>
          <w:sz w:val="18"/>
          <w:szCs w:val="18"/>
          <w:lang w:val="en-US"/>
        </w:rPr>
      </w:pPr>
      <w:r w:rsidRPr="00A4272B">
        <w:rPr>
          <w:sz w:val="18"/>
          <w:szCs w:val="18"/>
          <w:lang w:val="en-US"/>
        </w:rPr>
        <w:t>Luek, J.L., Dickhut, R.M., Cochran, M.A., Falconer, R.L., Kylin, H., 2017. Persistent organic pollutants in the Atlantic and southern oceans and oceanic atmosphere. Sci. Total Environ. 583, 64–71. https://doi.org/10.1016/j.scitotenv.2016.12.189</w:t>
      </w:r>
      <w:r w:rsidR="0028129A" w:rsidRPr="00A4272B">
        <w:rPr>
          <w:sz w:val="18"/>
          <w:szCs w:val="18"/>
          <w:lang w:val="en-US"/>
        </w:rPr>
        <w:t>.</w:t>
      </w:r>
    </w:p>
    <w:p w14:paraId="1227B393" w14:textId="77777777" w:rsidR="0028129A" w:rsidRPr="00A4272B" w:rsidRDefault="0028129A" w:rsidP="0028129A">
      <w:pPr>
        <w:rPr>
          <w:sz w:val="18"/>
          <w:szCs w:val="18"/>
          <w:lang w:val="en-US"/>
        </w:rPr>
      </w:pPr>
      <w:r w:rsidRPr="00A4272B">
        <w:rPr>
          <w:sz w:val="18"/>
          <w:szCs w:val="18"/>
          <w:lang w:val="en-US"/>
        </w:rPr>
        <w:lastRenderedPageBreak/>
        <w:t>Muir, D.C.G. and L. T. Miaz (2021). Spatial and Temporal Trends of Perfluoroalkyl Substances in Global Ocean and Coastal Waters. Environmental Science &amp; Technology, 55(14), 9527-9537.</w:t>
      </w:r>
    </w:p>
    <w:p w14:paraId="3E7AE6BA" w14:textId="0BF23AC0" w:rsidR="0028129A" w:rsidRPr="00A4272B" w:rsidRDefault="0028129A" w:rsidP="0028129A">
      <w:pPr>
        <w:rPr>
          <w:sz w:val="18"/>
          <w:szCs w:val="18"/>
          <w:lang w:val="en-US"/>
        </w:rPr>
      </w:pPr>
      <w:r w:rsidRPr="00A4272B">
        <w:rPr>
          <w:sz w:val="18"/>
          <w:szCs w:val="18"/>
          <w:lang w:val="en-US"/>
        </w:rPr>
        <w:t xml:space="preserve">NORMAN 2024. </w:t>
      </w:r>
      <w:hyperlink r:id="rId100" w:history="1">
        <w:r w:rsidRPr="00A4272B">
          <w:rPr>
            <w:rStyle w:val="Hyperlink"/>
            <w:sz w:val="18"/>
            <w:szCs w:val="18"/>
            <w:lang w:val="en-US"/>
          </w:rPr>
          <w:t>https://www.normandata.eu/sites/default/files/files_private/JointProgramme2023/NORMAN%20JPA%202023_final.pdf</w:t>
        </w:r>
      </w:hyperlink>
      <w:r w:rsidRPr="00A4272B">
        <w:rPr>
          <w:rStyle w:val="Hyperlink"/>
          <w:sz w:val="18"/>
          <w:szCs w:val="18"/>
          <w:lang w:val="en-US"/>
        </w:rPr>
        <w:t>.</w:t>
      </w:r>
    </w:p>
    <w:p w14:paraId="438794A2" w14:textId="1DA23BCC" w:rsidR="00F3536C" w:rsidRPr="00A4272B" w:rsidRDefault="00F3536C" w:rsidP="006B1FE4">
      <w:pPr>
        <w:rPr>
          <w:sz w:val="18"/>
          <w:szCs w:val="18"/>
          <w:lang w:val="en-US"/>
        </w:rPr>
      </w:pPr>
      <w:r w:rsidRPr="00A4272B">
        <w:rPr>
          <w:sz w:val="18"/>
          <w:szCs w:val="18"/>
          <w:lang w:val="en-US"/>
        </w:rPr>
        <w:t>OECD, Hazard assessment of perfluorooctane sulfonate (PFOS) and its salts. 2002, http://www.oecd.org/chemicalsafety/risk-assessment/2382880.pdf</w:t>
      </w:r>
      <w:r w:rsidR="0028129A" w:rsidRPr="00A4272B">
        <w:rPr>
          <w:sz w:val="18"/>
          <w:szCs w:val="18"/>
          <w:lang w:val="en-US"/>
        </w:rPr>
        <w:t>.</w:t>
      </w:r>
    </w:p>
    <w:p w14:paraId="435DDD59" w14:textId="43888D9E" w:rsidR="00F3536C" w:rsidRPr="00A4272B" w:rsidRDefault="00F3536C" w:rsidP="006B1FE4">
      <w:pPr>
        <w:rPr>
          <w:sz w:val="18"/>
          <w:szCs w:val="18"/>
          <w:lang w:val="en-US"/>
        </w:rPr>
      </w:pPr>
      <w:r w:rsidRPr="00A4272B">
        <w:rPr>
          <w:sz w:val="18"/>
          <w:szCs w:val="18"/>
          <w:lang w:val="en-US"/>
        </w:rPr>
        <w:t>Ricci M, Lava R, Koleva B (2016) Matrix Certified Reference Materials for environmental monitoring under the EU Water Framework Directive: An update. TrAC Trends Anal Chem 76:194–202. https://doi.org/10.1016/J.TRAC.2015.11.002</w:t>
      </w:r>
      <w:r w:rsidR="0028129A" w:rsidRPr="00A4272B">
        <w:rPr>
          <w:sz w:val="18"/>
          <w:szCs w:val="18"/>
          <w:lang w:val="en-US"/>
        </w:rPr>
        <w:t>.</w:t>
      </w:r>
    </w:p>
    <w:p w14:paraId="030178A7" w14:textId="68ADBAEA" w:rsidR="00F3536C" w:rsidRPr="00B25CD5" w:rsidRDefault="00F3536C" w:rsidP="006B1FE4">
      <w:pPr>
        <w:rPr>
          <w:sz w:val="18"/>
          <w:szCs w:val="18"/>
          <w:lang w:val="fr-CH"/>
        </w:rPr>
      </w:pPr>
      <w:r w:rsidRPr="00A4272B">
        <w:rPr>
          <w:sz w:val="18"/>
          <w:szCs w:val="18"/>
          <w:lang w:val="en-US"/>
        </w:rPr>
        <w:t xml:space="preserve">Schulze, T., Ahel, M., Ahlheim, J., Aït-Aïssa, S., Brion, F., Di Paolo, C., Froment, J., Hidasi, A.O., Hollender, J., Hollert, H., Hu, M., Kloß, A., Koprivica, S., Krauss, M., Muz, M., Oswald, P., Petre, M., Schollée, J.E., Seiler, T.-B., Shao, Y., Slobodnik, J., Sonavane, M., Suter, M.J.-F., Tollefsen, K.E., Tousova, Z., Walz, K.-H., Brack, W., 2017. Assessment of a novel device for onsite integrative large-volume solid phase extraction of water samples to enable a comprehensive chemical and effect-based analysis. </w:t>
      </w:r>
      <w:r w:rsidRPr="00B25CD5">
        <w:rPr>
          <w:sz w:val="18"/>
          <w:szCs w:val="18"/>
          <w:lang w:val="fr-CH"/>
        </w:rPr>
        <w:t>Sci. Total Environ. https://doi.org/10.1016/j.scitotenv.2016.12.140</w:t>
      </w:r>
      <w:r w:rsidR="0028129A" w:rsidRPr="00B25CD5">
        <w:rPr>
          <w:sz w:val="18"/>
          <w:szCs w:val="18"/>
          <w:lang w:val="fr-CH"/>
        </w:rPr>
        <w:t>.</w:t>
      </w:r>
    </w:p>
    <w:p w14:paraId="6A7E3F8F" w14:textId="47992D3E" w:rsidR="00F3536C" w:rsidRPr="00A4272B" w:rsidRDefault="00F3536C" w:rsidP="006B1FE4">
      <w:pPr>
        <w:rPr>
          <w:sz w:val="18"/>
          <w:szCs w:val="18"/>
          <w:lang w:val="en-US"/>
        </w:rPr>
      </w:pPr>
      <w:r w:rsidRPr="00B25CD5">
        <w:rPr>
          <w:sz w:val="18"/>
          <w:szCs w:val="18"/>
          <w:lang w:val="fr-CH"/>
        </w:rPr>
        <w:t xml:space="preserve">Stemmler, I., Lammel, G., 2009. </w:t>
      </w:r>
      <w:r w:rsidRPr="00A4272B">
        <w:rPr>
          <w:sz w:val="18"/>
          <w:szCs w:val="18"/>
          <w:lang w:val="en-US"/>
        </w:rPr>
        <w:t xml:space="preserve">Cycling of DDT in the global environment 1950–2002: World ocean returns the pollutant. Geophys. Res. Lett. 36, L24602. </w:t>
      </w:r>
      <w:r w:rsidR="00964111" w:rsidRPr="00A4272B">
        <w:rPr>
          <w:sz w:val="18"/>
          <w:szCs w:val="18"/>
          <w:lang w:val="en-US"/>
        </w:rPr>
        <w:t>https://doi.org/10.1029/2009GL041340.</w:t>
      </w:r>
    </w:p>
    <w:p w14:paraId="08594731" w14:textId="5A69714C" w:rsidR="00F3536C" w:rsidRPr="00A4272B" w:rsidRDefault="00F3536C" w:rsidP="006B1FE4">
      <w:pPr>
        <w:rPr>
          <w:sz w:val="18"/>
          <w:szCs w:val="18"/>
          <w:lang w:val="en-US"/>
        </w:rPr>
      </w:pPr>
      <w:r w:rsidRPr="00A4272B">
        <w:rPr>
          <w:sz w:val="18"/>
          <w:szCs w:val="18"/>
          <w:lang w:val="en-US"/>
        </w:rPr>
        <w:t>Taniyasu, S., Kannan, K., Yeung, L.W.Y., Kwok, K.Y., Lam, P.K.S., Yamashita, N., 2008. Analysis of trifluoroacetic acid and other short-chain perfluorinated acids (C2–C4) in precipitation by liquid chromatography–tandem mass spectrometry: Comparison to patterns of long-chain perfluorinated acids (C5–C18). Anal. Chim. Acta 619, 221–230. https://doi.org/10.1016/J.ACA.2008.04.064</w:t>
      </w:r>
      <w:r w:rsidR="00964111" w:rsidRPr="00A4272B">
        <w:rPr>
          <w:sz w:val="18"/>
          <w:szCs w:val="18"/>
          <w:lang w:val="en-US"/>
        </w:rPr>
        <w:t>.</w:t>
      </w:r>
    </w:p>
    <w:p w14:paraId="640CDF0B" w14:textId="56292788" w:rsidR="00F3536C" w:rsidRPr="00A4272B" w:rsidRDefault="00F3536C" w:rsidP="006B1FE4">
      <w:pPr>
        <w:rPr>
          <w:sz w:val="18"/>
          <w:szCs w:val="18"/>
          <w:lang w:val="en-US"/>
        </w:rPr>
      </w:pPr>
      <w:r w:rsidRPr="00A4272B">
        <w:rPr>
          <w:sz w:val="18"/>
          <w:szCs w:val="18"/>
          <w:lang w:val="en-US"/>
        </w:rPr>
        <w:t>Ullah S., Alsberg T., Vestergren R., Berger U. (2012) Determination of perfluoroalkyl carboxylic, sulfonic, and phosphonic acids in food. Anal Bioanal Chem 404:2193–2201. https://doi.org/10.1007/s00216-012-6374-z</w:t>
      </w:r>
      <w:r w:rsidR="0028129A" w:rsidRPr="00A4272B">
        <w:rPr>
          <w:sz w:val="18"/>
          <w:szCs w:val="18"/>
          <w:lang w:val="en-US"/>
        </w:rPr>
        <w:t>.</w:t>
      </w:r>
    </w:p>
    <w:p w14:paraId="5CD58455" w14:textId="03DE668D" w:rsidR="00F3536C" w:rsidRPr="00A4272B" w:rsidRDefault="00F3536C" w:rsidP="006B1FE4">
      <w:pPr>
        <w:rPr>
          <w:sz w:val="18"/>
          <w:szCs w:val="18"/>
          <w:lang w:val="en-US"/>
        </w:rPr>
      </w:pPr>
      <w:r w:rsidRPr="00A4272B">
        <w:rPr>
          <w:sz w:val="18"/>
          <w:szCs w:val="18"/>
          <w:lang w:val="en-US"/>
        </w:rPr>
        <w:t>UNEP/WHO, 1996. Water Quality Monitoring - A Practical Guide to the Design and Implementation of Freshwater Quality Studies and Monitoring Programmes</w:t>
      </w:r>
      <w:r w:rsidR="0028129A" w:rsidRPr="00A4272B">
        <w:rPr>
          <w:sz w:val="18"/>
          <w:szCs w:val="18"/>
          <w:lang w:val="en-US"/>
        </w:rPr>
        <w:t>.</w:t>
      </w:r>
    </w:p>
    <w:p w14:paraId="2246CB77" w14:textId="27620188" w:rsidR="00D41E6C" w:rsidRPr="00A4272B" w:rsidRDefault="00D41E6C" w:rsidP="006B1FE4">
      <w:pPr>
        <w:rPr>
          <w:sz w:val="18"/>
          <w:szCs w:val="18"/>
          <w:lang w:val="en-US"/>
        </w:rPr>
      </w:pPr>
      <w:r w:rsidRPr="00A4272B">
        <w:rPr>
          <w:sz w:val="18"/>
          <w:szCs w:val="18"/>
          <w:lang w:val="en-US"/>
        </w:rPr>
        <w:t>US EPA (2024). Method 1633. Analysis of Per- and Polyfluoroalkyl Substances (PFAS) in Aqueous, Solid, Biosolids, and Tissue Samples by LC-MS/MS, EPA 821-R-24-001 U.S. Environmental Protection Agency, Office of Water (4303T), Office of Science and Technology, Engineering and Analysis Division, Washington, DC 75 pp.</w:t>
      </w:r>
    </w:p>
    <w:p w14:paraId="417410FE" w14:textId="09A22AE7" w:rsidR="00BE42EE" w:rsidRPr="00A4272B" w:rsidRDefault="00F3536C" w:rsidP="00BE42EE">
      <w:pPr>
        <w:rPr>
          <w:sz w:val="18"/>
          <w:szCs w:val="18"/>
          <w:lang w:val="en-US"/>
        </w:rPr>
      </w:pPr>
      <w:r w:rsidRPr="00B25CD5">
        <w:rPr>
          <w:sz w:val="18"/>
          <w:szCs w:val="18"/>
          <w:lang w:val="nb-NO"/>
        </w:rPr>
        <w:t xml:space="preserve">Weiss, J., de Boer, J., Berger, U., Muir, D., Ruan, T., Torre, A., Smedes, F., Vrana, B., Clavien, F., Fiedler, H., 2015. </w:t>
      </w:r>
      <w:r w:rsidRPr="00A4272B">
        <w:rPr>
          <w:sz w:val="18"/>
          <w:szCs w:val="18"/>
          <w:lang w:val="en-US"/>
        </w:rPr>
        <w:t xml:space="preserve">PFAS analysis in water for the Global Monitoring Plan of the Stockholm Convention. </w:t>
      </w:r>
      <w:r w:rsidR="00BE42EE" w:rsidRPr="00A4272B">
        <w:rPr>
          <w:sz w:val="18"/>
          <w:szCs w:val="18"/>
          <w:lang w:val="en-US"/>
        </w:rPr>
        <w:t>Chemicals Branch, United Nations Environment Programme (UNEP) Division of Technology, Industry &amp; Economics, Geneva Switzerland. April 2015. 35 pp.</w:t>
      </w:r>
    </w:p>
    <w:p w14:paraId="443A8AB6" w14:textId="61F51C20" w:rsidR="00F3536C" w:rsidRPr="00A4272B" w:rsidRDefault="00F3536C" w:rsidP="006B1FE4">
      <w:pPr>
        <w:rPr>
          <w:sz w:val="18"/>
          <w:szCs w:val="18"/>
          <w:lang w:val="en-US"/>
        </w:rPr>
      </w:pPr>
      <w:r w:rsidRPr="00A4272B">
        <w:rPr>
          <w:sz w:val="18"/>
          <w:szCs w:val="18"/>
          <w:lang w:val="en-US"/>
        </w:rPr>
        <w:t>Yamashita, N., Taniyasu, S., Petrick, G., Wei, S., Gamo, T., Lam, P.K.S., Kannan, K., 2008. Perfluorinated acids as novel chemical tracers of global circulation of ocean waters. Chemosphere 70, 1247–1255. https://doi.org/10.1016/J.CHEMOSPHERE.2007.07.079</w:t>
      </w:r>
      <w:r w:rsidR="006B1FE4" w:rsidRPr="00A4272B">
        <w:rPr>
          <w:sz w:val="18"/>
          <w:szCs w:val="18"/>
          <w:lang w:val="en-US"/>
        </w:rPr>
        <w:t>.</w:t>
      </w:r>
    </w:p>
    <w:p w14:paraId="14E83DD7" w14:textId="77777777" w:rsidR="00F3536C" w:rsidRPr="00A4272B" w:rsidRDefault="00F3536C" w:rsidP="00766D08">
      <w:pPr>
        <w:outlineLvl w:val="1"/>
        <w:rPr>
          <w:b/>
          <w:bCs/>
          <w:sz w:val="18"/>
          <w:szCs w:val="18"/>
          <w:lang w:val="en-US"/>
        </w:rPr>
      </w:pPr>
      <w:r w:rsidRPr="00A4272B">
        <w:rPr>
          <w:b/>
          <w:bCs/>
          <w:sz w:val="18"/>
          <w:szCs w:val="18"/>
          <w:lang w:val="en-US"/>
        </w:rPr>
        <w:t>Chapter 4.4</w:t>
      </w:r>
    </w:p>
    <w:p w14:paraId="2C990CCA" w14:textId="38257B8F" w:rsidR="00F3536C" w:rsidRPr="00A4272B" w:rsidRDefault="00F3536C" w:rsidP="006B1FE4">
      <w:pPr>
        <w:rPr>
          <w:sz w:val="18"/>
          <w:szCs w:val="18"/>
          <w:lang w:val="en-US"/>
        </w:rPr>
      </w:pPr>
      <w:r w:rsidRPr="00A4272B">
        <w:rPr>
          <w:sz w:val="18"/>
          <w:szCs w:val="18"/>
          <w:lang w:val="en-US"/>
        </w:rPr>
        <w:t>AMAP 2015</w:t>
      </w:r>
      <w:r w:rsidR="005B1BE1" w:rsidRPr="00A4272B">
        <w:rPr>
          <w:sz w:val="18"/>
          <w:szCs w:val="18"/>
          <w:lang w:val="en-US"/>
        </w:rPr>
        <w:t>.</w:t>
      </w:r>
      <w:r w:rsidRPr="00A4272B">
        <w:rPr>
          <w:sz w:val="18"/>
          <w:szCs w:val="18"/>
          <w:lang w:val="en-US"/>
        </w:rPr>
        <w:t xml:space="preserve"> AMAP Assessment 2015: Human Health in the Arctic. Oslo, Norway</w:t>
      </w:r>
      <w:r w:rsidR="00B02F39" w:rsidRPr="00A4272B">
        <w:rPr>
          <w:sz w:val="18"/>
          <w:szCs w:val="18"/>
          <w:lang w:val="en-US"/>
        </w:rPr>
        <w:t>.</w:t>
      </w:r>
    </w:p>
    <w:p w14:paraId="068C7741" w14:textId="4BBDE44C" w:rsidR="00F3536C" w:rsidRPr="00A4272B" w:rsidRDefault="00F3536C" w:rsidP="006B1FE4">
      <w:pPr>
        <w:rPr>
          <w:sz w:val="18"/>
          <w:szCs w:val="18"/>
          <w:lang w:val="en-US"/>
        </w:rPr>
      </w:pPr>
      <w:r w:rsidRPr="00A4272B">
        <w:rPr>
          <w:sz w:val="18"/>
          <w:szCs w:val="18"/>
          <w:lang w:val="en-US"/>
        </w:rPr>
        <w:t>AMAP 2016. AMAP Assessment 2015: Temporal Trends in Persistent Organic Pollutants in the Arctic</w:t>
      </w:r>
      <w:r w:rsidR="00B02F39" w:rsidRPr="00A4272B">
        <w:rPr>
          <w:sz w:val="18"/>
          <w:szCs w:val="18"/>
          <w:lang w:val="en-US"/>
        </w:rPr>
        <w:t>.</w:t>
      </w:r>
    </w:p>
    <w:p w14:paraId="55C7B23B" w14:textId="5331CA29" w:rsidR="00F3536C" w:rsidRPr="00A4272B" w:rsidRDefault="00F3536C" w:rsidP="006B1FE4">
      <w:pPr>
        <w:rPr>
          <w:sz w:val="18"/>
          <w:szCs w:val="18"/>
          <w:lang w:val="en-US"/>
        </w:rPr>
      </w:pPr>
      <w:r w:rsidRPr="00A4272B">
        <w:rPr>
          <w:sz w:val="18"/>
          <w:szCs w:val="18"/>
          <w:lang w:val="en-US"/>
        </w:rPr>
        <w:t>AMAP 2016</w:t>
      </w:r>
      <w:r w:rsidR="005B1BE1" w:rsidRPr="00A4272B">
        <w:rPr>
          <w:sz w:val="18"/>
          <w:szCs w:val="18"/>
          <w:lang w:val="en-US"/>
        </w:rPr>
        <w:t>.</w:t>
      </w:r>
      <w:r w:rsidRPr="00A4272B">
        <w:rPr>
          <w:sz w:val="18"/>
          <w:szCs w:val="18"/>
          <w:lang w:val="en-US"/>
        </w:rPr>
        <w:t xml:space="preserve"> AMAP Technical Report No.10: Influence of Climate Change on Transport. Levels, and Effects of Contaminants in Northern Areas.</w:t>
      </w:r>
    </w:p>
    <w:p w14:paraId="690D756C" w14:textId="12654C6E" w:rsidR="00F3536C" w:rsidRPr="00A4272B" w:rsidRDefault="00F3536C" w:rsidP="006B1FE4">
      <w:pPr>
        <w:rPr>
          <w:sz w:val="18"/>
          <w:szCs w:val="18"/>
          <w:lang w:val="en-US"/>
        </w:rPr>
      </w:pPr>
      <w:r w:rsidRPr="00A4272B">
        <w:rPr>
          <w:sz w:val="18"/>
          <w:szCs w:val="18"/>
          <w:lang w:val="en-US"/>
        </w:rPr>
        <w:t>AMAP 2017</w:t>
      </w:r>
      <w:r w:rsidR="005B1BE1" w:rsidRPr="00A4272B">
        <w:rPr>
          <w:sz w:val="18"/>
          <w:szCs w:val="18"/>
          <w:lang w:val="en-US"/>
        </w:rPr>
        <w:t>.</w:t>
      </w:r>
      <w:r w:rsidRPr="00A4272B">
        <w:rPr>
          <w:sz w:val="18"/>
          <w:szCs w:val="18"/>
          <w:lang w:val="en-US"/>
        </w:rPr>
        <w:t xml:space="preserve"> AMAP Assessment 2016: Chemicals of Emerging Arctic Concern Environment Canada and the U.S. Environmental Protection Agency. 2014. State of the Great Lakes 2011. Cat No. En161-3/1-2011E-PDF. EPA 950-R-13-002. Available at http://binational.net</w:t>
      </w:r>
      <w:r w:rsidR="00B02F39" w:rsidRPr="00A4272B">
        <w:rPr>
          <w:sz w:val="18"/>
          <w:szCs w:val="18"/>
          <w:lang w:val="en-US"/>
        </w:rPr>
        <w:t>.</w:t>
      </w:r>
    </w:p>
    <w:p w14:paraId="52A01C47" w14:textId="77777777" w:rsidR="0091321D" w:rsidRPr="00A4272B" w:rsidRDefault="0091321D" w:rsidP="0091321D">
      <w:pPr>
        <w:rPr>
          <w:sz w:val="18"/>
          <w:szCs w:val="18"/>
          <w:lang w:val="en-US"/>
        </w:rPr>
      </w:pPr>
      <w:r w:rsidRPr="00A4272B">
        <w:rPr>
          <w:sz w:val="18"/>
          <w:szCs w:val="18"/>
          <w:lang w:val="en-US"/>
        </w:rPr>
        <w:t>Breivik, K., R. Alcock, Y. F. Li, R. E. Bailey, H. Fiedler, and J. M. Pacyna. 2004. Primary sources of selected POPs: regional and global scale emission inventories. Environmental Pollution, 128: 3-16.</w:t>
      </w:r>
    </w:p>
    <w:p w14:paraId="6369B0C0" w14:textId="77777777" w:rsidR="0091321D" w:rsidRPr="00A4272B" w:rsidRDefault="0091321D" w:rsidP="0091321D">
      <w:pPr>
        <w:rPr>
          <w:sz w:val="18"/>
          <w:szCs w:val="18"/>
          <w:lang w:val="en-US"/>
        </w:rPr>
      </w:pPr>
      <w:r w:rsidRPr="00A4272B">
        <w:rPr>
          <w:sz w:val="18"/>
          <w:szCs w:val="18"/>
          <w:lang w:val="en-US"/>
        </w:rPr>
        <w:t>Breivik, K., V. Vestreng, O. Rozovskaya, and J. M. Pacyna. 2006. Atmospheric emissions of some POPs in Europe: a discussion of existing inventories and data needs. Environmental Science &amp; Policy, 9: 663-74.</w:t>
      </w:r>
    </w:p>
    <w:p w14:paraId="7AEC40AC" w14:textId="43534EA4" w:rsidR="00F3536C" w:rsidRPr="00A4272B" w:rsidRDefault="00F3536C" w:rsidP="006B1FE4">
      <w:pPr>
        <w:rPr>
          <w:sz w:val="18"/>
          <w:szCs w:val="18"/>
          <w:lang w:val="en-US"/>
        </w:rPr>
      </w:pPr>
      <w:r w:rsidRPr="00A4272B">
        <w:rPr>
          <w:sz w:val="18"/>
          <w:szCs w:val="18"/>
          <w:lang w:val="en-US"/>
        </w:rPr>
        <w:t>Campbell Lori D., Astrin Jonas J., DeSouza Yvonne, Giri Judith, Patel Ashokkumar A., Rawley-Payne Melissa, Rush Amanda, and Sieffert Nicole. Biopreservation and Biobanking. February 2018, 16(1): 3-6. https://doi.org/10.1089/bio.2018.0001</w:t>
      </w:r>
      <w:r w:rsidR="00C96212" w:rsidRPr="00A4272B">
        <w:rPr>
          <w:sz w:val="18"/>
          <w:szCs w:val="18"/>
          <w:lang w:val="en-US"/>
        </w:rPr>
        <w:t>.</w:t>
      </w:r>
    </w:p>
    <w:p w14:paraId="547A0ABB" w14:textId="1A2C5F48" w:rsidR="00F3536C" w:rsidRPr="00A4272B" w:rsidRDefault="00F3536C" w:rsidP="006B1FE4">
      <w:pPr>
        <w:rPr>
          <w:sz w:val="18"/>
          <w:szCs w:val="18"/>
          <w:lang w:val="en-US"/>
        </w:rPr>
      </w:pPr>
      <w:r w:rsidRPr="00A4272B">
        <w:rPr>
          <w:sz w:val="18"/>
          <w:szCs w:val="18"/>
          <w:lang w:val="en-US"/>
        </w:rPr>
        <w:t xml:space="preserve">Carere, </w:t>
      </w:r>
      <w:r w:rsidR="006B5E4C" w:rsidRPr="00A4272B">
        <w:rPr>
          <w:sz w:val="18"/>
          <w:szCs w:val="18"/>
          <w:lang w:val="en-US"/>
        </w:rPr>
        <w:t>M., V.</w:t>
      </w:r>
      <w:r w:rsidRPr="00A4272B">
        <w:rPr>
          <w:sz w:val="18"/>
          <w:szCs w:val="18"/>
          <w:lang w:val="en-US"/>
        </w:rPr>
        <w:t xml:space="preserve"> Dulio, G. Hanke, S. Polesello 2012. Guidance for sediment and biota monitoring under the Common Implementation Strategy for the Water Framework Directive Trends in Analytical Chemistry, Vol. 36, 2012 doi: http://dx.doi.org/10.1016/j.trac.2012.03.005</w:t>
      </w:r>
      <w:r w:rsidR="00964111" w:rsidRPr="00A4272B">
        <w:rPr>
          <w:sz w:val="18"/>
          <w:szCs w:val="18"/>
          <w:lang w:val="en-US"/>
        </w:rPr>
        <w:t>.</w:t>
      </w:r>
    </w:p>
    <w:p w14:paraId="68FA98B3" w14:textId="33500B7F" w:rsidR="00F3536C" w:rsidRPr="00A4272B" w:rsidRDefault="00F3536C" w:rsidP="006B1FE4">
      <w:pPr>
        <w:rPr>
          <w:sz w:val="18"/>
          <w:szCs w:val="18"/>
          <w:lang w:val="en-US"/>
        </w:rPr>
      </w:pPr>
      <w:r w:rsidRPr="00A4272B">
        <w:rPr>
          <w:sz w:val="18"/>
          <w:szCs w:val="18"/>
          <w:lang w:val="en-US"/>
        </w:rPr>
        <w:t>EMEP 2001</w:t>
      </w:r>
      <w:r w:rsidR="005B1BE1" w:rsidRPr="00A4272B">
        <w:rPr>
          <w:sz w:val="18"/>
          <w:szCs w:val="18"/>
          <w:lang w:val="en-US"/>
        </w:rPr>
        <w:t>.</w:t>
      </w:r>
      <w:r w:rsidRPr="00A4272B">
        <w:rPr>
          <w:sz w:val="18"/>
          <w:szCs w:val="18"/>
          <w:lang w:val="en-US"/>
        </w:rPr>
        <w:t xml:space="preserve"> Manual for Sampling and Analysis https://www.nilu.no/projects/ccc/manual/index.html accessed 26 Feb 2018</w:t>
      </w:r>
      <w:r w:rsidR="00964111" w:rsidRPr="00A4272B">
        <w:rPr>
          <w:sz w:val="18"/>
          <w:szCs w:val="18"/>
          <w:lang w:val="en-US"/>
        </w:rPr>
        <w:t>.</w:t>
      </w:r>
      <w:r w:rsidRPr="00A4272B">
        <w:rPr>
          <w:sz w:val="18"/>
          <w:szCs w:val="18"/>
          <w:lang w:val="en-US"/>
        </w:rPr>
        <w:t xml:space="preserve"> </w:t>
      </w:r>
    </w:p>
    <w:p w14:paraId="7B75583E" w14:textId="77777777" w:rsidR="00B02F39" w:rsidRPr="00A4272B" w:rsidRDefault="00B02F39" w:rsidP="006B1FE4">
      <w:pPr>
        <w:rPr>
          <w:sz w:val="18"/>
          <w:szCs w:val="18"/>
          <w:lang w:val="en-US"/>
        </w:rPr>
      </w:pPr>
      <w:r w:rsidRPr="00A4272B">
        <w:rPr>
          <w:sz w:val="18"/>
          <w:szCs w:val="18"/>
          <w:lang w:val="en-US"/>
        </w:rPr>
        <w:t>Environment Canada and the U.S. Environemntal Protection Agency. 2014. State of the Great Lakes 2011. Cat No. En161-3/1-2011E-PDF. EPA 950-R-13-002. Available at http://binational.net.</w:t>
      </w:r>
    </w:p>
    <w:p w14:paraId="353831E1" w14:textId="5F5B1FFC" w:rsidR="00F3536C" w:rsidRPr="00A4272B" w:rsidRDefault="00F3536C" w:rsidP="006B1FE4">
      <w:pPr>
        <w:rPr>
          <w:sz w:val="18"/>
          <w:szCs w:val="18"/>
          <w:lang w:val="en-US"/>
        </w:rPr>
      </w:pPr>
      <w:r w:rsidRPr="00A4272B">
        <w:rPr>
          <w:sz w:val="18"/>
          <w:szCs w:val="18"/>
          <w:lang w:val="en-US"/>
        </w:rPr>
        <w:t xml:space="preserve">Fliedner, </w:t>
      </w:r>
      <w:r w:rsidR="006B5E4C" w:rsidRPr="00A4272B">
        <w:rPr>
          <w:sz w:val="18"/>
          <w:szCs w:val="18"/>
          <w:lang w:val="en-US"/>
        </w:rPr>
        <w:t>A.,</w:t>
      </w:r>
      <w:r w:rsidRPr="00A4272B">
        <w:rPr>
          <w:sz w:val="18"/>
          <w:szCs w:val="18"/>
          <w:lang w:val="en-US"/>
        </w:rPr>
        <w:t xml:space="preserve"> N. Lohmann, H. Rodel, D. Teubner, J. Wellmitz, Jan Koschorreck 2016 Current levels and trends of selected EU Water Framework Directive priority substances in freshwater fish from the German environmental specimen bank. Environmental Pollution 216, 886-876. (2016).</w:t>
      </w:r>
    </w:p>
    <w:p w14:paraId="3D2518C4" w14:textId="64A3367E" w:rsidR="006D5860" w:rsidRPr="00A4272B" w:rsidRDefault="006D5860" w:rsidP="006B1FE4">
      <w:pPr>
        <w:rPr>
          <w:sz w:val="18"/>
          <w:szCs w:val="18"/>
          <w:lang w:val="en-US"/>
        </w:rPr>
      </w:pPr>
      <w:r w:rsidRPr="00A4272B">
        <w:rPr>
          <w:sz w:val="18"/>
          <w:szCs w:val="18"/>
          <w:lang w:val="en-US"/>
        </w:rPr>
        <w:lastRenderedPageBreak/>
        <w:t xml:space="preserve">Guardans, R. Global monitoring of persistent organic pollutants (POPs) in biota, water and sediments: its role in screening for unregulated POPs, in compiling time trends of regulated POPs under the Stockholm Convention (SC) and their relevance for biodiversity in a changing climate. Environ. Sci. Adv. 2024, 3, 1111-1123. </w:t>
      </w:r>
      <w:hyperlink r:id="rId101" w:history="1">
        <w:r w:rsidRPr="00A4272B">
          <w:rPr>
            <w:rStyle w:val="Hyperlink"/>
            <w:sz w:val="18"/>
            <w:szCs w:val="18"/>
            <w:lang w:val="en-US"/>
          </w:rPr>
          <w:t>https://doi.org/10.1039/D4VA00023D</w:t>
        </w:r>
      </w:hyperlink>
      <w:r w:rsidRPr="00A4272B">
        <w:rPr>
          <w:sz w:val="18"/>
          <w:szCs w:val="18"/>
          <w:lang w:val="en-US"/>
        </w:rPr>
        <w:t>.</w:t>
      </w:r>
    </w:p>
    <w:p w14:paraId="02A20C56" w14:textId="63857AD1" w:rsidR="006B5E4C" w:rsidRPr="00A4272B" w:rsidRDefault="006B5E4C" w:rsidP="006B5E4C">
      <w:pPr>
        <w:rPr>
          <w:sz w:val="18"/>
          <w:szCs w:val="18"/>
          <w:lang w:val="en-US"/>
        </w:rPr>
      </w:pPr>
      <w:r w:rsidRPr="00A4272B">
        <w:rPr>
          <w:sz w:val="18"/>
          <w:szCs w:val="18"/>
          <w:lang w:val="en-US"/>
        </w:rPr>
        <w:t xml:space="preserve">IAEA 2024. A Guide to the Use of Sediments in Reconstructing the Pollution History of Coastal Areas. IAEA-TECDOC-1953 International Atomic Energy Agency, Vienna, Austria. </w:t>
      </w:r>
    </w:p>
    <w:p w14:paraId="47DE5297" w14:textId="1101EFAC" w:rsidR="00F3536C" w:rsidRPr="00A4272B" w:rsidRDefault="00F3536C" w:rsidP="006B1FE4">
      <w:pPr>
        <w:rPr>
          <w:sz w:val="18"/>
          <w:szCs w:val="18"/>
          <w:lang w:val="en-US"/>
        </w:rPr>
      </w:pPr>
      <w:r w:rsidRPr="00A4272B">
        <w:rPr>
          <w:sz w:val="18"/>
          <w:szCs w:val="18"/>
          <w:lang w:val="en-US"/>
        </w:rPr>
        <w:t>JMOE 2016</w:t>
      </w:r>
      <w:r w:rsidR="005B1BE1" w:rsidRPr="00A4272B">
        <w:rPr>
          <w:sz w:val="18"/>
          <w:szCs w:val="18"/>
          <w:lang w:val="en-US"/>
        </w:rPr>
        <w:t>.</w:t>
      </w:r>
      <w:r w:rsidRPr="00A4272B">
        <w:rPr>
          <w:sz w:val="18"/>
          <w:szCs w:val="18"/>
          <w:lang w:val="en-US"/>
        </w:rPr>
        <w:t xml:space="preserve"> POPs: "Chemicals in the Environment" the latest one in 2015 (published in 2016) (English version)</w:t>
      </w:r>
      <w:r w:rsidR="006B1FE4" w:rsidRPr="00A4272B">
        <w:rPr>
          <w:sz w:val="18"/>
          <w:szCs w:val="18"/>
          <w:lang w:val="en-US"/>
        </w:rPr>
        <w:t xml:space="preserve">. </w:t>
      </w:r>
      <w:r w:rsidRPr="00A4272B">
        <w:rPr>
          <w:sz w:val="18"/>
          <w:szCs w:val="18"/>
          <w:lang w:val="en-US"/>
        </w:rPr>
        <w:t>http://www.env.go.jp/chemi/kurohon/en/http2016e/index.html</w:t>
      </w:r>
      <w:r w:rsidR="006B1FE4" w:rsidRPr="00A4272B">
        <w:rPr>
          <w:sz w:val="18"/>
          <w:szCs w:val="18"/>
          <w:lang w:val="en-US"/>
        </w:rPr>
        <w:t>.</w:t>
      </w:r>
    </w:p>
    <w:p w14:paraId="37133A21" w14:textId="12546158" w:rsidR="00F3536C" w:rsidRPr="00A4272B" w:rsidRDefault="00F3536C" w:rsidP="006B1FE4">
      <w:pPr>
        <w:rPr>
          <w:sz w:val="18"/>
          <w:szCs w:val="18"/>
          <w:lang w:val="en-US"/>
        </w:rPr>
      </w:pPr>
      <w:r w:rsidRPr="00A4272B">
        <w:rPr>
          <w:sz w:val="18"/>
          <w:szCs w:val="18"/>
          <w:lang w:val="en-US"/>
        </w:rPr>
        <w:t>JMOE 2017</w:t>
      </w:r>
      <w:r w:rsidR="005B1BE1" w:rsidRPr="00A4272B">
        <w:rPr>
          <w:sz w:val="18"/>
          <w:szCs w:val="18"/>
          <w:lang w:val="en-US"/>
        </w:rPr>
        <w:t>.</w:t>
      </w:r>
      <w:r w:rsidRPr="00A4272B">
        <w:rPr>
          <w:sz w:val="18"/>
          <w:szCs w:val="18"/>
          <w:lang w:val="en-US"/>
        </w:rPr>
        <w:t xml:space="preserve"> Dioxins: "Results of Environmental Monitoring on Dioxins in 2015" (Japanese only)</w:t>
      </w:r>
      <w:r w:rsidR="006B1FE4" w:rsidRPr="00A4272B">
        <w:rPr>
          <w:sz w:val="18"/>
          <w:szCs w:val="18"/>
          <w:lang w:val="en-US"/>
        </w:rPr>
        <w:t xml:space="preserve">. </w:t>
      </w:r>
      <w:r w:rsidRPr="00A4272B">
        <w:rPr>
          <w:sz w:val="18"/>
          <w:szCs w:val="18"/>
          <w:lang w:val="en-US"/>
        </w:rPr>
        <w:t>http://www.env.go.jp/chemi/dioxin/report/h29-01.pdf</w:t>
      </w:r>
      <w:r w:rsidR="006B1FE4" w:rsidRPr="00A4272B">
        <w:rPr>
          <w:sz w:val="18"/>
          <w:szCs w:val="18"/>
          <w:lang w:val="en-US"/>
        </w:rPr>
        <w:t>.</w:t>
      </w:r>
    </w:p>
    <w:p w14:paraId="77A9E491" w14:textId="4A2727DD" w:rsidR="00F3536C" w:rsidRPr="00A4272B" w:rsidRDefault="00F3536C" w:rsidP="006B1FE4">
      <w:pPr>
        <w:rPr>
          <w:sz w:val="18"/>
          <w:szCs w:val="18"/>
          <w:lang w:val="en-US"/>
        </w:rPr>
      </w:pPr>
      <w:r w:rsidRPr="00A4272B">
        <w:rPr>
          <w:sz w:val="18"/>
          <w:szCs w:val="18"/>
          <w:lang w:val="en-US"/>
        </w:rPr>
        <w:t>JMOE 2017</w:t>
      </w:r>
      <w:r w:rsidR="005B1BE1" w:rsidRPr="00A4272B">
        <w:rPr>
          <w:sz w:val="18"/>
          <w:szCs w:val="18"/>
          <w:lang w:val="en-US"/>
        </w:rPr>
        <w:t>.</w:t>
      </w:r>
      <w:r w:rsidRPr="00A4272B">
        <w:rPr>
          <w:sz w:val="18"/>
          <w:szCs w:val="18"/>
          <w:lang w:val="en-US"/>
        </w:rPr>
        <w:t xml:space="preserve"> Marine: “Marine environment monitoring survey 2016” (Japanese only)</w:t>
      </w:r>
      <w:r w:rsidR="00B02F39" w:rsidRPr="00A4272B">
        <w:rPr>
          <w:sz w:val="18"/>
          <w:szCs w:val="18"/>
          <w:lang w:val="en-US"/>
        </w:rPr>
        <w:t xml:space="preserve">. </w:t>
      </w:r>
      <w:r w:rsidRPr="00A4272B">
        <w:rPr>
          <w:sz w:val="18"/>
          <w:szCs w:val="18"/>
          <w:lang w:val="en-US"/>
        </w:rPr>
        <w:t>http://www.env.go.jp/press/files/jp/105660.pdf</w:t>
      </w:r>
      <w:r w:rsidR="00B02F39" w:rsidRPr="00A4272B">
        <w:rPr>
          <w:sz w:val="18"/>
          <w:szCs w:val="18"/>
          <w:lang w:val="en-US"/>
        </w:rPr>
        <w:t>.</w:t>
      </w:r>
    </w:p>
    <w:p w14:paraId="3BBA4008" w14:textId="6C62A488" w:rsidR="00875699" w:rsidRPr="00A4272B" w:rsidRDefault="00875699" w:rsidP="006B1FE4">
      <w:pPr>
        <w:rPr>
          <w:sz w:val="18"/>
          <w:szCs w:val="18"/>
          <w:lang w:val="en-US"/>
        </w:rPr>
      </w:pPr>
      <w:r w:rsidRPr="00A4272B">
        <w:rPr>
          <w:sz w:val="18"/>
          <w:szCs w:val="18"/>
          <w:lang w:val="en-US"/>
        </w:rPr>
        <w:t>Jones, A.; Patel, R.; Wang, Y.; Garcia, M. Determination of Persistent Organic Pollutants in Urban and Peri-Urban Sewage Sludge. Environmental Science and Pollution Research 2024. DOI: 10.1007/s11356-024-34420-5.</w:t>
      </w:r>
    </w:p>
    <w:p w14:paraId="1FAED0A8" w14:textId="7850324B" w:rsidR="009F04ED" w:rsidRPr="00A4272B" w:rsidRDefault="009F04ED" w:rsidP="006B1FE4">
      <w:pPr>
        <w:rPr>
          <w:sz w:val="18"/>
          <w:szCs w:val="18"/>
          <w:lang w:val="en-US"/>
        </w:rPr>
      </w:pPr>
      <w:r w:rsidRPr="00A4272B">
        <w:rPr>
          <w:sz w:val="18"/>
          <w:szCs w:val="18"/>
          <w:lang w:val="en-US"/>
        </w:rPr>
        <w:t>Li, L., C. Chen, D. Li, K Breivik, G. Abbasi, and Y-F Li. 2023. What do we know about the production and release of persistent organic pollutants in the global environment? Environmental Science Advances, 2: 55-68.</w:t>
      </w:r>
    </w:p>
    <w:p w14:paraId="5153173E" w14:textId="3C9E4AF8" w:rsidR="0073371A" w:rsidRPr="00A4272B" w:rsidRDefault="0073371A" w:rsidP="006B1FE4">
      <w:pPr>
        <w:rPr>
          <w:sz w:val="18"/>
          <w:szCs w:val="18"/>
          <w:lang w:val="en-US"/>
        </w:rPr>
      </w:pPr>
      <w:r w:rsidRPr="00A4272B">
        <w:rPr>
          <w:rFonts w:hint="eastAsia"/>
          <w:sz w:val="18"/>
          <w:szCs w:val="18"/>
          <w:lang w:val="en-US"/>
        </w:rPr>
        <w:t>Lohmann, R.; Vrana, B.; Muir, D.; Smedes, F.; Sobotka, J.; Zeng, E. Y.; Bao, L.-J.; Allan, I. J.; Astrahan, P.; Barra, R. O.; et al. Passive-Sampler-Derived PCB and OCP Concentrations in the Waters of the World</w:t>
      </w:r>
      <w:r w:rsidRPr="00A4272B">
        <w:rPr>
          <w:rFonts w:hint="eastAsia"/>
          <w:sz w:val="18"/>
          <w:szCs w:val="18"/>
          <w:lang w:val="en-US"/>
        </w:rPr>
        <w:t>─</w:t>
      </w:r>
      <w:r w:rsidRPr="00A4272B">
        <w:rPr>
          <w:rFonts w:hint="eastAsia"/>
          <w:sz w:val="18"/>
          <w:szCs w:val="18"/>
          <w:lang w:val="en-US"/>
        </w:rPr>
        <w:t>First Results from the AQUA-GAPS/MONET Networ</w:t>
      </w:r>
      <w:r w:rsidRPr="00A4272B">
        <w:rPr>
          <w:sz w:val="18"/>
          <w:szCs w:val="18"/>
          <w:lang w:val="en-US"/>
        </w:rPr>
        <w:t>k. Environmental Science and Technology 2023, 57 (25), 9342-9352. DOI: 10.1021/acs.est.3c01866.</w:t>
      </w:r>
    </w:p>
    <w:p w14:paraId="64FF8EFA" w14:textId="47089F03" w:rsidR="0073371A" w:rsidRPr="00A4272B" w:rsidRDefault="0073371A" w:rsidP="00AD16FB">
      <w:pPr>
        <w:rPr>
          <w:sz w:val="18"/>
          <w:szCs w:val="18"/>
          <w:lang w:val="en-US"/>
        </w:rPr>
      </w:pPr>
      <w:r w:rsidRPr="00A4272B">
        <w:rPr>
          <w:sz w:val="18"/>
          <w:szCs w:val="18"/>
          <w:lang w:val="en-US"/>
        </w:rPr>
        <w:t>Loos, R.; Daouk, S.; Marinov, D.; Gómez, L.; Porcel-Rodríguez, E.; Sanseverino, I.; Amalric, L.; Potalivo, M.; Calabretta, E.; Ferenčík, M.; et al. Summary recommendations on “Analytical methods for substances in the Watch List under the Water Framework Directive”. Science of The Total Environment 2024, 912, 168707. DOI: https://doi.org/10.1016/j.scitotenv.2023.168707.</w:t>
      </w:r>
    </w:p>
    <w:p w14:paraId="2A782606" w14:textId="3786A2E5" w:rsidR="0073371A" w:rsidRPr="00A4272B" w:rsidRDefault="0073371A" w:rsidP="006B5E4C">
      <w:pPr>
        <w:rPr>
          <w:sz w:val="18"/>
          <w:szCs w:val="18"/>
          <w:lang w:val="en-US"/>
        </w:rPr>
      </w:pPr>
      <w:r w:rsidRPr="00A4272B">
        <w:rPr>
          <w:sz w:val="18"/>
          <w:szCs w:val="18"/>
          <w:lang w:val="en-US"/>
        </w:rPr>
        <w:t>Lorgeoux, C.; Moilleron, R.; Gasperi, J.; Ayrault, S.; Bonté, P.; Lefèvre, I.; Tassin, B. Temporal trends of persistent organic pollutants in dated sediment cores: Chemical fingerprinting of the anthropogenic impacts in the Seine River basin, Paris. Science of The Total Environment 2016, 541, 1355-1363. DOI: https://doi.org/10.1016/j.scitotenv.2015.09.147.</w:t>
      </w:r>
    </w:p>
    <w:p w14:paraId="06E0DE9D" w14:textId="149EB20B" w:rsidR="00B02F39" w:rsidRPr="00A4272B" w:rsidRDefault="00B02F39" w:rsidP="006B1FE4">
      <w:pPr>
        <w:rPr>
          <w:sz w:val="18"/>
          <w:szCs w:val="18"/>
          <w:lang w:val="en-US"/>
        </w:rPr>
      </w:pPr>
      <w:r w:rsidRPr="00A4272B">
        <w:rPr>
          <w:sz w:val="18"/>
          <w:szCs w:val="18"/>
          <w:lang w:val="en-US"/>
        </w:rPr>
        <w:t>NOWPAP POMRAC: "Regional overview of PTS and POPs issues of ecological concern in NOWPAP region" North West Pacific Action Plan Pollution Monitoring Regional Activity Centre, 2015 http://pomrac.nowpap.org/.</w:t>
      </w:r>
    </w:p>
    <w:p w14:paraId="4BB2940C" w14:textId="36C2F1E7" w:rsidR="00F3536C" w:rsidRPr="00A4272B" w:rsidRDefault="00F3536C" w:rsidP="006B1FE4">
      <w:pPr>
        <w:rPr>
          <w:sz w:val="18"/>
          <w:szCs w:val="18"/>
          <w:lang w:val="en-US"/>
        </w:rPr>
      </w:pPr>
      <w:r w:rsidRPr="00A4272B">
        <w:rPr>
          <w:sz w:val="18"/>
          <w:szCs w:val="18"/>
          <w:lang w:val="en-US"/>
        </w:rPr>
        <w:t>OSPAR 2013</w:t>
      </w:r>
      <w:r w:rsidR="005B1BE1" w:rsidRPr="00A4272B">
        <w:rPr>
          <w:sz w:val="18"/>
          <w:szCs w:val="18"/>
          <w:lang w:val="en-US"/>
        </w:rPr>
        <w:t>.</w:t>
      </w:r>
      <w:r w:rsidRPr="00A4272B">
        <w:rPr>
          <w:sz w:val="18"/>
          <w:szCs w:val="18"/>
          <w:lang w:val="en-US"/>
        </w:rPr>
        <w:t xml:space="preserve"> JAMP Guidelines for Monitoring of Contaminants in Seawater http://mcc.jrc.ec.europa.eu/documents/OSPAR/Guidelines_forMonitoring_of_ContaminantsSeawater.pdf accessed February 2018</w:t>
      </w:r>
      <w:r w:rsidR="00B02F39" w:rsidRPr="00A4272B">
        <w:rPr>
          <w:sz w:val="18"/>
          <w:szCs w:val="18"/>
          <w:lang w:val="en-US"/>
        </w:rPr>
        <w:t>.</w:t>
      </w:r>
    </w:p>
    <w:p w14:paraId="1CE6767D" w14:textId="05CA2390" w:rsidR="00F3536C" w:rsidRPr="00A4272B" w:rsidRDefault="00F3536C" w:rsidP="006B1FE4">
      <w:pPr>
        <w:rPr>
          <w:sz w:val="18"/>
          <w:szCs w:val="18"/>
          <w:lang w:val="en-US"/>
        </w:rPr>
      </w:pPr>
      <w:r w:rsidRPr="00A4272B">
        <w:rPr>
          <w:sz w:val="18"/>
          <w:szCs w:val="18"/>
          <w:lang w:val="en-US"/>
        </w:rPr>
        <w:t>OSPAR 2013</w:t>
      </w:r>
      <w:r w:rsidR="005B1BE1" w:rsidRPr="00A4272B">
        <w:rPr>
          <w:sz w:val="18"/>
          <w:szCs w:val="18"/>
          <w:lang w:val="en-US"/>
        </w:rPr>
        <w:t>.</w:t>
      </w:r>
      <w:r w:rsidRPr="00A4272B">
        <w:rPr>
          <w:sz w:val="18"/>
          <w:szCs w:val="18"/>
          <w:lang w:val="en-US"/>
        </w:rPr>
        <w:t xml:space="preserve"> JAMP Guidelines for Monitoring of Contaminants in Biota. http://www.ices.dk/sites/pub/Publication%20Reports/Advice/2008/Special%20Requests/OSPAR%20JAMP%20Guidelines%20for%20monitoring%20contaminants%20in%20biota%20and%20sediments.pdf accessed 26 February 2018</w:t>
      </w:r>
      <w:r w:rsidR="006B1FE4" w:rsidRPr="00A4272B">
        <w:rPr>
          <w:sz w:val="18"/>
          <w:szCs w:val="18"/>
          <w:lang w:val="en-US"/>
        </w:rPr>
        <w:t>.</w:t>
      </w:r>
    </w:p>
    <w:p w14:paraId="505C62FD" w14:textId="5B311A48" w:rsidR="00F3536C" w:rsidRPr="00A4272B" w:rsidRDefault="00F3536C" w:rsidP="006B1FE4">
      <w:pPr>
        <w:rPr>
          <w:sz w:val="18"/>
          <w:szCs w:val="18"/>
          <w:lang w:val="en-US"/>
        </w:rPr>
      </w:pPr>
      <w:r w:rsidRPr="00A4272B">
        <w:rPr>
          <w:sz w:val="18"/>
          <w:szCs w:val="18"/>
          <w:lang w:val="en-US"/>
        </w:rPr>
        <w:t>OSPAR 2002</w:t>
      </w:r>
      <w:r w:rsidR="005B1BE1" w:rsidRPr="00A4272B">
        <w:rPr>
          <w:sz w:val="18"/>
          <w:szCs w:val="18"/>
          <w:lang w:val="en-US"/>
        </w:rPr>
        <w:t>.</w:t>
      </w:r>
      <w:r w:rsidRPr="00A4272B">
        <w:rPr>
          <w:sz w:val="18"/>
          <w:szCs w:val="18"/>
          <w:lang w:val="en-US"/>
        </w:rPr>
        <w:t xml:space="preserve"> Guidelines on Quality Assurance for Biological Monitoring in the OSPAR Area (Agreement 2002-15)</w:t>
      </w:r>
      <w:r w:rsidR="006B1FE4" w:rsidRPr="00A4272B">
        <w:rPr>
          <w:sz w:val="18"/>
          <w:szCs w:val="18"/>
          <w:lang w:val="en-US"/>
        </w:rPr>
        <w:t xml:space="preserve">. </w:t>
      </w:r>
      <w:r w:rsidRPr="00A4272B">
        <w:rPr>
          <w:sz w:val="18"/>
          <w:szCs w:val="18"/>
          <w:lang w:val="en-US"/>
        </w:rPr>
        <w:t>http://www.ospar.org/documents?d=32581 accessed 26 February 2018</w:t>
      </w:r>
      <w:r w:rsidR="00B02F39" w:rsidRPr="00A4272B">
        <w:rPr>
          <w:sz w:val="18"/>
          <w:szCs w:val="18"/>
          <w:lang w:val="en-US"/>
        </w:rPr>
        <w:t>.</w:t>
      </w:r>
    </w:p>
    <w:p w14:paraId="5649A7F1" w14:textId="20D5E5C6" w:rsidR="0073371A" w:rsidRPr="00A4272B" w:rsidRDefault="0073371A" w:rsidP="00F22015">
      <w:pPr>
        <w:rPr>
          <w:sz w:val="18"/>
          <w:szCs w:val="18"/>
          <w:lang w:val="en-US"/>
        </w:rPr>
      </w:pPr>
      <w:r w:rsidRPr="00A4272B">
        <w:rPr>
          <w:sz w:val="18"/>
          <w:szCs w:val="18"/>
          <w:lang w:val="en-US"/>
        </w:rPr>
        <w:t>Robinson, J. M.; Liddicoat, C.; Sun, X.; Ramesh, S.; Hawken, S.; Lee, K.; Brame, J.; Fickling, N. W.; Kuhn, E.; Hayward, C.; et al. The climate change–pollution–aerobiome nexus: A ‘systems thinking’ mini-review. Microbial Biotechnology 2024, 17 (10), e70018. DOI: https://doi.org/10.1111/1751-7915.70018</w:t>
      </w:r>
      <w:r w:rsidR="00964111" w:rsidRPr="00A4272B">
        <w:rPr>
          <w:sz w:val="18"/>
          <w:szCs w:val="18"/>
          <w:lang w:val="en-US"/>
        </w:rPr>
        <w:t>.</w:t>
      </w:r>
    </w:p>
    <w:p w14:paraId="3E35F266" w14:textId="7DF571C8" w:rsidR="00875699" w:rsidRPr="00A4272B" w:rsidRDefault="00875699" w:rsidP="006B1FE4">
      <w:pPr>
        <w:rPr>
          <w:sz w:val="18"/>
          <w:szCs w:val="18"/>
          <w:lang w:val="en-US"/>
        </w:rPr>
      </w:pPr>
      <w:r w:rsidRPr="00A4272B">
        <w:rPr>
          <w:sz w:val="18"/>
          <w:szCs w:val="18"/>
          <w:lang w:val="en-US"/>
        </w:rPr>
        <w:t>Smith, J.; Brown, T.; Nguyen, L. Environmental Monitoring and Analysis of Persistent Organic Pollutants. Toxics 2023, 11(6), 535. DOI: 10.3390/toxics11060535.</w:t>
      </w:r>
    </w:p>
    <w:p w14:paraId="4FDCC0F1" w14:textId="24ACAD38" w:rsidR="0073371A" w:rsidRPr="00A4272B" w:rsidRDefault="0073371A" w:rsidP="006B1FE4">
      <w:pPr>
        <w:rPr>
          <w:sz w:val="18"/>
          <w:szCs w:val="18"/>
          <w:lang w:val="en-US"/>
        </w:rPr>
      </w:pPr>
      <w:r w:rsidRPr="00A4272B">
        <w:rPr>
          <w:sz w:val="18"/>
          <w:szCs w:val="18"/>
          <w:lang w:val="en-US"/>
        </w:rPr>
        <w:t>Sobotka, J.; Smedes, F.; Vrana, B. Performance comparison of silicone and low-density polyethylene as passive samplers in a global monitoring network for aquatic organic contaminants. Environmental Pollution 2022, 302, 119050. DOI: https://doi.org/10.1016/j.envpol.2022.119050.</w:t>
      </w:r>
    </w:p>
    <w:p w14:paraId="034E6BFD" w14:textId="6976AB87" w:rsidR="00F3536C" w:rsidRPr="00A4272B" w:rsidRDefault="00F3536C" w:rsidP="006B1FE4">
      <w:pPr>
        <w:rPr>
          <w:sz w:val="18"/>
          <w:szCs w:val="18"/>
          <w:lang w:val="en-US"/>
        </w:rPr>
      </w:pPr>
      <w:r w:rsidRPr="00A4272B">
        <w:rPr>
          <w:sz w:val="18"/>
          <w:szCs w:val="18"/>
          <w:lang w:val="en-US"/>
        </w:rPr>
        <w:t>UNEP Chemicals Branch, DTIE, March 2007 Guidance for Analysis of Persistent Organic Pollutants (POPs).</w:t>
      </w:r>
      <w:r w:rsidR="00BD058A" w:rsidRPr="00A4272B">
        <w:rPr>
          <w:sz w:val="18"/>
          <w:szCs w:val="18"/>
          <w:lang w:val="en-US"/>
        </w:rPr>
        <w:t xml:space="preserve"> </w:t>
      </w:r>
      <w:r w:rsidRPr="00A4272B">
        <w:rPr>
          <w:sz w:val="18"/>
          <w:szCs w:val="18"/>
          <w:lang w:val="en-US"/>
        </w:rPr>
        <w:t>http://drustage.unep.org/chemicalsandwaste/sites/unep.org.chemicalsandwaste/files/publications/POPs%20Methods%202007%20Guidance_en.pdf</w:t>
      </w:r>
      <w:r w:rsidR="00B02F39" w:rsidRPr="00A4272B">
        <w:rPr>
          <w:sz w:val="18"/>
          <w:szCs w:val="18"/>
          <w:lang w:val="en-US"/>
        </w:rPr>
        <w:t>.</w:t>
      </w:r>
      <w:r w:rsidRPr="00A4272B">
        <w:rPr>
          <w:sz w:val="18"/>
          <w:szCs w:val="18"/>
          <w:lang w:val="en-US"/>
        </w:rPr>
        <w:t xml:space="preserve"> accessed 26 Feb 2018</w:t>
      </w:r>
      <w:r w:rsidR="00B02F39" w:rsidRPr="00A4272B">
        <w:rPr>
          <w:sz w:val="18"/>
          <w:szCs w:val="18"/>
          <w:lang w:val="en-US"/>
        </w:rPr>
        <w:t>.</w:t>
      </w:r>
    </w:p>
    <w:p w14:paraId="71E61E64" w14:textId="066A8335" w:rsidR="009F04ED" w:rsidRPr="00A4272B" w:rsidRDefault="009F04ED" w:rsidP="009F04ED">
      <w:pPr>
        <w:rPr>
          <w:sz w:val="18"/>
          <w:szCs w:val="18"/>
          <w:lang w:val="en-US"/>
        </w:rPr>
      </w:pPr>
      <w:r w:rsidRPr="00A4272B">
        <w:rPr>
          <w:sz w:val="18"/>
          <w:szCs w:val="18"/>
          <w:lang w:val="en-US"/>
        </w:rPr>
        <w:t xml:space="preserve">UNEP 2013. Toolkit for Identification and Quantification of Releases of Dioxins, Furans and Other Unintentional POPs under Arctic 5 of the Stockholm Convention. </w:t>
      </w:r>
      <w:hyperlink r:id="rId102" w:history="1">
        <w:r w:rsidRPr="00A4272B">
          <w:rPr>
            <w:rStyle w:val="Hyperlink"/>
            <w:sz w:val="18"/>
            <w:szCs w:val="18"/>
            <w:lang w:val="en-US"/>
          </w:rPr>
          <w:t>https://toolkit.pops.int/Publish/Downloads/UNEP-POPS-TOOLKIT-2012-En.pdf</w:t>
        </w:r>
      </w:hyperlink>
      <w:r w:rsidRPr="00A4272B">
        <w:rPr>
          <w:sz w:val="18"/>
          <w:szCs w:val="18"/>
          <w:lang w:val="en-US"/>
        </w:rPr>
        <w:t xml:space="preserve"> .</w:t>
      </w:r>
    </w:p>
    <w:p w14:paraId="729187D9" w14:textId="5AFDCA76" w:rsidR="00F3536C" w:rsidRPr="00A4272B" w:rsidRDefault="00F3536C" w:rsidP="006B1FE4">
      <w:pPr>
        <w:rPr>
          <w:sz w:val="18"/>
          <w:szCs w:val="18"/>
          <w:lang w:val="en-US"/>
        </w:rPr>
      </w:pPr>
      <w:r w:rsidRPr="00A4272B">
        <w:rPr>
          <w:sz w:val="18"/>
          <w:szCs w:val="18"/>
          <w:lang w:val="en-US"/>
        </w:rPr>
        <w:t>UNEP 2017</w:t>
      </w:r>
      <w:r w:rsidR="005B1BE1" w:rsidRPr="00A4272B">
        <w:rPr>
          <w:sz w:val="18"/>
          <w:szCs w:val="18"/>
          <w:lang w:val="en-US"/>
        </w:rPr>
        <w:t>.</w:t>
      </w:r>
      <w:r w:rsidRPr="00A4272B">
        <w:rPr>
          <w:sz w:val="18"/>
          <w:szCs w:val="18"/>
          <w:lang w:val="en-US"/>
        </w:rPr>
        <w:t xml:space="preserve"> Darft guidance on sampling screening and analysis of POPs in products and articles. http://chm.pops.int/Implementation/NIPs/Guidance/guidanceonsampling,screeningetcofPOPs/tabid/5333/Default.aspx accessed 26 Feb 2018</w:t>
      </w:r>
      <w:r w:rsidR="00B02F39" w:rsidRPr="00A4272B">
        <w:rPr>
          <w:sz w:val="18"/>
          <w:szCs w:val="18"/>
          <w:lang w:val="en-US"/>
        </w:rPr>
        <w:t>.</w:t>
      </w:r>
    </w:p>
    <w:p w14:paraId="54157FDA" w14:textId="7FA8E583" w:rsidR="00F3536C" w:rsidRPr="00A4272B" w:rsidRDefault="00F3536C" w:rsidP="006B1FE4">
      <w:pPr>
        <w:rPr>
          <w:sz w:val="18"/>
          <w:szCs w:val="18"/>
          <w:lang w:val="en-US"/>
        </w:rPr>
      </w:pPr>
      <w:r w:rsidRPr="00A4272B">
        <w:rPr>
          <w:sz w:val="18"/>
          <w:szCs w:val="18"/>
          <w:lang w:val="en-US"/>
        </w:rPr>
        <w:t>UNU-IAS</w:t>
      </w:r>
      <w:r w:rsidR="005B1BE1" w:rsidRPr="00A4272B">
        <w:rPr>
          <w:sz w:val="18"/>
          <w:szCs w:val="18"/>
          <w:lang w:val="en-US"/>
        </w:rPr>
        <w:t xml:space="preserve"> 2015.</w:t>
      </w:r>
      <w:r w:rsidRPr="00A4272B">
        <w:rPr>
          <w:sz w:val="18"/>
          <w:szCs w:val="18"/>
          <w:lang w:val="en-US"/>
        </w:rPr>
        <w:t xml:space="preserve"> Monitoring and governance of Persistent Organic Pollutants in Asia</w:t>
      </w:r>
      <w:r w:rsidR="00766D08" w:rsidRPr="00A4272B">
        <w:rPr>
          <w:sz w:val="18"/>
          <w:szCs w:val="18"/>
          <w:lang w:val="en-US"/>
        </w:rPr>
        <w:t>.</w:t>
      </w:r>
      <w:r w:rsidRPr="00A4272B">
        <w:rPr>
          <w:sz w:val="18"/>
          <w:szCs w:val="18"/>
          <w:lang w:val="en-US"/>
        </w:rPr>
        <w:t xml:space="preserve"> O Ito et al. eds., United Nations University (2015)</w:t>
      </w:r>
      <w:r w:rsidR="00B02F39" w:rsidRPr="00A4272B">
        <w:rPr>
          <w:sz w:val="18"/>
          <w:szCs w:val="18"/>
          <w:lang w:val="en-US"/>
        </w:rPr>
        <w:t>.</w:t>
      </w:r>
    </w:p>
    <w:p w14:paraId="6EE92F82" w14:textId="01C74EEC" w:rsidR="00165823" w:rsidRPr="00A4272B" w:rsidRDefault="00165823" w:rsidP="00165823">
      <w:pPr>
        <w:rPr>
          <w:sz w:val="18"/>
          <w:szCs w:val="18"/>
          <w:lang w:val="en-US"/>
        </w:rPr>
      </w:pPr>
      <w:r w:rsidRPr="00A4272B">
        <w:rPr>
          <w:sz w:val="18"/>
          <w:szCs w:val="18"/>
          <w:lang w:val="en-US"/>
        </w:rPr>
        <w:t>US EPA 2024</w:t>
      </w:r>
      <w:r w:rsidR="005B1BE1" w:rsidRPr="00A4272B">
        <w:rPr>
          <w:sz w:val="18"/>
          <w:szCs w:val="18"/>
          <w:lang w:val="en-US"/>
        </w:rPr>
        <w:t>.</w:t>
      </w:r>
      <w:r w:rsidRPr="00A4272B">
        <w:rPr>
          <w:sz w:val="18"/>
          <w:szCs w:val="18"/>
          <w:lang w:val="en-US"/>
        </w:rPr>
        <w:t xml:space="preserve"> Analytical Methods Approved for Drinking Water Compliance Monitoring of Organic Contaminants. </w:t>
      </w:r>
      <w:hyperlink r:id="rId103" w:history="1">
        <w:r w:rsidRPr="00A4272B">
          <w:rPr>
            <w:rStyle w:val="Hyperlink"/>
            <w:sz w:val="18"/>
            <w:szCs w:val="18"/>
            <w:lang w:val="en-US"/>
          </w:rPr>
          <w:t>https://www.epa.gov/system/files/documents/2024-02/organic-methods-table.pdf</w:t>
        </w:r>
      </w:hyperlink>
      <w:r w:rsidRPr="00A4272B">
        <w:rPr>
          <w:sz w:val="18"/>
          <w:szCs w:val="18"/>
          <w:lang w:val="en-US"/>
        </w:rPr>
        <w:t xml:space="preserve">. (accessed January 2025). </w:t>
      </w:r>
    </w:p>
    <w:p w14:paraId="2AA496B9" w14:textId="562B6CE7" w:rsidR="00694157" w:rsidRPr="00A4272B" w:rsidRDefault="00694157" w:rsidP="00694157">
      <w:pPr>
        <w:rPr>
          <w:sz w:val="18"/>
          <w:szCs w:val="18"/>
          <w:lang w:val="en-US"/>
        </w:rPr>
      </w:pPr>
      <w:r w:rsidRPr="00A4272B">
        <w:rPr>
          <w:sz w:val="18"/>
          <w:szCs w:val="18"/>
          <w:lang w:val="en-US"/>
        </w:rPr>
        <w:t>US EPA 2025</w:t>
      </w:r>
      <w:r w:rsidR="005B1BE1" w:rsidRPr="00A4272B">
        <w:rPr>
          <w:sz w:val="18"/>
          <w:szCs w:val="18"/>
          <w:lang w:val="en-US"/>
        </w:rPr>
        <w:t>.</w:t>
      </w:r>
      <w:r w:rsidRPr="00A4272B">
        <w:rPr>
          <w:sz w:val="18"/>
          <w:szCs w:val="18"/>
          <w:lang w:val="en-US"/>
        </w:rPr>
        <w:t xml:space="preserve"> Toxic Substances Release Inventory Listed Chemicals </w:t>
      </w:r>
      <w:hyperlink r:id="rId104" w:anchor=":~:text=The%20current%20TRI%20toxic%20chemical,Chemical%20list%20changes%3A%201987%2D2024" w:history="1">
        <w:r w:rsidRPr="00A4272B">
          <w:rPr>
            <w:rStyle w:val="Hyperlink"/>
            <w:sz w:val="18"/>
            <w:szCs w:val="18"/>
            <w:lang w:val="en-US"/>
          </w:rPr>
          <w:t>https://www.epa.gov/toxics-release-inventory-tri-program/tri-listed-</w:t>
        </w:r>
        <w:r w:rsidRPr="00A4272B">
          <w:rPr>
            <w:rStyle w:val="Hyperlink"/>
            <w:sz w:val="18"/>
            <w:szCs w:val="18"/>
            <w:lang w:val="en-US"/>
          </w:rPr>
          <w:lastRenderedPageBreak/>
          <w:t>chemicals#:~:text=The%20current%20TRI%20toxic%20chemical,Chemical%20list%20changes%3A%201987%2D2024</w:t>
        </w:r>
      </w:hyperlink>
      <w:r w:rsidRPr="00A4272B">
        <w:rPr>
          <w:sz w:val="18"/>
          <w:szCs w:val="18"/>
          <w:lang w:val="en-US"/>
        </w:rPr>
        <w:t>. (accessed 2025 January).</w:t>
      </w:r>
    </w:p>
    <w:p w14:paraId="57D6ADE1" w14:textId="77777777" w:rsidR="00F3536C" w:rsidRPr="00A4272B" w:rsidRDefault="00F3536C" w:rsidP="00766D08">
      <w:pPr>
        <w:outlineLvl w:val="1"/>
        <w:rPr>
          <w:b/>
          <w:bCs/>
          <w:sz w:val="18"/>
          <w:szCs w:val="18"/>
          <w:lang w:val="en-US"/>
        </w:rPr>
      </w:pPr>
      <w:r w:rsidRPr="00A4272B">
        <w:rPr>
          <w:b/>
          <w:bCs/>
          <w:sz w:val="18"/>
          <w:szCs w:val="18"/>
          <w:lang w:val="en-US"/>
        </w:rPr>
        <w:t>Chapter 5</w:t>
      </w:r>
    </w:p>
    <w:p w14:paraId="3464116D" w14:textId="7DFD44C2" w:rsidR="00B02F39" w:rsidRPr="00A4272B" w:rsidRDefault="00B02F39" w:rsidP="006B1FE4">
      <w:pPr>
        <w:rPr>
          <w:sz w:val="18"/>
          <w:szCs w:val="18"/>
          <w:lang w:val="en-US"/>
        </w:rPr>
      </w:pPr>
      <w:r w:rsidRPr="00A4272B">
        <w:rPr>
          <w:sz w:val="18"/>
          <w:szCs w:val="18"/>
          <w:lang w:val="en-US"/>
        </w:rPr>
        <w:t>Bayen S, Obbard JP, Thomas GO. Chlorinated paraffins: a review of analysis and environmental occurrence. Environ Int. 2006 Sep;32(7):915-29. doi: 10.1016/j.envint.2006.05.009. Epub 2006 Jun 30. PMID: 16814386.</w:t>
      </w:r>
    </w:p>
    <w:p w14:paraId="317A68E6" w14:textId="48DCA037" w:rsidR="00B02F39" w:rsidRPr="00A4272B" w:rsidRDefault="00B02F39" w:rsidP="006B1FE4">
      <w:pPr>
        <w:rPr>
          <w:sz w:val="18"/>
          <w:szCs w:val="18"/>
          <w:lang w:val="en-US"/>
        </w:rPr>
      </w:pPr>
      <w:r w:rsidRPr="00A4272B">
        <w:rPr>
          <w:sz w:val="18"/>
          <w:szCs w:val="18"/>
          <w:lang w:val="en-US"/>
        </w:rPr>
        <w:t>Denghel H, Göen T. Determination of the UV absorber 2-(2H-benzotriazol-2-yl)-4,6-di-tert-pentylphenol (UV 328) and its oxidative metabolites in human urine by dispersive liquid-liquid microextraction and GC-MS/MS. J Chromatogr B Analyt Technol Biomed Life Sci. 2020 May 1;1144:122071. doi: 10.1016/j.jchromb.2020.122071. Epub 2020 Mar 19. PMID: 32222673.Fiedler et al. 2020. Global interlaboratory assessments of perfluoroalkyl substances under the Stockholm Convention on persistent organic pollutants. Trends in Analytical Chemistry. https://doi.org/10.1016/j.trac.2019.03.023</w:t>
      </w:r>
      <w:r w:rsidR="00964111" w:rsidRPr="00A4272B">
        <w:rPr>
          <w:sz w:val="18"/>
          <w:szCs w:val="18"/>
          <w:lang w:val="en-US"/>
        </w:rPr>
        <w:t>.</w:t>
      </w:r>
    </w:p>
    <w:p w14:paraId="61D968DA" w14:textId="6FC6F34C" w:rsidR="00F3536C" w:rsidRPr="00A4272B" w:rsidRDefault="00F3536C" w:rsidP="006B1FE4">
      <w:pPr>
        <w:rPr>
          <w:sz w:val="18"/>
          <w:szCs w:val="18"/>
          <w:lang w:val="en-US"/>
        </w:rPr>
      </w:pPr>
      <w:r w:rsidRPr="00A4272B">
        <w:rPr>
          <w:sz w:val="18"/>
          <w:szCs w:val="18"/>
          <w:lang w:val="en-US"/>
        </w:rPr>
        <w:t>EC</w:t>
      </w:r>
      <w:r w:rsidR="00B02F39" w:rsidRPr="00A4272B">
        <w:rPr>
          <w:sz w:val="18"/>
          <w:szCs w:val="18"/>
          <w:lang w:val="en-US"/>
        </w:rPr>
        <w:t xml:space="preserve"> </w:t>
      </w:r>
      <w:r w:rsidRPr="00A4272B">
        <w:rPr>
          <w:sz w:val="18"/>
          <w:szCs w:val="18"/>
          <w:lang w:val="en-US"/>
        </w:rPr>
        <w:t>2002: Commission Directive 2002/69/EC of 26 July 2002 laying down the sampling methods and the methods of analysis for the official control of dioxins and the determination of dioxin-like PCBs in foodstuffs. Official Journal of the European Communities, L 209/5 L 209/14 (dated 6.8.2002)</w:t>
      </w:r>
      <w:r w:rsidR="00B02F39" w:rsidRPr="00A4272B">
        <w:rPr>
          <w:sz w:val="18"/>
          <w:szCs w:val="18"/>
          <w:lang w:val="en-US"/>
        </w:rPr>
        <w:t>.</w:t>
      </w:r>
    </w:p>
    <w:p w14:paraId="5EB13992" w14:textId="3F623698" w:rsidR="00B02F39" w:rsidRPr="00A4272B" w:rsidRDefault="00B02F39" w:rsidP="006B1FE4">
      <w:pPr>
        <w:rPr>
          <w:sz w:val="18"/>
          <w:szCs w:val="18"/>
          <w:lang w:val="en-US"/>
        </w:rPr>
      </w:pPr>
      <w:r w:rsidRPr="00A4272B">
        <w:rPr>
          <w:sz w:val="18"/>
          <w:szCs w:val="18"/>
          <w:lang w:val="en-US"/>
        </w:rPr>
        <w:t>European Union Reference Laboratory for Halogenated POPs in Feed and Food, Guidance Document on the Analysis of Chlorinated Paraffins - Sample preparation and quantification in food and feed 2021: https://eurl-pops.eu/user/pages/05.news/07.Guidance-document-on-cp-analysis/Guidance%20Document%20on%20CP%20analysis%20v1.9.pdf?g-64cde584</w:t>
      </w:r>
      <w:r w:rsidR="00BD058A" w:rsidRPr="00A4272B">
        <w:rPr>
          <w:sz w:val="18"/>
          <w:szCs w:val="18"/>
          <w:lang w:val="en-US"/>
        </w:rPr>
        <w:t>.</w:t>
      </w:r>
    </w:p>
    <w:p w14:paraId="5C1F189F" w14:textId="77777777" w:rsidR="00B02F39" w:rsidRPr="00A4272B" w:rsidRDefault="00B02F39" w:rsidP="006B1FE4">
      <w:pPr>
        <w:rPr>
          <w:sz w:val="18"/>
          <w:szCs w:val="18"/>
          <w:lang w:val="en-US"/>
        </w:rPr>
      </w:pPr>
      <w:r w:rsidRPr="00A4272B">
        <w:rPr>
          <w:sz w:val="18"/>
          <w:szCs w:val="18"/>
          <w:lang w:val="en-US"/>
        </w:rPr>
        <w:t>Liu R, Ruan T, Wang T, Song S, Guo F, Jiang G. Determination of nine benzotriazole UV stabilizers in environmental water samples by automated on-line solid phase extraction coupled with high-performance liquid chromatography-tandem mass spectrometry. Talanta. 2014 Mar; 120:158-66. doi: 10.1016/j.talanta.2013.10.041. Epub 2013 Oct 24. PMID: 24468355.</w:t>
      </w:r>
    </w:p>
    <w:p w14:paraId="50C7DE0D" w14:textId="400D5FC0" w:rsidR="00B02F39" w:rsidRPr="00A4272B" w:rsidRDefault="00B02F39" w:rsidP="006B1FE4">
      <w:pPr>
        <w:rPr>
          <w:sz w:val="18"/>
          <w:szCs w:val="18"/>
          <w:lang w:val="en-US"/>
        </w:rPr>
      </w:pPr>
      <w:r w:rsidRPr="00A4272B">
        <w:rPr>
          <w:sz w:val="18"/>
          <w:szCs w:val="18"/>
          <w:lang w:val="en-US"/>
        </w:rPr>
        <w:t>Montesdeoca-Esponda, T. Vega-Morales, Z. Sosa-Ferrera, J.J. Santana-Rodríguez, Extraction and determination methodologies for benzotriazole UV stabilizers in personal-care products in environmental and biological samples, TrAC Trends in Analytical Chemistry, Volume 51, 2013, Pages 23-32, ISSN 0165-9936, https://doi.org/10.1016/j.trac.2013.05.012.</w:t>
      </w:r>
    </w:p>
    <w:p w14:paraId="6C986469" w14:textId="3798B7F4" w:rsidR="00F3536C" w:rsidRPr="00A4272B" w:rsidRDefault="00F3536C" w:rsidP="006B1FE4">
      <w:pPr>
        <w:rPr>
          <w:sz w:val="18"/>
          <w:szCs w:val="18"/>
          <w:lang w:val="en-US"/>
        </w:rPr>
      </w:pPr>
      <w:r w:rsidRPr="00A4272B">
        <w:rPr>
          <w:sz w:val="18"/>
          <w:szCs w:val="18"/>
          <w:lang w:val="en-US"/>
        </w:rPr>
        <w:t xml:space="preserve">OECD, various years. OECD Series on Principles of Good Laboratory Practice and Compliance Monitoring (various volumes). OECD Principles on Good Laboratory Practice (as revised 1997–1999), OECD. Available at </w:t>
      </w:r>
      <w:hyperlink r:id="rId105" w:history="1">
        <w:r w:rsidR="00B02F39" w:rsidRPr="00A4272B">
          <w:rPr>
            <w:rStyle w:val="Hyperlink"/>
            <w:sz w:val="18"/>
            <w:szCs w:val="18"/>
            <w:lang w:val="en-US"/>
          </w:rPr>
          <w:t>www.oecd.org/ehs/</w:t>
        </w:r>
      </w:hyperlink>
      <w:r w:rsidR="00B02F39" w:rsidRPr="00A4272B">
        <w:rPr>
          <w:sz w:val="18"/>
          <w:szCs w:val="18"/>
          <w:lang w:val="en-US"/>
        </w:rPr>
        <w:t>.</w:t>
      </w:r>
    </w:p>
    <w:p w14:paraId="0A97AA16" w14:textId="35D54DAB" w:rsidR="00B02F39" w:rsidRPr="00A4272B" w:rsidRDefault="00B02F39" w:rsidP="006B1FE4">
      <w:pPr>
        <w:rPr>
          <w:sz w:val="18"/>
          <w:szCs w:val="18"/>
          <w:lang w:val="en-US"/>
        </w:rPr>
      </w:pPr>
      <w:r w:rsidRPr="00A4272B">
        <w:rPr>
          <w:sz w:val="18"/>
          <w:szCs w:val="18"/>
          <w:lang w:val="en-US"/>
        </w:rPr>
        <w:t>Oellig C, Hammel YA. Screening for chlorinated paraffins in vegetable oils and oil-based dietary supplements by planar solid phase extraction. J Chromatogr A. 2019 Nov 22;</w:t>
      </w:r>
      <w:r w:rsidR="00BD058A" w:rsidRPr="00A4272B">
        <w:rPr>
          <w:sz w:val="18"/>
          <w:szCs w:val="18"/>
          <w:lang w:val="en-US"/>
        </w:rPr>
        <w:t xml:space="preserve"> </w:t>
      </w:r>
      <w:r w:rsidRPr="00A4272B">
        <w:rPr>
          <w:sz w:val="18"/>
          <w:szCs w:val="18"/>
          <w:lang w:val="en-US"/>
        </w:rPr>
        <w:t>1606:460380. doi: 10.1016/j.chroma.2019.460380. Epub 2019 Jul 25. PMID: 31378532.</w:t>
      </w:r>
    </w:p>
    <w:p w14:paraId="24946600" w14:textId="77777777" w:rsidR="00B02F39" w:rsidRPr="00A4272B" w:rsidRDefault="00B02F39" w:rsidP="006B1FE4">
      <w:pPr>
        <w:rPr>
          <w:sz w:val="18"/>
          <w:szCs w:val="18"/>
          <w:lang w:val="en-US"/>
        </w:rPr>
      </w:pPr>
      <w:r w:rsidRPr="00A4272B">
        <w:rPr>
          <w:sz w:val="18"/>
          <w:szCs w:val="18"/>
          <w:lang w:val="en-US"/>
        </w:rPr>
        <w:t>Rauert C, Harner T, Schuster JK, Eng A, Fillmann G, Castillo LE, Fentanes O, Villa Ibarra M, Miglioranza KSB, Moreno Rivadeneira I, Pozo K, Aristizábal Zuluaga BH. Atmospheric Concentrations of New Persistent Organic Pollutants and Emerging Chemicals of Concern in the Group of Latin America and Caribbean (GRULAC) Region. Environ Sci Technol. 2018 Jul 3;52(13):7240-7249. doi: 10.1021/acs.est.8b00995. Epub 2018 Jun 15. PMID: 29846065.</w:t>
      </w:r>
    </w:p>
    <w:p w14:paraId="6580380B" w14:textId="6C19E1EB" w:rsidR="00B02F39" w:rsidRPr="00A4272B" w:rsidRDefault="00B02F39" w:rsidP="006B1FE4">
      <w:pPr>
        <w:rPr>
          <w:sz w:val="18"/>
          <w:szCs w:val="18"/>
          <w:lang w:val="en-US"/>
        </w:rPr>
      </w:pPr>
      <w:r w:rsidRPr="00A4272B">
        <w:rPr>
          <w:sz w:val="18"/>
          <w:szCs w:val="18"/>
          <w:lang w:val="en-US"/>
        </w:rPr>
        <w:t>Rauert C, Harner T, Schuster JK, Eng A, Fillmann G, Castillo LE, Fentanes O, Ibarra MV, Miglioranza KSB, Rivadeneira IM, Pozo K, Aristizábal Zuluaga BH. Air monitoring of new and legacy POPs in the Group of Latin America and Caribbean (GRULAC) region. Environ Pollut. 2018 Dec;243(Pt B):1252-1262. doi: 10.1016/j.envpol.2018.09.048. Epub 2018 Sep 15. PMID: 30268978.</w:t>
      </w:r>
    </w:p>
    <w:p w14:paraId="54609775" w14:textId="32B9AABE" w:rsidR="003916DE" w:rsidRPr="00A4272B" w:rsidRDefault="003916DE" w:rsidP="006B1FE4">
      <w:pPr>
        <w:rPr>
          <w:sz w:val="18"/>
          <w:szCs w:val="18"/>
          <w:lang w:val="en-US"/>
        </w:rPr>
      </w:pPr>
      <w:r w:rsidRPr="00A4272B">
        <w:rPr>
          <w:sz w:val="18"/>
          <w:szCs w:val="18"/>
          <w:lang w:val="en-US"/>
        </w:rPr>
        <w:t>UNEP</w:t>
      </w:r>
      <w:r w:rsidR="00002B29" w:rsidRPr="00A4272B">
        <w:rPr>
          <w:sz w:val="18"/>
          <w:szCs w:val="18"/>
          <w:lang w:val="en-US"/>
        </w:rPr>
        <w:t xml:space="preserve"> 20</w:t>
      </w:r>
      <w:r w:rsidR="00274A8B" w:rsidRPr="00A4272B">
        <w:rPr>
          <w:sz w:val="18"/>
          <w:szCs w:val="18"/>
          <w:lang w:val="en-US"/>
        </w:rPr>
        <w:t>21</w:t>
      </w:r>
      <w:r w:rsidRPr="00A4272B">
        <w:rPr>
          <w:sz w:val="18"/>
          <w:szCs w:val="18"/>
          <w:lang w:val="en-US"/>
        </w:rPr>
        <w:t>. Bi-ennial Global Interlaboratory Assessment on Persistent Organic Pollutants. Fourth Round 2018/2019. https://wedocs.unep.org/20.500.11822/30923; United Nations Environment Programme, Örebro University, &amp; Vrije Universitet Amsterdam, 2021.</w:t>
      </w:r>
    </w:p>
    <w:p w14:paraId="0F28014B" w14:textId="27CAA753" w:rsidR="00B02F39" w:rsidRPr="00A4272B" w:rsidRDefault="00002B29" w:rsidP="006B1FE4">
      <w:pPr>
        <w:rPr>
          <w:sz w:val="18"/>
          <w:szCs w:val="18"/>
          <w:lang w:val="en-US"/>
        </w:rPr>
      </w:pPr>
      <w:r w:rsidRPr="00A4272B">
        <w:rPr>
          <w:sz w:val="18"/>
          <w:szCs w:val="18"/>
          <w:lang w:val="en-US"/>
        </w:rPr>
        <w:t xml:space="preserve">UNEP </w:t>
      </w:r>
      <w:r w:rsidR="00B02F39" w:rsidRPr="00A4272B">
        <w:rPr>
          <w:sz w:val="18"/>
          <w:szCs w:val="18"/>
          <w:lang w:val="en-US"/>
        </w:rPr>
        <w:t>2023. Organization and Outcomes of Four Interlaboratory Assessments on Persistent Organic Pollutants. Geneva. https://wedocs.unep.org/20.500.11822/44155</w:t>
      </w:r>
      <w:r w:rsidR="003916DE" w:rsidRPr="00A4272B">
        <w:rPr>
          <w:sz w:val="18"/>
          <w:szCs w:val="18"/>
          <w:lang w:val="en-US"/>
        </w:rPr>
        <w:t>.</w:t>
      </w:r>
    </w:p>
    <w:p w14:paraId="6B26C0FE" w14:textId="3160C432" w:rsidR="00B02F39" w:rsidRPr="00A4272B" w:rsidRDefault="00B02F39" w:rsidP="006B1FE4">
      <w:pPr>
        <w:rPr>
          <w:sz w:val="18"/>
          <w:szCs w:val="18"/>
          <w:lang w:val="en-US"/>
        </w:rPr>
      </w:pPr>
      <w:r w:rsidRPr="00A4272B">
        <w:rPr>
          <w:sz w:val="18"/>
          <w:szCs w:val="18"/>
          <w:lang w:val="en-US"/>
        </w:rPr>
        <w:t>Xian Q, Siddique S, Li T, Feng YL, Takser L, Zhu J. Sources and environmental behavior of dechlorane plus--a review. Environ Int. 2011 Oct;37(7):1273-84. doi: 10.1016/j.envint.2011.04.016. Epub 2011 May 31. PMID: 21621844.</w:t>
      </w:r>
    </w:p>
    <w:p w14:paraId="2D50FB98" w14:textId="77777777" w:rsidR="00F3536C" w:rsidRPr="00A4272B" w:rsidRDefault="00F3536C" w:rsidP="00766D08">
      <w:pPr>
        <w:outlineLvl w:val="2"/>
        <w:rPr>
          <w:b/>
          <w:bCs/>
          <w:sz w:val="18"/>
          <w:szCs w:val="18"/>
          <w:lang w:val="en-US"/>
        </w:rPr>
      </w:pPr>
      <w:r w:rsidRPr="00A4272B">
        <w:rPr>
          <w:b/>
          <w:bCs/>
          <w:sz w:val="18"/>
          <w:szCs w:val="18"/>
          <w:lang w:val="en-US"/>
        </w:rPr>
        <w:t>Analytical methods for PFOS</w:t>
      </w:r>
    </w:p>
    <w:p w14:paraId="16D0BBFB" w14:textId="77777777" w:rsidR="00F3536C" w:rsidRPr="00A4272B" w:rsidRDefault="00F3536C" w:rsidP="006B1FE4">
      <w:pPr>
        <w:rPr>
          <w:sz w:val="18"/>
          <w:szCs w:val="18"/>
          <w:lang w:val="en-US"/>
        </w:rPr>
      </w:pPr>
      <w:r w:rsidRPr="00A4272B">
        <w:rPr>
          <w:sz w:val="18"/>
          <w:szCs w:val="18"/>
          <w:lang w:val="en-US"/>
        </w:rPr>
        <w:t>Ahrens, L., K. Vorkamp, P. Lepom, P. Bersuder, N. Theobald, R. Ebinghaus, R. Bossi, J. L. Barber and E. McGovern (2010). Determination of perfluoroalkyl compounds in water, sediment, and biota. ICES Techniques in Marine Environmental Sciences No. 48, International Council for Exploration of the Sea. Copenhagen, DK: 16 pp.</w:t>
      </w:r>
    </w:p>
    <w:p w14:paraId="60C843C7" w14:textId="77777777" w:rsidR="00F3536C" w:rsidRPr="00A4272B" w:rsidRDefault="00F3536C" w:rsidP="006B1FE4">
      <w:pPr>
        <w:rPr>
          <w:sz w:val="18"/>
          <w:szCs w:val="18"/>
          <w:lang w:val="en-US"/>
        </w:rPr>
      </w:pPr>
      <w:r w:rsidRPr="00A4272B">
        <w:rPr>
          <w:sz w:val="18"/>
          <w:szCs w:val="18"/>
          <w:lang w:val="en-US"/>
        </w:rPr>
        <w:t>Hansen, K. J., L. A. Clemen, M. E. Ellefson and H. A. Johnson (2001). "Compounds-specific, quantitative characterization of organic fluorochemicals in biological matrices." Environ. Sci. Technol. 35(4): 766-770.</w:t>
      </w:r>
    </w:p>
    <w:p w14:paraId="7DDD20F3" w14:textId="52FB3C2A" w:rsidR="00F3536C" w:rsidRPr="00A4272B" w:rsidRDefault="00F3536C" w:rsidP="006B1FE4">
      <w:pPr>
        <w:rPr>
          <w:sz w:val="18"/>
          <w:szCs w:val="18"/>
          <w:lang w:val="en-US"/>
        </w:rPr>
      </w:pPr>
      <w:r w:rsidRPr="00A4272B">
        <w:rPr>
          <w:sz w:val="18"/>
          <w:szCs w:val="18"/>
          <w:lang w:val="en-US"/>
        </w:rPr>
        <w:t>ISO 2008. Determination of Perfluorooctanesulfonate (PFOS) and Perfluorooctanoate (PFOA) - Method for Unfiltered Samples Using Solid Phase Extraction and Liquid Chromatography/Mass Spectrometry. ISO/DIS25101 (ISO/TC147/SC2/WG56) International Organization for Standardization, Geneva, CH</w:t>
      </w:r>
      <w:r w:rsidR="00964111" w:rsidRPr="00A4272B">
        <w:rPr>
          <w:sz w:val="18"/>
          <w:szCs w:val="18"/>
          <w:lang w:val="en-US"/>
        </w:rPr>
        <w:t>.</w:t>
      </w:r>
    </w:p>
    <w:p w14:paraId="27460D8E" w14:textId="77777777" w:rsidR="00F3536C" w:rsidRPr="00A4272B" w:rsidRDefault="00F3536C" w:rsidP="006B1FE4">
      <w:pPr>
        <w:rPr>
          <w:sz w:val="18"/>
          <w:szCs w:val="18"/>
          <w:lang w:val="en-US"/>
        </w:rPr>
      </w:pPr>
      <w:r w:rsidRPr="00A4272B">
        <w:rPr>
          <w:sz w:val="18"/>
          <w:szCs w:val="18"/>
          <w:lang w:val="en-US"/>
        </w:rPr>
        <w:t>Jahnke, A., L. Ahrens, R. Ebinghaus, U. Berger, J. L. Barber and C. Temme (2007). "An improved method for the analysis of volatile polyfluorinated alkyl substances in environmental air samples." Analytical and Bioanalytical Chemistry 387(3): 965-975.</w:t>
      </w:r>
    </w:p>
    <w:p w14:paraId="4582BD0E" w14:textId="77777777" w:rsidR="00F3536C" w:rsidRPr="00A4272B" w:rsidRDefault="00F3536C" w:rsidP="006B1FE4">
      <w:pPr>
        <w:rPr>
          <w:sz w:val="18"/>
          <w:szCs w:val="18"/>
          <w:lang w:val="en-US"/>
        </w:rPr>
      </w:pPr>
      <w:r w:rsidRPr="00A4272B">
        <w:rPr>
          <w:sz w:val="18"/>
          <w:szCs w:val="18"/>
          <w:lang w:val="en-US"/>
        </w:rPr>
        <w:t>Kuklenyik, Z., L. L. Needham and A. M. Calafat (2005). "Measurement of 18 Perfluorinated Organic Acids and Amides in Human Serum Using On-Line Solid-Phase Extraction." Anal. Chem. 77: 6085-6091.</w:t>
      </w:r>
    </w:p>
    <w:p w14:paraId="439B8BF7" w14:textId="77777777" w:rsidR="00F3536C" w:rsidRPr="00A4272B" w:rsidRDefault="00F3536C" w:rsidP="006B1FE4">
      <w:pPr>
        <w:rPr>
          <w:sz w:val="18"/>
          <w:szCs w:val="18"/>
          <w:lang w:val="en-US"/>
        </w:rPr>
      </w:pPr>
      <w:r w:rsidRPr="00A4272B">
        <w:rPr>
          <w:sz w:val="18"/>
          <w:szCs w:val="18"/>
          <w:lang w:val="en-US"/>
        </w:rPr>
        <w:lastRenderedPageBreak/>
        <w:t>Kuklenyik, Z., J. A. Reich, J. S. Tully, L. L. Needham and A. M. Calafat (2004). "Automated solid-phase extraction and measurements of perfluorinated organic acids and amines in human serum and milk." Environ. Sc. Technol. 38(13): 3698-3704.</w:t>
      </w:r>
    </w:p>
    <w:p w14:paraId="41556051" w14:textId="77777777" w:rsidR="00F3536C" w:rsidRPr="00A4272B" w:rsidRDefault="00F3536C" w:rsidP="006B1FE4">
      <w:pPr>
        <w:rPr>
          <w:sz w:val="18"/>
          <w:szCs w:val="18"/>
          <w:lang w:val="en-US"/>
        </w:rPr>
      </w:pPr>
      <w:r w:rsidRPr="00A4272B">
        <w:rPr>
          <w:sz w:val="18"/>
          <w:szCs w:val="18"/>
          <w:lang w:val="en-US"/>
        </w:rPr>
        <w:t>Shoeib, M., T. Harner, B. H. Wilford, K. C. Jones and J. Zhu (2005). "Perfluorinated sulfonamides in indoor and outdoor air and indoor dust: occurence, partitioning, and human exposure." Environ. Sci. Technol. 39: 6599-6006.</w:t>
      </w:r>
    </w:p>
    <w:p w14:paraId="035CD840" w14:textId="77777777" w:rsidR="00F3536C" w:rsidRPr="00A4272B" w:rsidRDefault="00F3536C" w:rsidP="006B1FE4">
      <w:pPr>
        <w:rPr>
          <w:sz w:val="18"/>
          <w:szCs w:val="18"/>
          <w:lang w:val="en-US"/>
        </w:rPr>
      </w:pPr>
      <w:r w:rsidRPr="00A4272B">
        <w:rPr>
          <w:sz w:val="18"/>
          <w:szCs w:val="18"/>
          <w:lang w:val="en-US"/>
        </w:rPr>
        <w:t>Taniyasu, S., K. Kannan, K. S. Man, A. Gulkowska, E. Sinclair, T. Okazawa and N. Yamashita (2005). "Analysis of fluorotelomer alcohols, fluorotelomer acids, and short- and long-chain perfluorinated acids in water and biota." Journal of Chromatography A 1093(1-2): 89-97.</w:t>
      </w:r>
    </w:p>
    <w:p w14:paraId="059EF782" w14:textId="148E9DE4" w:rsidR="005B1BE1" w:rsidRPr="00A4272B" w:rsidRDefault="005B1BE1" w:rsidP="005B1BE1">
      <w:pPr>
        <w:pStyle w:val="CommentText"/>
        <w:rPr>
          <w:sz w:val="18"/>
          <w:szCs w:val="18"/>
        </w:rPr>
      </w:pPr>
      <w:r w:rsidRPr="00A4272B">
        <w:rPr>
          <w:sz w:val="18"/>
          <w:szCs w:val="18"/>
          <w:lang w:val="en-CA"/>
        </w:rPr>
        <w:t>US EPA 2024. Method 1633 Analysis of Per- and Polyfluoroalkyl Substances (PFAS) in Aqueous, Solid, Biosolids, and Tissue Samples by LC-MS/MS, EPA 821-R-24-001 U.S. Environmental Protection Agency, Office of Water (4303T), Office of Science and Technology, Engineering and Analysis Division, Washington, DC, 2024.</w:t>
      </w:r>
    </w:p>
    <w:p w14:paraId="1BE0B40B" w14:textId="77777777" w:rsidR="00F3536C" w:rsidRPr="00A4272B" w:rsidRDefault="00F3536C" w:rsidP="006B1FE4">
      <w:pPr>
        <w:rPr>
          <w:sz w:val="18"/>
          <w:szCs w:val="18"/>
          <w:lang w:val="en-US"/>
        </w:rPr>
      </w:pPr>
      <w:r w:rsidRPr="00A4272B">
        <w:rPr>
          <w:sz w:val="18"/>
          <w:szCs w:val="18"/>
          <w:lang w:val="en-US"/>
        </w:rPr>
        <w:t>van Leeuwen, S. P. J. and J. de Boer (2007). "Extraction and clean-up strategies for the analysis of poly- and perfluoroalkyl substances in environmental and human matrices." Journal of Chromatography A 1153(1-2): 172-185.</w:t>
      </w:r>
    </w:p>
    <w:p w14:paraId="1667C498" w14:textId="0B3FFD77" w:rsidR="00F3536C" w:rsidRPr="00A4272B" w:rsidRDefault="00F3536C" w:rsidP="006B1FE4">
      <w:pPr>
        <w:rPr>
          <w:sz w:val="18"/>
          <w:szCs w:val="18"/>
          <w:lang w:val="en-US"/>
        </w:rPr>
      </w:pPr>
      <w:r w:rsidRPr="00A4272B">
        <w:rPr>
          <w:sz w:val="18"/>
          <w:szCs w:val="18"/>
          <w:lang w:val="en-US"/>
        </w:rPr>
        <w:t>Van Leeuwen, S. P. J., A. Karrman, B. Van Bavel, J. De Boer and G. Lindstrom (2006). "Struggle for quality in determination of perfluorinated contaminants in environmental and human samples." Environmental Science and Technology 40(24): 7854-7860</w:t>
      </w:r>
      <w:r w:rsidR="00964111" w:rsidRPr="00A4272B">
        <w:rPr>
          <w:sz w:val="18"/>
          <w:szCs w:val="18"/>
          <w:lang w:val="en-US"/>
        </w:rPr>
        <w:t>.</w:t>
      </w:r>
    </w:p>
    <w:p w14:paraId="25EDB058" w14:textId="61FA3130" w:rsidR="00F3536C" w:rsidRPr="00A4272B" w:rsidRDefault="00F3536C" w:rsidP="00766D08">
      <w:pPr>
        <w:outlineLvl w:val="2"/>
        <w:rPr>
          <w:b/>
          <w:bCs/>
          <w:sz w:val="18"/>
          <w:szCs w:val="18"/>
          <w:lang w:val="en-US"/>
        </w:rPr>
      </w:pPr>
      <w:r w:rsidRPr="00A4272B">
        <w:rPr>
          <w:b/>
          <w:bCs/>
          <w:sz w:val="18"/>
          <w:szCs w:val="18"/>
          <w:lang w:val="en-US"/>
        </w:rPr>
        <w:t>Analytical metods for SCCPs</w:t>
      </w:r>
    </w:p>
    <w:p w14:paraId="2A92F17E" w14:textId="7191712F" w:rsidR="00F3536C" w:rsidRPr="00A4272B" w:rsidRDefault="00F3536C" w:rsidP="006B1FE4">
      <w:pPr>
        <w:rPr>
          <w:sz w:val="18"/>
          <w:szCs w:val="18"/>
          <w:lang w:val="en-US"/>
        </w:rPr>
      </w:pPr>
      <w:r w:rsidRPr="00A4272B">
        <w:rPr>
          <w:sz w:val="18"/>
          <w:szCs w:val="18"/>
          <w:lang w:val="en-US"/>
        </w:rPr>
        <w:t>L.M. van Mourik, et al. (2015). Recent developments in capabilities for analysing chlorinated paraffins in environmental matrices: A review, Chemosphere 136, 259–272</w:t>
      </w:r>
      <w:r w:rsidR="00C02A15" w:rsidRPr="00A4272B">
        <w:rPr>
          <w:sz w:val="18"/>
          <w:szCs w:val="18"/>
          <w:lang w:val="en-US"/>
        </w:rPr>
        <w:t>.</w:t>
      </w:r>
    </w:p>
    <w:p w14:paraId="62473A39" w14:textId="1FCC0967" w:rsidR="00F3536C" w:rsidRPr="00A4272B" w:rsidRDefault="00F3536C" w:rsidP="006B1FE4">
      <w:pPr>
        <w:rPr>
          <w:sz w:val="18"/>
          <w:szCs w:val="18"/>
          <w:lang w:val="en-US"/>
        </w:rPr>
      </w:pPr>
      <w:r w:rsidRPr="00A4272B">
        <w:rPr>
          <w:sz w:val="18"/>
          <w:szCs w:val="18"/>
          <w:lang w:val="en-US"/>
        </w:rPr>
        <w:t>B. Yuan et al. (2019). Methods for trace analysis of short-, medium-, and long-chain chlorinated paraffins: Critical review and recommendations, Analytica Chimica Acta 1074, 16-32</w:t>
      </w:r>
      <w:r w:rsidR="00C02A15" w:rsidRPr="00A4272B">
        <w:rPr>
          <w:sz w:val="18"/>
          <w:szCs w:val="18"/>
          <w:lang w:val="en-US"/>
        </w:rPr>
        <w:t>.</w:t>
      </w:r>
    </w:p>
    <w:p w14:paraId="61919989" w14:textId="7B8E5E7E" w:rsidR="00F3536C" w:rsidRPr="00A4272B" w:rsidRDefault="00F3536C" w:rsidP="006B1FE4">
      <w:pPr>
        <w:rPr>
          <w:sz w:val="18"/>
          <w:szCs w:val="18"/>
          <w:lang w:val="en-US"/>
        </w:rPr>
      </w:pPr>
      <w:r w:rsidRPr="00A4272B">
        <w:rPr>
          <w:sz w:val="18"/>
          <w:szCs w:val="18"/>
          <w:lang w:val="en-US"/>
        </w:rPr>
        <w:t>T. Takasuga, et al. (2011). Analysis of short-chain chlorinated paraffins (SCCPs) by GC/HRMS (NCI) with GC-HRTOF-MS applied food samples, Organohalogen Comp., 73, 981-984</w:t>
      </w:r>
      <w:r w:rsidR="00C02A15" w:rsidRPr="00A4272B">
        <w:rPr>
          <w:sz w:val="18"/>
          <w:szCs w:val="18"/>
          <w:lang w:val="en-US"/>
        </w:rPr>
        <w:t>.</w:t>
      </w:r>
    </w:p>
    <w:p w14:paraId="29BC0E23" w14:textId="77777777" w:rsidR="00F3536C" w:rsidRPr="00A4272B" w:rsidRDefault="00F3536C" w:rsidP="006B1FE4">
      <w:pPr>
        <w:rPr>
          <w:sz w:val="18"/>
          <w:szCs w:val="18"/>
          <w:lang w:val="en-US"/>
        </w:rPr>
      </w:pPr>
      <w:r w:rsidRPr="00A4272B">
        <w:rPr>
          <w:sz w:val="18"/>
          <w:szCs w:val="18"/>
          <w:lang w:val="en-US"/>
        </w:rPr>
        <w:t>B. Yuan, et al. (2017). Quantifying Short-Chain Chlorinated Paraffin Congener Groups, Environ. Sci. Technol., 51, 10633-10641</w:t>
      </w:r>
    </w:p>
    <w:p w14:paraId="2E7727BD" w14:textId="709AEF81" w:rsidR="00F3536C" w:rsidRPr="00A4272B" w:rsidRDefault="00F3536C" w:rsidP="006B1FE4">
      <w:pPr>
        <w:rPr>
          <w:sz w:val="18"/>
          <w:szCs w:val="18"/>
          <w:lang w:val="en-US"/>
        </w:rPr>
      </w:pPr>
      <w:r w:rsidRPr="00A4272B">
        <w:rPr>
          <w:sz w:val="18"/>
          <w:szCs w:val="18"/>
          <w:lang w:val="en-US"/>
        </w:rPr>
        <w:t xml:space="preserve">D. Xia, et al. (2014). Separation and screening of short-chain chlorinated paraffins in environmental samples using comprehensive </w:t>
      </w:r>
      <w:r w:rsidR="003916DE" w:rsidRPr="00A4272B">
        <w:rPr>
          <w:sz w:val="18"/>
          <w:szCs w:val="18"/>
          <w:lang w:val="en-US"/>
        </w:rPr>
        <w:t>two-dimensional</w:t>
      </w:r>
      <w:r w:rsidRPr="00A4272B">
        <w:rPr>
          <w:sz w:val="18"/>
          <w:szCs w:val="18"/>
          <w:lang w:val="en-US"/>
        </w:rPr>
        <w:t xml:space="preserve"> gas chromatography with micro electron capture detection, Anal. Bioanal. Chem. 406, 7561-7570</w:t>
      </w:r>
      <w:r w:rsidR="00C02A15" w:rsidRPr="00A4272B">
        <w:rPr>
          <w:sz w:val="18"/>
          <w:szCs w:val="18"/>
          <w:lang w:val="en-US"/>
        </w:rPr>
        <w:t>.</w:t>
      </w:r>
    </w:p>
    <w:p w14:paraId="2C3C3B07" w14:textId="75B8DD94" w:rsidR="00F3536C" w:rsidRPr="00A4272B" w:rsidRDefault="00F3536C" w:rsidP="006B1FE4">
      <w:pPr>
        <w:rPr>
          <w:sz w:val="18"/>
          <w:szCs w:val="18"/>
          <w:lang w:val="en-US"/>
        </w:rPr>
      </w:pPr>
      <w:r w:rsidRPr="00A4272B">
        <w:rPr>
          <w:sz w:val="18"/>
          <w:szCs w:val="18"/>
          <w:lang w:val="en-US"/>
        </w:rPr>
        <w:t>D. Xia, et al. (2016). A Novel method for profiling and quantifying short- and medium-chain chlorinated paraffins in environmental samples using comprehensive two-dimensional gas chromatography-electron capture negative ionization high-resolution time-of-flight mass spectrometry., Environ. Sci. Technol., 50, 7601-7609</w:t>
      </w:r>
      <w:r w:rsidR="00C02A15" w:rsidRPr="00A4272B">
        <w:rPr>
          <w:sz w:val="18"/>
          <w:szCs w:val="18"/>
          <w:lang w:val="en-US"/>
        </w:rPr>
        <w:t>.</w:t>
      </w:r>
    </w:p>
    <w:p w14:paraId="1DB14C51" w14:textId="30CE4EFC" w:rsidR="00F3536C" w:rsidRPr="00A4272B" w:rsidRDefault="00F3536C" w:rsidP="006B1FE4">
      <w:pPr>
        <w:rPr>
          <w:sz w:val="18"/>
          <w:szCs w:val="18"/>
          <w:lang w:val="en-US"/>
        </w:rPr>
      </w:pPr>
      <w:r w:rsidRPr="00A4272B">
        <w:rPr>
          <w:sz w:val="18"/>
          <w:szCs w:val="18"/>
          <w:lang w:val="en-US"/>
        </w:rPr>
        <w:t>N. Hanari, T. Nakano (2019). Preliminary results of interlaboratory comparison of short chain chlorinated paraffin in technical formulation prepared as candidate reference material, Organohalogen Comp. 81, 340-343</w:t>
      </w:r>
      <w:r w:rsidR="00C02A15" w:rsidRPr="00A4272B">
        <w:rPr>
          <w:sz w:val="18"/>
          <w:szCs w:val="18"/>
          <w:lang w:val="en-US"/>
        </w:rPr>
        <w:t>.</w:t>
      </w:r>
    </w:p>
    <w:p w14:paraId="35C991EC" w14:textId="6DFCC3A4" w:rsidR="00F3536C" w:rsidRPr="00A4272B" w:rsidRDefault="00F3536C" w:rsidP="006B1FE4">
      <w:pPr>
        <w:rPr>
          <w:sz w:val="18"/>
          <w:szCs w:val="18"/>
          <w:lang w:val="en-US"/>
        </w:rPr>
      </w:pPr>
      <w:r w:rsidRPr="00A4272B">
        <w:rPr>
          <w:sz w:val="18"/>
          <w:szCs w:val="18"/>
          <w:lang w:val="en-US"/>
        </w:rPr>
        <w:t>H. Matsukami, et al. (2010). Liquid chromatography–electrospray ionization-tandem mass spectrometry for the determination of short-chain chlorinate</w:t>
      </w:r>
      <w:r w:rsidR="00C96212" w:rsidRPr="00A4272B">
        <w:rPr>
          <w:sz w:val="18"/>
          <w:szCs w:val="18"/>
          <w:lang w:val="en-US"/>
        </w:rPr>
        <w:t>d</w:t>
      </w:r>
      <w:r w:rsidRPr="00A4272B">
        <w:rPr>
          <w:sz w:val="18"/>
          <w:szCs w:val="18"/>
          <w:lang w:val="en-US"/>
        </w:rPr>
        <w:t xml:space="preserve"> paraffins in mixed plastic wastes, Chemosphere 244 (2020) 125531.</w:t>
      </w:r>
    </w:p>
    <w:p w14:paraId="10EFE40D" w14:textId="48F9C383" w:rsidR="00F3536C" w:rsidRPr="00A4272B" w:rsidRDefault="00F3536C" w:rsidP="006B1FE4">
      <w:pPr>
        <w:rPr>
          <w:sz w:val="18"/>
          <w:szCs w:val="18"/>
          <w:lang w:val="en-US"/>
        </w:rPr>
      </w:pPr>
      <w:r w:rsidRPr="00A4272B">
        <w:rPr>
          <w:sz w:val="18"/>
          <w:szCs w:val="18"/>
          <w:lang w:val="en-US"/>
        </w:rPr>
        <w:t>K. Krätschmer, et al. (2018). Chlorinated paraffin analysis by gas chromatography Orbitrap high-resolution mass spectrometry: Method performance, investigation of possible interferences and analysis of fish samples, J. Chromatogr. A., 1539, 53-61</w:t>
      </w:r>
      <w:r w:rsidR="00C02A15" w:rsidRPr="00A4272B">
        <w:rPr>
          <w:sz w:val="18"/>
          <w:szCs w:val="18"/>
          <w:lang w:val="en-US"/>
        </w:rPr>
        <w:t>.</w:t>
      </w:r>
    </w:p>
    <w:p w14:paraId="5E0C8DFA" w14:textId="44F3686C" w:rsidR="00F3536C" w:rsidRPr="00A4272B" w:rsidRDefault="00F3536C" w:rsidP="006B1FE4">
      <w:pPr>
        <w:rPr>
          <w:sz w:val="18"/>
          <w:szCs w:val="18"/>
          <w:lang w:val="en-US"/>
        </w:rPr>
      </w:pPr>
      <w:r w:rsidRPr="00A4272B">
        <w:rPr>
          <w:sz w:val="18"/>
          <w:szCs w:val="18"/>
          <w:lang w:val="en-US"/>
        </w:rPr>
        <w:t>Ministry of the Environment, Japan (2005). Report of development of analytical methods for chemicals, method no. 11313, “Short-chain chlorinated paraffins” (in Japanese with one page English summary) https://www.nies.go.jp/kisplus/images/bunseki/pdfs/kurohon/2004/adoc2004-2-204.pdf</w:t>
      </w:r>
      <w:r w:rsidR="00C02A15" w:rsidRPr="00A4272B">
        <w:rPr>
          <w:sz w:val="18"/>
          <w:szCs w:val="18"/>
          <w:lang w:val="en-US"/>
        </w:rPr>
        <w:t>.</w:t>
      </w:r>
    </w:p>
    <w:p w14:paraId="22AFA60F" w14:textId="03DEDC1B" w:rsidR="00F3536C" w:rsidRPr="00A4272B" w:rsidRDefault="00F3536C" w:rsidP="00766D08">
      <w:pPr>
        <w:outlineLvl w:val="2"/>
        <w:rPr>
          <w:b/>
          <w:bCs/>
          <w:sz w:val="18"/>
          <w:szCs w:val="18"/>
          <w:lang w:val="en-US"/>
        </w:rPr>
      </w:pPr>
      <w:r w:rsidRPr="00A4272B">
        <w:rPr>
          <w:b/>
          <w:bCs/>
          <w:sz w:val="18"/>
          <w:szCs w:val="18"/>
          <w:lang w:val="en-US"/>
        </w:rPr>
        <w:t xml:space="preserve">Analytical </w:t>
      </w:r>
      <w:r w:rsidR="00F80B8B" w:rsidRPr="00A4272B">
        <w:rPr>
          <w:b/>
          <w:bCs/>
          <w:sz w:val="18"/>
          <w:szCs w:val="18"/>
          <w:lang w:val="en-US"/>
        </w:rPr>
        <w:t>m</w:t>
      </w:r>
      <w:r w:rsidRPr="00A4272B">
        <w:rPr>
          <w:b/>
          <w:bCs/>
          <w:sz w:val="18"/>
          <w:szCs w:val="18"/>
          <w:lang w:val="en-US"/>
        </w:rPr>
        <w:t xml:space="preserve">ethods for POPs </w:t>
      </w:r>
      <w:r w:rsidR="00F80B8B" w:rsidRPr="00A4272B">
        <w:rPr>
          <w:b/>
          <w:bCs/>
          <w:sz w:val="18"/>
          <w:szCs w:val="18"/>
          <w:lang w:val="en-US"/>
        </w:rPr>
        <w:t>p</w:t>
      </w:r>
      <w:r w:rsidRPr="00A4272B">
        <w:rPr>
          <w:b/>
          <w:bCs/>
          <w:sz w:val="18"/>
          <w:szCs w:val="18"/>
          <w:lang w:val="en-US"/>
        </w:rPr>
        <w:t>esticides</w:t>
      </w:r>
    </w:p>
    <w:p w14:paraId="4782590D" w14:textId="1E16772A" w:rsidR="00F3536C" w:rsidRPr="00A4272B" w:rsidRDefault="00F3536C" w:rsidP="006B1FE4">
      <w:pPr>
        <w:rPr>
          <w:sz w:val="18"/>
          <w:szCs w:val="18"/>
          <w:lang w:val="en-US"/>
        </w:rPr>
      </w:pPr>
      <w:r w:rsidRPr="00A4272B">
        <w:rPr>
          <w:sz w:val="18"/>
          <w:szCs w:val="18"/>
          <w:lang w:val="en-US"/>
        </w:rPr>
        <w:t>AOAC Official Method 970.52 Organochlorine and Organophosphorous Pesticide Residue Method. General Multiresidue Method. 2005 AOAC International</w:t>
      </w:r>
      <w:r w:rsidR="00C02A15" w:rsidRPr="00A4272B">
        <w:rPr>
          <w:sz w:val="18"/>
          <w:szCs w:val="18"/>
          <w:lang w:val="en-US"/>
        </w:rPr>
        <w:t>.</w:t>
      </w:r>
    </w:p>
    <w:p w14:paraId="6E9F2C20" w14:textId="39D7925B" w:rsidR="00F3536C" w:rsidRPr="00A4272B" w:rsidRDefault="00F3536C" w:rsidP="006B1FE4">
      <w:pPr>
        <w:rPr>
          <w:sz w:val="18"/>
          <w:szCs w:val="18"/>
          <w:lang w:val="en-US"/>
        </w:rPr>
      </w:pPr>
      <w:r w:rsidRPr="00A4272B">
        <w:rPr>
          <w:sz w:val="18"/>
          <w:szCs w:val="18"/>
          <w:lang w:val="en-US"/>
        </w:rPr>
        <w:t>AOAC Official Method 955.22 Organochlorine and Organophosphorous Pesticide Residue Method. 2005 AOAC International</w:t>
      </w:r>
      <w:r w:rsidR="00C02A15" w:rsidRPr="00A4272B">
        <w:rPr>
          <w:sz w:val="18"/>
          <w:szCs w:val="18"/>
          <w:lang w:val="en-US"/>
        </w:rPr>
        <w:t>.</w:t>
      </w:r>
    </w:p>
    <w:p w14:paraId="43C58998" w14:textId="77777777" w:rsidR="00F3536C" w:rsidRPr="00A4272B" w:rsidRDefault="00F3536C" w:rsidP="006B1FE4">
      <w:pPr>
        <w:rPr>
          <w:sz w:val="18"/>
          <w:szCs w:val="18"/>
          <w:lang w:val="en-US"/>
        </w:rPr>
      </w:pPr>
      <w:r w:rsidRPr="00A4272B">
        <w:rPr>
          <w:sz w:val="18"/>
          <w:szCs w:val="18"/>
          <w:lang w:val="en-US"/>
        </w:rPr>
        <w:t>European Commission, SANTE/11813/2017: Guidance document on analytical quality control and method validation procedures for pesticide residues and analysis in food and feed.</w:t>
      </w:r>
    </w:p>
    <w:p w14:paraId="0C3C6FF4" w14:textId="2D96A214" w:rsidR="00F3536C" w:rsidRPr="00A4272B" w:rsidRDefault="00F3536C" w:rsidP="006B1FE4">
      <w:pPr>
        <w:rPr>
          <w:sz w:val="18"/>
          <w:szCs w:val="18"/>
          <w:lang w:val="en-US"/>
        </w:rPr>
      </w:pPr>
      <w:r w:rsidRPr="00A4272B">
        <w:rPr>
          <w:sz w:val="18"/>
          <w:szCs w:val="18"/>
          <w:lang w:val="en-US"/>
        </w:rPr>
        <w:t>ISO 6468 (1996) Water quality – Determination of certain organochlorine insecticides, polychlorinated biphenyls and chlorobenzenes – Gas chromatographic method after liquid-liquid extraction</w:t>
      </w:r>
      <w:r w:rsidR="00C02A15" w:rsidRPr="00A4272B">
        <w:rPr>
          <w:sz w:val="18"/>
          <w:szCs w:val="18"/>
          <w:lang w:val="en-US"/>
        </w:rPr>
        <w:t>.</w:t>
      </w:r>
    </w:p>
    <w:p w14:paraId="059F8E0E" w14:textId="608A1D65" w:rsidR="00F3536C" w:rsidRPr="00A4272B" w:rsidRDefault="00F3536C" w:rsidP="006B1FE4">
      <w:pPr>
        <w:rPr>
          <w:sz w:val="18"/>
          <w:szCs w:val="18"/>
          <w:lang w:val="en-US"/>
        </w:rPr>
      </w:pPr>
      <w:r w:rsidRPr="00A4272B">
        <w:rPr>
          <w:sz w:val="18"/>
          <w:szCs w:val="18"/>
          <w:lang w:val="en-US"/>
        </w:rPr>
        <w:t>ISO 10382 (2002): Soil quality – Determination of organochlorine pesticides and polychlorinated biphenyls – Gas-chromatographic method with electron capture detection</w:t>
      </w:r>
      <w:r w:rsidR="00C02A15" w:rsidRPr="00A4272B">
        <w:rPr>
          <w:sz w:val="18"/>
          <w:szCs w:val="18"/>
          <w:lang w:val="en-US"/>
        </w:rPr>
        <w:t>.</w:t>
      </w:r>
    </w:p>
    <w:p w14:paraId="55195B38" w14:textId="0D8CAFD9" w:rsidR="00F3536C" w:rsidRPr="00A4272B" w:rsidRDefault="00274A8B" w:rsidP="006B1FE4">
      <w:pPr>
        <w:rPr>
          <w:sz w:val="18"/>
          <w:szCs w:val="18"/>
          <w:lang w:val="en-US"/>
        </w:rPr>
      </w:pPr>
      <w:r w:rsidRPr="00A4272B">
        <w:rPr>
          <w:sz w:val="18"/>
          <w:szCs w:val="18"/>
          <w:lang w:val="en-US"/>
        </w:rPr>
        <w:t xml:space="preserve">US </w:t>
      </w:r>
      <w:r w:rsidR="00F3536C" w:rsidRPr="00A4272B">
        <w:rPr>
          <w:sz w:val="18"/>
          <w:szCs w:val="18"/>
          <w:lang w:val="en-US"/>
        </w:rPr>
        <w:t>EPA Method 8081A: Organochlorine Pesticides by Gas Chromatogaphy (and ECD)</w:t>
      </w:r>
      <w:r w:rsidR="00C02A15" w:rsidRPr="00A4272B">
        <w:rPr>
          <w:sz w:val="18"/>
          <w:szCs w:val="18"/>
          <w:lang w:val="en-US"/>
        </w:rPr>
        <w:t>.</w:t>
      </w:r>
    </w:p>
    <w:p w14:paraId="48CD4CA8" w14:textId="563DE563" w:rsidR="00F3536C" w:rsidRPr="00A4272B" w:rsidRDefault="00F3536C" w:rsidP="00766D08">
      <w:pPr>
        <w:outlineLvl w:val="2"/>
        <w:rPr>
          <w:b/>
          <w:bCs/>
          <w:sz w:val="18"/>
          <w:szCs w:val="18"/>
          <w:lang w:val="en-US"/>
        </w:rPr>
      </w:pPr>
      <w:r w:rsidRPr="00A4272B">
        <w:rPr>
          <w:b/>
          <w:bCs/>
          <w:sz w:val="18"/>
          <w:szCs w:val="18"/>
          <w:lang w:val="en-US"/>
        </w:rPr>
        <w:t xml:space="preserve">Analytical </w:t>
      </w:r>
      <w:r w:rsidR="00F80B8B" w:rsidRPr="00A4272B">
        <w:rPr>
          <w:b/>
          <w:bCs/>
          <w:sz w:val="18"/>
          <w:szCs w:val="18"/>
          <w:lang w:val="en-US"/>
        </w:rPr>
        <w:t>m</w:t>
      </w:r>
      <w:r w:rsidRPr="00A4272B">
        <w:rPr>
          <w:b/>
          <w:bCs/>
          <w:sz w:val="18"/>
          <w:szCs w:val="18"/>
          <w:lang w:val="en-US"/>
        </w:rPr>
        <w:t>ethods for PCB</w:t>
      </w:r>
      <w:r w:rsidR="00BD058A" w:rsidRPr="00A4272B">
        <w:rPr>
          <w:b/>
          <w:bCs/>
          <w:sz w:val="18"/>
          <w:szCs w:val="18"/>
          <w:lang w:val="en-US"/>
        </w:rPr>
        <w:t>s</w:t>
      </w:r>
    </w:p>
    <w:p w14:paraId="0702B6A8" w14:textId="181252C5" w:rsidR="00F3536C" w:rsidRPr="00A4272B" w:rsidRDefault="00F3536C" w:rsidP="006B1FE4">
      <w:pPr>
        <w:rPr>
          <w:sz w:val="18"/>
          <w:szCs w:val="18"/>
          <w:lang w:val="en-US"/>
        </w:rPr>
      </w:pPr>
      <w:r w:rsidRPr="00A4272B">
        <w:rPr>
          <w:sz w:val="18"/>
          <w:szCs w:val="18"/>
          <w:lang w:val="en-US"/>
        </w:rPr>
        <w:t>DIN 38414-20 (1996): German standard methods for the examination of water, waste water and sludge - Sludge and sediments (group S) - Part 20: Determination of 6 polychlorinated biphenyls (PCB) (P 20)</w:t>
      </w:r>
      <w:r w:rsidR="00C02A15" w:rsidRPr="00A4272B">
        <w:rPr>
          <w:sz w:val="18"/>
          <w:szCs w:val="18"/>
          <w:lang w:val="en-US"/>
        </w:rPr>
        <w:t>.</w:t>
      </w:r>
    </w:p>
    <w:p w14:paraId="0E25F48B" w14:textId="1463C775" w:rsidR="00F3536C" w:rsidRPr="00A4272B" w:rsidRDefault="00F3536C" w:rsidP="006B1FE4">
      <w:pPr>
        <w:rPr>
          <w:sz w:val="18"/>
          <w:szCs w:val="18"/>
          <w:lang w:val="en-US"/>
        </w:rPr>
      </w:pPr>
      <w:r w:rsidRPr="00A4272B">
        <w:rPr>
          <w:sz w:val="18"/>
          <w:szCs w:val="18"/>
          <w:lang w:val="en-US"/>
        </w:rPr>
        <w:t>EN 12766-1 (2000): Petroleum products and used oils – Determination of PCBs and related products – Part 1: Separation and determination of selected PCB congeners by gas chromatography (GC) using an electron capture detector (ECD)</w:t>
      </w:r>
      <w:r w:rsidR="00C02A15" w:rsidRPr="00A4272B">
        <w:rPr>
          <w:sz w:val="18"/>
          <w:szCs w:val="18"/>
          <w:lang w:val="en-US"/>
        </w:rPr>
        <w:t>.</w:t>
      </w:r>
      <w:r w:rsidRPr="00A4272B">
        <w:rPr>
          <w:sz w:val="18"/>
          <w:szCs w:val="18"/>
          <w:lang w:val="en-US"/>
        </w:rPr>
        <w:t xml:space="preserve"> </w:t>
      </w:r>
    </w:p>
    <w:p w14:paraId="61234419" w14:textId="18F1EED3" w:rsidR="00F3536C" w:rsidRPr="00A4272B" w:rsidRDefault="00F3536C" w:rsidP="006B1FE4">
      <w:pPr>
        <w:rPr>
          <w:sz w:val="18"/>
          <w:szCs w:val="18"/>
          <w:lang w:val="en-US"/>
        </w:rPr>
      </w:pPr>
      <w:r w:rsidRPr="00A4272B">
        <w:rPr>
          <w:sz w:val="18"/>
          <w:szCs w:val="18"/>
          <w:lang w:val="en-US"/>
        </w:rPr>
        <w:t>EN 12766-2 (2001): Petroleum products and used oils – Determination of PCBs and related products – Part 2: Calculation of polychlorinated biphenyl (PCB) content</w:t>
      </w:r>
      <w:r w:rsidR="00C02A15" w:rsidRPr="00A4272B">
        <w:rPr>
          <w:sz w:val="18"/>
          <w:szCs w:val="18"/>
          <w:lang w:val="en-US"/>
        </w:rPr>
        <w:t>.</w:t>
      </w:r>
    </w:p>
    <w:p w14:paraId="20F8577D" w14:textId="4D56E091" w:rsidR="00F3536C" w:rsidRPr="00A4272B" w:rsidRDefault="00F3536C" w:rsidP="006B1FE4">
      <w:pPr>
        <w:rPr>
          <w:sz w:val="18"/>
          <w:szCs w:val="18"/>
          <w:lang w:val="en-US"/>
        </w:rPr>
      </w:pPr>
      <w:r w:rsidRPr="00A4272B">
        <w:rPr>
          <w:sz w:val="18"/>
          <w:szCs w:val="18"/>
          <w:lang w:val="en-US"/>
        </w:rPr>
        <w:lastRenderedPageBreak/>
        <w:t>EN 61619 (2004): Insulating liquids – Contamination by polychlorinated biphenyls (PCBs) – Method of determination by capillary column gas chromatography</w:t>
      </w:r>
      <w:r w:rsidR="00C02A15" w:rsidRPr="00A4272B">
        <w:rPr>
          <w:sz w:val="18"/>
          <w:szCs w:val="18"/>
          <w:lang w:val="en-US"/>
        </w:rPr>
        <w:t>.</w:t>
      </w:r>
    </w:p>
    <w:p w14:paraId="2D002914" w14:textId="56847E83" w:rsidR="00F3536C" w:rsidRPr="00A4272B" w:rsidRDefault="00F3536C" w:rsidP="006B1FE4">
      <w:pPr>
        <w:rPr>
          <w:sz w:val="18"/>
          <w:szCs w:val="18"/>
          <w:lang w:val="en-US"/>
        </w:rPr>
      </w:pPr>
      <w:r w:rsidRPr="00A4272B">
        <w:rPr>
          <w:sz w:val="18"/>
          <w:szCs w:val="18"/>
          <w:lang w:val="en-US"/>
        </w:rPr>
        <w:t>ISO 6468 (1996) Water quality – Determination of certain organochlorine insecticides, polychlorinated biphenyls and chlorobenzenes – Gas chromatographic method after liquid-liquid extraction</w:t>
      </w:r>
      <w:r w:rsidR="00C02A15" w:rsidRPr="00A4272B">
        <w:rPr>
          <w:sz w:val="18"/>
          <w:szCs w:val="18"/>
          <w:lang w:val="en-US"/>
        </w:rPr>
        <w:t>.</w:t>
      </w:r>
    </w:p>
    <w:p w14:paraId="7A34C179" w14:textId="47E3695D" w:rsidR="00F3536C" w:rsidRPr="00A4272B" w:rsidRDefault="00F3536C" w:rsidP="006B1FE4">
      <w:pPr>
        <w:rPr>
          <w:sz w:val="18"/>
          <w:szCs w:val="18"/>
          <w:lang w:val="en-US"/>
        </w:rPr>
      </w:pPr>
      <w:r w:rsidRPr="00A4272B">
        <w:rPr>
          <w:sz w:val="18"/>
          <w:szCs w:val="18"/>
          <w:lang w:val="en-US"/>
        </w:rPr>
        <w:t>ISO 10382 (2002): Soil quality – Determination of organochlorine pesticides and polychlorinated biphenyls – Gas-chromatographic method with electron capture detection</w:t>
      </w:r>
      <w:r w:rsidR="00C02A15" w:rsidRPr="00A4272B">
        <w:rPr>
          <w:sz w:val="18"/>
          <w:szCs w:val="18"/>
          <w:lang w:val="en-US"/>
        </w:rPr>
        <w:t>.</w:t>
      </w:r>
    </w:p>
    <w:p w14:paraId="54EF3DA9" w14:textId="3707F8E0" w:rsidR="00F3536C" w:rsidRPr="00A4272B" w:rsidRDefault="00F3536C" w:rsidP="006B1FE4">
      <w:pPr>
        <w:rPr>
          <w:sz w:val="18"/>
          <w:szCs w:val="18"/>
          <w:lang w:val="en-US"/>
        </w:rPr>
      </w:pPr>
      <w:r w:rsidRPr="00A4272B">
        <w:rPr>
          <w:sz w:val="18"/>
          <w:szCs w:val="18"/>
          <w:lang w:val="en-US"/>
        </w:rPr>
        <w:t>JIS K 0093 (2002): Testing method for polychlorobiphenyl in industrial water and wastewater</w:t>
      </w:r>
      <w:r w:rsidR="00C02A15" w:rsidRPr="00A4272B">
        <w:rPr>
          <w:sz w:val="18"/>
          <w:szCs w:val="18"/>
          <w:lang w:val="en-US"/>
        </w:rPr>
        <w:t>.</w:t>
      </w:r>
    </w:p>
    <w:p w14:paraId="791D5C3A" w14:textId="79672FD6" w:rsidR="00F3536C" w:rsidRPr="00A4272B" w:rsidRDefault="00F3536C" w:rsidP="00274A8B">
      <w:pPr>
        <w:outlineLvl w:val="2"/>
        <w:rPr>
          <w:b/>
          <w:bCs/>
          <w:sz w:val="18"/>
          <w:szCs w:val="18"/>
          <w:lang w:val="en-US"/>
        </w:rPr>
      </w:pPr>
      <w:r w:rsidRPr="00A4272B">
        <w:rPr>
          <w:b/>
          <w:bCs/>
          <w:sz w:val="18"/>
          <w:szCs w:val="18"/>
          <w:lang w:val="en-US"/>
        </w:rPr>
        <w:t xml:space="preserve">Analytical Methods for </w:t>
      </w:r>
      <w:r w:rsidR="0051584B" w:rsidRPr="00A4272B">
        <w:rPr>
          <w:b/>
          <w:bCs/>
          <w:sz w:val="18"/>
          <w:szCs w:val="18"/>
          <w:lang w:val="en-US"/>
        </w:rPr>
        <w:t>PCDDs/Fs</w:t>
      </w:r>
      <w:r w:rsidRPr="00A4272B">
        <w:rPr>
          <w:b/>
          <w:bCs/>
          <w:sz w:val="18"/>
          <w:szCs w:val="18"/>
          <w:lang w:val="en-US"/>
        </w:rPr>
        <w:t xml:space="preserve"> and dl-PCB</w:t>
      </w:r>
    </w:p>
    <w:p w14:paraId="39BC6F37" w14:textId="77777777" w:rsidR="00274A8B" w:rsidRPr="00A4272B" w:rsidRDefault="00274A8B" w:rsidP="00274A8B">
      <w:pPr>
        <w:rPr>
          <w:sz w:val="18"/>
          <w:szCs w:val="18"/>
          <w:lang w:val="en-US"/>
        </w:rPr>
      </w:pPr>
      <w:r w:rsidRPr="00A4272B">
        <w:rPr>
          <w:sz w:val="18"/>
          <w:szCs w:val="18"/>
          <w:lang w:val="en-US"/>
        </w:rPr>
        <w:t>de Boer, J., Duinker, J.C., Calder, J.A., van der Meer, J., 1992. Inter-laboratory study on the analysis of chlorobiphenyl congeners. Journal of the Association of Official Analytical Chemists, 75:1054-1062.</w:t>
      </w:r>
    </w:p>
    <w:p w14:paraId="2683E33F" w14:textId="77777777" w:rsidR="00274A8B" w:rsidRPr="00A4272B" w:rsidRDefault="00274A8B" w:rsidP="00274A8B">
      <w:pPr>
        <w:rPr>
          <w:sz w:val="18"/>
          <w:szCs w:val="18"/>
          <w:lang w:val="en-US"/>
        </w:rPr>
      </w:pPr>
      <w:r w:rsidRPr="00A4272B">
        <w:rPr>
          <w:sz w:val="18"/>
          <w:szCs w:val="18"/>
          <w:lang w:val="en-US"/>
        </w:rPr>
        <w:t>de Boer, J., van der Meer, J., Reutergårdh, L., Calder, J.A., 1994. Inter-laboratory study on the determination of chlorobiphenyls in cleaned-up seal blubber and marine sediment extracts. Journal of the Association of Official Analytical Chemists, 77:1411-1422.</w:t>
      </w:r>
    </w:p>
    <w:p w14:paraId="329A0B99" w14:textId="77777777" w:rsidR="00274A8B" w:rsidRPr="00A4272B" w:rsidRDefault="00274A8B" w:rsidP="00274A8B">
      <w:pPr>
        <w:rPr>
          <w:sz w:val="18"/>
          <w:szCs w:val="18"/>
          <w:lang w:val="en-US"/>
        </w:rPr>
      </w:pPr>
      <w:r w:rsidRPr="00A4272B">
        <w:rPr>
          <w:sz w:val="18"/>
          <w:szCs w:val="18"/>
          <w:lang w:val="en-US"/>
        </w:rPr>
        <w:t>de Boer, J., van der Meer, J., Brinkman, U.A.Th., 1996. Determination of chlorobiphenyls in seal blubber, marine sediment and fish: Interlaboratory study. Journal of the Association of Official Analytical Chemists,79: 83-96.</w:t>
      </w:r>
    </w:p>
    <w:p w14:paraId="7AC4D806" w14:textId="77777777" w:rsidR="00274A8B" w:rsidRPr="00A4272B" w:rsidRDefault="00274A8B" w:rsidP="00274A8B">
      <w:pPr>
        <w:rPr>
          <w:sz w:val="18"/>
          <w:szCs w:val="18"/>
          <w:lang w:val="en-US"/>
        </w:rPr>
      </w:pPr>
      <w:r w:rsidRPr="00A4272B">
        <w:rPr>
          <w:sz w:val="18"/>
          <w:szCs w:val="18"/>
          <w:lang w:val="en-US"/>
        </w:rPr>
        <w:t>de Boer, J., Oehme, M., Smith, K., Wells, D.E., 2000. Results of the QUASIMEME toxaphene inter-laboratory studies. Chemosphere, 41:493-497.</w:t>
      </w:r>
    </w:p>
    <w:p w14:paraId="1D482B5C" w14:textId="77777777" w:rsidR="00F3536C" w:rsidRPr="00A4272B" w:rsidRDefault="00F3536C" w:rsidP="006B1FE4">
      <w:pPr>
        <w:rPr>
          <w:sz w:val="18"/>
          <w:szCs w:val="18"/>
          <w:lang w:val="en-US"/>
        </w:rPr>
      </w:pPr>
      <w:r w:rsidRPr="00A4272B">
        <w:rPr>
          <w:sz w:val="18"/>
          <w:szCs w:val="18"/>
          <w:lang w:val="en-US"/>
        </w:rPr>
        <w:t>Helsel, D.R. and Hirsch, R.M., 1995. Statistical Methods in Water Resources. Studies in Environmental Sciences 49. Elsevier, Amsterdam.</w:t>
      </w:r>
    </w:p>
    <w:p w14:paraId="0D332C88" w14:textId="77777777" w:rsidR="00274A8B" w:rsidRPr="00A4272B" w:rsidRDefault="00274A8B" w:rsidP="00274A8B">
      <w:pPr>
        <w:rPr>
          <w:sz w:val="18"/>
          <w:szCs w:val="18"/>
          <w:lang w:val="en-US"/>
        </w:rPr>
      </w:pPr>
      <w:r w:rsidRPr="00A4272B">
        <w:rPr>
          <w:sz w:val="18"/>
          <w:szCs w:val="18"/>
          <w:lang w:val="en-US"/>
        </w:rPr>
        <w:t>ISO 18073 (2004): Water quality – Determination of tetra- to octa-chlorinated dioxins and furans – Method using isotope dilution HRGC/HRMS.</w:t>
      </w:r>
    </w:p>
    <w:p w14:paraId="5532B5B1" w14:textId="77777777" w:rsidR="00274A8B" w:rsidRPr="00A4272B" w:rsidRDefault="00274A8B" w:rsidP="00274A8B">
      <w:pPr>
        <w:rPr>
          <w:sz w:val="18"/>
          <w:szCs w:val="18"/>
          <w:lang w:val="en-US"/>
        </w:rPr>
      </w:pPr>
      <w:r w:rsidRPr="00A4272B">
        <w:rPr>
          <w:sz w:val="18"/>
          <w:szCs w:val="18"/>
          <w:lang w:val="en-US"/>
        </w:rPr>
        <w:t>IUPAC, 2002. Harmonized guidelines for single laboratory validation of methods of analysis. International Union of Pure and Applied Chemistry. Pure Appl. Chem., 74:835-855.</w:t>
      </w:r>
    </w:p>
    <w:p w14:paraId="53F2F104" w14:textId="77777777" w:rsidR="00274A8B" w:rsidRPr="00A4272B" w:rsidRDefault="00274A8B" w:rsidP="00274A8B">
      <w:pPr>
        <w:rPr>
          <w:sz w:val="18"/>
          <w:szCs w:val="18"/>
          <w:lang w:val="en-US"/>
        </w:rPr>
      </w:pPr>
      <w:r w:rsidRPr="00A4272B">
        <w:rPr>
          <w:sz w:val="18"/>
          <w:szCs w:val="18"/>
          <w:lang w:val="en-US"/>
        </w:rPr>
        <w:t>JEFCA, 2001. Summary and conclusions from the Joint FAO/WHO expert Committee on Food Additives, Fifty-seventh meeting, Rome, 5-14 June, 2001.</w:t>
      </w:r>
    </w:p>
    <w:p w14:paraId="74B43346" w14:textId="77777777" w:rsidR="00F3536C" w:rsidRPr="00A4272B" w:rsidRDefault="00F3536C" w:rsidP="006B1FE4">
      <w:pPr>
        <w:rPr>
          <w:sz w:val="18"/>
          <w:szCs w:val="18"/>
          <w:lang w:val="en-US"/>
        </w:rPr>
      </w:pPr>
      <w:r w:rsidRPr="00A4272B">
        <w:rPr>
          <w:sz w:val="18"/>
          <w:szCs w:val="18"/>
          <w:lang w:val="en-US"/>
        </w:rPr>
        <w:t>Jensen, S., Häggberg, L., Jörundsdottir, H., Odham, G., 2003. A quantitative lipid extraction method for the residue analysis of fish involving nonhalogenated solvents. J. Agric. Food Chem. 51:5607-5611.</w:t>
      </w:r>
    </w:p>
    <w:p w14:paraId="24425080" w14:textId="77777777" w:rsidR="00F3536C" w:rsidRPr="00A4272B" w:rsidRDefault="00F3536C" w:rsidP="006B1FE4">
      <w:pPr>
        <w:rPr>
          <w:sz w:val="18"/>
          <w:szCs w:val="18"/>
          <w:lang w:val="en-US"/>
        </w:rPr>
      </w:pPr>
      <w:r w:rsidRPr="00A4272B">
        <w:rPr>
          <w:sz w:val="18"/>
          <w:szCs w:val="18"/>
          <w:lang w:val="en-US"/>
        </w:rPr>
        <w:t>Nicholson, M., 1989. Analytical results: how accurate are they? How accurate should they be? Marine Pollution Bulletin, 20:33-40.</w:t>
      </w:r>
    </w:p>
    <w:p w14:paraId="7F31F14D" w14:textId="77777777" w:rsidR="00F3536C" w:rsidRPr="00A4272B" w:rsidRDefault="00F3536C" w:rsidP="006B1FE4">
      <w:pPr>
        <w:rPr>
          <w:sz w:val="18"/>
          <w:szCs w:val="18"/>
          <w:lang w:val="en-US"/>
        </w:rPr>
      </w:pPr>
      <w:r w:rsidRPr="00A4272B">
        <w:rPr>
          <w:sz w:val="18"/>
          <w:szCs w:val="18"/>
          <w:lang w:val="en-US"/>
        </w:rPr>
        <w:t>Thompson, M., Wood, R., 1993a. The international harmonized protocol for the proficiency testing of chemical analytical laboratories, Pure and Applied Chemistry, 65:2123-2144.</w:t>
      </w:r>
    </w:p>
    <w:p w14:paraId="3A031228" w14:textId="77777777" w:rsidR="00F3536C" w:rsidRPr="00A4272B" w:rsidRDefault="00F3536C" w:rsidP="006B1FE4">
      <w:pPr>
        <w:rPr>
          <w:sz w:val="18"/>
          <w:szCs w:val="18"/>
          <w:lang w:val="en-US"/>
        </w:rPr>
      </w:pPr>
      <w:r w:rsidRPr="00A4272B">
        <w:rPr>
          <w:sz w:val="18"/>
          <w:szCs w:val="18"/>
          <w:lang w:val="en-US"/>
        </w:rPr>
        <w:t>Thompson, M., Wood, R., 1993b. The international harmonized protocol for the proficiency testing of chemical analytical laboratories, Journal of the Association of Official Analytical Chemists, 76:926-940.</w:t>
      </w:r>
    </w:p>
    <w:p w14:paraId="451F31A1" w14:textId="77777777" w:rsidR="00274A8B" w:rsidRPr="00A4272B" w:rsidRDefault="00274A8B" w:rsidP="00274A8B">
      <w:pPr>
        <w:rPr>
          <w:sz w:val="18"/>
          <w:szCs w:val="18"/>
          <w:lang w:val="en-US"/>
        </w:rPr>
      </w:pPr>
      <w:r w:rsidRPr="00A4272B">
        <w:rPr>
          <w:sz w:val="18"/>
          <w:szCs w:val="18"/>
          <w:lang w:val="en-US"/>
        </w:rPr>
        <w:t>US EPA Method 1668, Revision A: Chlorinated Biphenyl Congeners in Water, Soil, Sediment, and Tissue by HRGC/HRMS, United States Office of Water, EPA No. EPA 821-R-00-002, Environmental Protection Agency (4303), December 1999.</w:t>
      </w:r>
    </w:p>
    <w:p w14:paraId="58BFBC29" w14:textId="77777777" w:rsidR="00274A8B" w:rsidRPr="00A4272B" w:rsidRDefault="00274A8B" w:rsidP="00274A8B">
      <w:pPr>
        <w:rPr>
          <w:sz w:val="18"/>
          <w:szCs w:val="18"/>
          <w:lang w:val="en-US"/>
        </w:rPr>
      </w:pPr>
      <w:r w:rsidRPr="00A4272B">
        <w:rPr>
          <w:sz w:val="18"/>
          <w:szCs w:val="18"/>
          <w:lang w:val="en-US"/>
        </w:rPr>
        <w:t>US EPA Method 8080: Organochlorine Pesticides and PCBs.</w:t>
      </w:r>
    </w:p>
    <w:p w14:paraId="4EA26675" w14:textId="14EA5128" w:rsidR="00274A8B" w:rsidRPr="00A4272B" w:rsidRDefault="00274A8B" w:rsidP="00274A8B">
      <w:pPr>
        <w:rPr>
          <w:sz w:val="18"/>
          <w:szCs w:val="18"/>
          <w:lang w:val="en-US"/>
        </w:rPr>
      </w:pPr>
      <w:r w:rsidRPr="00A4272B">
        <w:rPr>
          <w:sz w:val="18"/>
          <w:szCs w:val="18"/>
          <w:lang w:val="en-US"/>
        </w:rPr>
        <w:t>US EPA Method 8082: Polychlorinated biphenyls (PCBs) by gas chromatography</w:t>
      </w:r>
      <w:r w:rsidR="00C96212" w:rsidRPr="00A4272B">
        <w:rPr>
          <w:sz w:val="18"/>
          <w:szCs w:val="18"/>
          <w:lang w:val="en-US"/>
        </w:rPr>
        <w:t>.</w:t>
      </w:r>
      <w:r w:rsidRPr="00A4272B">
        <w:rPr>
          <w:sz w:val="18"/>
          <w:szCs w:val="18"/>
          <w:lang w:val="en-US"/>
        </w:rPr>
        <w:t xml:space="preserve"> (www.epa.gov/epaoswer/hazwaste/test/pdfs/8082.pdf).</w:t>
      </w:r>
    </w:p>
    <w:p w14:paraId="4741701E" w14:textId="77777777" w:rsidR="00274A8B" w:rsidRPr="00A4272B" w:rsidRDefault="00274A8B" w:rsidP="00274A8B">
      <w:pPr>
        <w:rPr>
          <w:sz w:val="18"/>
          <w:szCs w:val="18"/>
          <w:lang w:val="en-US"/>
        </w:rPr>
      </w:pPr>
      <w:r w:rsidRPr="00A4272B">
        <w:rPr>
          <w:sz w:val="18"/>
          <w:szCs w:val="18"/>
          <w:lang w:val="en-US"/>
        </w:rPr>
        <w:t>US EPA Method 8275A: Semivolatile organic compounds (PAHs and PCBs) in soils/sludges and solid wastes using thermal extraction/gas chromatography/mass spectrometry (TE/GC/MS), EPA analytical chemistry guidance SW-846.</w:t>
      </w:r>
    </w:p>
    <w:p w14:paraId="34771208" w14:textId="77777777" w:rsidR="00274A8B" w:rsidRPr="00A4272B" w:rsidRDefault="00274A8B" w:rsidP="00274A8B">
      <w:pPr>
        <w:rPr>
          <w:sz w:val="18"/>
          <w:szCs w:val="18"/>
          <w:lang w:val="en-US"/>
        </w:rPr>
      </w:pPr>
      <w:r w:rsidRPr="00A4272B">
        <w:rPr>
          <w:sz w:val="18"/>
          <w:szCs w:val="18"/>
          <w:lang w:val="en-US"/>
        </w:rPr>
        <w:t>US EPA Method 1613: Tetra-through Octa-Chlorinated Dioxins and Furans by Isotope Dilution HRGC/HRMS, October 1994, (www.epa.gov/waterscience/methods/1613.pdf).</w:t>
      </w:r>
    </w:p>
    <w:p w14:paraId="56FB7C4B" w14:textId="77777777" w:rsidR="00274A8B" w:rsidRPr="00A4272B" w:rsidRDefault="00274A8B" w:rsidP="00274A8B">
      <w:pPr>
        <w:rPr>
          <w:sz w:val="18"/>
          <w:szCs w:val="18"/>
          <w:lang w:val="en-US"/>
        </w:rPr>
      </w:pPr>
      <w:r w:rsidRPr="00A4272B">
        <w:rPr>
          <w:sz w:val="18"/>
          <w:szCs w:val="18"/>
          <w:lang w:val="en-US"/>
        </w:rPr>
        <w:t>US EPA Method 8290A: Polychlorinated Dibenzodioxins (PCDDs) and Polychlorinated Dibenzofurans (PCDFs) by High-Resolution Gas Chromatography/High-Resolution Mass Spectrometry (HRGC/HRMS), revision 1 January 1998.</w:t>
      </w:r>
    </w:p>
    <w:p w14:paraId="08DC3CB7" w14:textId="77777777" w:rsidR="00274A8B" w:rsidRPr="00A4272B" w:rsidRDefault="00274A8B" w:rsidP="00274A8B">
      <w:pPr>
        <w:rPr>
          <w:sz w:val="18"/>
          <w:szCs w:val="18"/>
          <w:lang w:val="en-US"/>
        </w:rPr>
      </w:pPr>
      <w:r w:rsidRPr="00A4272B">
        <w:rPr>
          <w:sz w:val="18"/>
          <w:szCs w:val="18"/>
          <w:lang w:val="en-US"/>
        </w:rPr>
        <w:t>US EPA Method T09: Determination of polychlorinated dibenzo-p-dioxins (PCDDs) in ambient air using high-resolution mass spectrometry (HRGC/HRMS).</w:t>
      </w:r>
    </w:p>
    <w:p w14:paraId="0411E870" w14:textId="77777777" w:rsidR="00274A8B" w:rsidRPr="00A4272B" w:rsidRDefault="00274A8B" w:rsidP="00274A8B">
      <w:pPr>
        <w:rPr>
          <w:sz w:val="18"/>
          <w:szCs w:val="18"/>
          <w:lang w:val="en-US"/>
        </w:rPr>
      </w:pPr>
      <w:r w:rsidRPr="00A4272B">
        <w:rPr>
          <w:sz w:val="18"/>
          <w:szCs w:val="18"/>
          <w:lang w:val="en-US"/>
        </w:rPr>
        <w:t>US EPA Method 8280A: The analysis of polychlorinated dibenzo-p-dioxins and polychlorinated dibenzofurans by high resolution gas chromatography/low resolution mass spectrometry (HRGC/LRMS) (EPA analytical chemistry guidance SW-846).</w:t>
      </w:r>
    </w:p>
    <w:p w14:paraId="4153C0FB" w14:textId="58F84060" w:rsidR="00274A8B" w:rsidRPr="00A4272B" w:rsidRDefault="00274A8B" w:rsidP="006B1FE4">
      <w:pPr>
        <w:rPr>
          <w:sz w:val="18"/>
          <w:szCs w:val="18"/>
          <w:lang w:val="en-US"/>
        </w:rPr>
      </w:pPr>
      <w:r w:rsidRPr="00A4272B">
        <w:rPr>
          <w:sz w:val="18"/>
          <w:szCs w:val="18"/>
          <w:lang w:val="en-US"/>
        </w:rPr>
        <w:t>US EPA Method 8290: Polychlorinated dibenzodioxins (PCDDs) and polychlorinated dibenzofurans (PCDFs) by high-resolution gas chromatography/high resolution mass spectrometry (HRGC/HRMS) (EPA analytical chemistry guidance SW-846).</w:t>
      </w:r>
    </w:p>
    <w:p w14:paraId="22DC53B0" w14:textId="3F191BFE" w:rsidR="00F3536C" w:rsidRPr="00A4272B" w:rsidRDefault="00F3536C" w:rsidP="006B1FE4">
      <w:pPr>
        <w:rPr>
          <w:sz w:val="18"/>
          <w:szCs w:val="18"/>
          <w:lang w:val="en-US"/>
        </w:rPr>
      </w:pPr>
      <w:r w:rsidRPr="00A4272B">
        <w:rPr>
          <w:sz w:val="18"/>
          <w:szCs w:val="18"/>
          <w:lang w:val="en-US"/>
        </w:rPr>
        <w:t>Wallace, J. C., Brzuzy, L.P., Simonich, S. L., Visscher, S. M., Hites, R.A., 1996. Case Study of Organochlorine Pesticides in the Indoor Air of a Home. Environ Sci Technol 30:2730-2734.</w:t>
      </w:r>
    </w:p>
    <w:p w14:paraId="79834187" w14:textId="77777777" w:rsidR="00F3536C" w:rsidRPr="00A4272B" w:rsidRDefault="00F3536C" w:rsidP="006B1FE4">
      <w:pPr>
        <w:rPr>
          <w:sz w:val="18"/>
          <w:szCs w:val="18"/>
          <w:lang w:val="en-US"/>
        </w:rPr>
      </w:pPr>
      <w:r w:rsidRPr="00A4272B">
        <w:rPr>
          <w:sz w:val="18"/>
          <w:szCs w:val="18"/>
          <w:lang w:val="en-US"/>
        </w:rPr>
        <w:t>Wells, D.E., Aminot, A., de Boer, J., Cofino, W.P., Kirkwood, D., Pedersen, B., 1997. Marine Pollution Bulletin 35:3-17.</w:t>
      </w:r>
    </w:p>
    <w:p w14:paraId="3B75D9E5" w14:textId="77777777" w:rsidR="00F3536C" w:rsidRPr="00A4272B" w:rsidRDefault="00F3536C" w:rsidP="006B1FE4">
      <w:pPr>
        <w:rPr>
          <w:sz w:val="18"/>
          <w:szCs w:val="18"/>
          <w:lang w:val="en-US"/>
        </w:rPr>
      </w:pPr>
      <w:r w:rsidRPr="00A4272B">
        <w:rPr>
          <w:sz w:val="18"/>
          <w:szCs w:val="18"/>
          <w:lang w:val="en-US"/>
        </w:rPr>
        <w:t>Weigert, P., Gilbert, J., Patey, A.L., Key, P.E., Wood, R., Barylko-Pikielna, N., 1997. Analytical quality assurance for the WHO GEMS/Food EURO programme-results of 1993/94 laboratory proficiency testing. Food Additives and Contaminants, 14:399-410.</w:t>
      </w:r>
    </w:p>
    <w:p w14:paraId="3334F7CA" w14:textId="77777777" w:rsidR="00F3536C" w:rsidRPr="00A4272B" w:rsidRDefault="00F3536C" w:rsidP="006B1FE4">
      <w:pPr>
        <w:rPr>
          <w:sz w:val="18"/>
          <w:szCs w:val="18"/>
          <w:lang w:val="en-US"/>
        </w:rPr>
      </w:pPr>
      <w:r w:rsidRPr="00A4272B">
        <w:rPr>
          <w:sz w:val="18"/>
          <w:szCs w:val="18"/>
          <w:lang w:val="en-US"/>
        </w:rPr>
        <w:lastRenderedPageBreak/>
        <w:t>Wilson, A.L., 1979. Approach for achieving comparable analytical results from a number of laboratories. The Analyst, 104:273-289.</w:t>
      </w:r>
    </w:p>
    <w:p w14:paraId="1212D2CF" w14:textId="77777777" w:rsidR="00F3536C" w:rsidRPr="00A4272B" w:rsidRDefault="00F3536C" w:rsidP="00766D08">
      <w:pPr>
        <w:outlineLvl w:val="2"/>
        <w:rPr>
          <w:b/>
          <w:bCs/>
          <w:sz w:val="18"/>
          <w:szCs w:val="18"/>
          <w:lang w:val="en-US"/>
        </w:rPr>
      </w:pPr>
      <w:r w:rsidRPr="00A4272B">
        <w:rPr>
          <w:b/>
          <w:bCs/>
          <w:sz w:val="18"/>
          <w:szCs w:val="18"/>
          <w:lang w:val="en-US"/>
        </w:rPr>
        <w:t>Web references</w:t>
      </w:r>
    </w:p>
    <w:p w14:paraId="3484E938" w14:textId="77777777" w:rsidR="00921553" w:rsidRPr="00A4272B" w:rsidRDefault="00921553" w:rsidP="00921553">
      <w:pPr>
        <w:rPr>
          <w:sz w:val="18"/>
          <w:szCs w:val="18"/>
          <w:lang w:val="en-US"/>
        </w:rPr>
      </w:pPr>
      <w:r w:rsidRPr="00A4272B">
        <w:rPr>
          <w:sz w:val="18"/>
          <w:szCs w:val="18"/>
          <w:lang w:val="en-US"/>
        </w:rPr>
        <w:t>Association of Official Analytical Chemists International: http://www.aoac.org.</w:t>
      </w:r>
    </w:p>
    <w:p w14:paraId="4CF43A91" w14:textId="77777777" w:rsidR="00921553" w:rsidRPr="00A4272B" w:rsidRDefault="00921553" w:rsidP="00921553">
      <w:pPr>
        <w:rPr>
          <w:sz w:val="18"/>
          <w:szCs w:val="18"/>
          <w:lang w:val="fr-CH"/>
        </w:rPr>
      </w:pPr>
      <w:r w:rsidRPr="00A4272B">
        <w:rPr>
          <w:sz w:val="18"/>
          <w:szCs w:val="18"/>
          <w:lang w:val="fr-CH"/>
        </w:rPr>
        <w:t xml:space="preserve">EU legislation on QA : </w:t>
      </w:r>
      <w:hyperlink r:id="rId106" w:history="1">
        <w:r w:rsidRPr="00A4272B">
          <w:rPr>
            <w:rStyle w:val="Hyperlink"/>
            <w:sz w:val="18"/>
            <w:szCs w:val="18"/>
            <w:lang w:val="fr-CH"/>
          </w:rPr>
          <w:t>http://europa.eu.int/eur-lex/pri/en/oj/dat/2002/l_221/l_22120020817en00080036.pdf</w:t>
        </w:r>
      </w:hyperlink>
      <w:r w:rsidRPr="00A4272B">
        <w:rPr>
          <w:sz w:val="18"/>
          <w:szCs w:val="18"/>
          <w:lang w:val="fr-CH"/>
        </w:rPr>
        <w:t>, http://europa.eu.int/eur-lex/pri/en/oj/dat/2002/l_209/l_20920020806en00150021.pdf.</w:t>
      </w:r>
    </w:p>
    <w:p w14:paraId="323D9E71" w14:textId="77777777" w:rsidR="00921553" w:rsidRPr="00A4272B" w:rsidRDefault="00921553" w:rsidP="00921553">
      <w:pPr>
        <w:rPr>
          <w:sz w:val="18"/>
          <w:szCs w:val="18"/>
          <w:lang w:val="en-US"/>
        </w:rPr>
      </w:pPr>
      <w:r w:rsidRPr="00A4272B">
        <w:rPr>
          <w:sz w:val="18"/>
          <w:szCs w:val="18"/>
          <w:lang w:val="en-US"/>
        </w:rPr>
        <w:t>Global assessment of PTSs: http://www.chem.unep.ch/pts/default.htm.</w:t>
      </w:r>
    </w:p>
    <w:p w14:paraId="3092AB34" w14:textId="5E58B866" w:rsidR="00921553" w:rsidRPr="00A4272B" w:rsidRDefault="00921553" w:rsidP="00921553">
      <w:pPr>
        <w:rPr>
          <w:sz w:val="18"/>
          <w:szCs w:val="18"/>
          <w:lang w:val="en-US"/>
        </w:rPr>
      </w:pPr>
      <w:r w:rsidRPr="00A4272B">
        <w:rPr>
          <w:sz w:val="18"/>
          <w:szCs w:val="18"/>
          <w:lang w:val="en-US"/>
        </w:rPr>
        <w:t xml:space="preserve">Gosstandard: </w:t>
      </w:r>
      <w:hyperlink r:id="rId107" w:history="1">
        <w:r w:rsidRPr="00A4272B">
          <w:rPr>
            <w:rStyle w:val="Hyperlink"/>
            <w:sz w:val="18"/>
            <w:szCs w:val="18"/>
            <w:lang w:val="en-US"/>
          </w:rPr>
          <w:t>http://www.kanexkrohne.com/english/Downloadarea/gosstandard_russia.shtml</w:t>
        </w:r>
      </w:hyperlink>
      <w:r w:rsidRPr="00A4272B">
        <w:rPr>
          <w:sz w:val="18"/>
          <w:szCs w:val="18"/>
          <w:lang w:val="en-US"/>
        </w:rPr>
        <w:t>.</w:t>
      </w:r>
    </w:p>
    <w:p w14:paraId="6093DF84" w14:textId="3E791E1D" w:rsidR="00921553" w:rsidRPr="00A4272B" w:rsidRDefault="00FE7544" w:rsidP="00921553">
      <w:pPr>
        <w:rPr>
          <w:sz w:val="18"/>
          <w:szCs w:val="18"/>
          <w:lang w:val="en-US"/>
        </w:rPr>
      </w:pPr>
      <w:r w:rsidRPr="00A4272B">
        <w:rPr>
          <w:sz w:val="18"/>
          <w:szCs w:val="18"/>
          <w:lang w:val="en-US"/>
        </w:rPr>
        <w:t>Helsinki Commission (</w:t>
      </w:r>
      <w:r w:rsidR="00921553" w:rsidRPr="00A4272B">
        <w:rPr>
          <w:sz w:val="18"/>
          <w:szCs w:val="18"/>
          <w:lang w:val="en-US"/>
        </w:rPr>
        <w:t>HELCOM</w:t>
      </w:r>
      <w:r w:rsidRPr="00A4272B">
        <w:rPr>
          <w:sz w:val="18"/>
          <w:szCs w:val="18"/>
          <w:lang w:val="en-US"/>
        </w:rPr>
        <w:t>)</w:t>
      </w:r>
      <w:r w:rsidR="00921553" w:rsidRPr="00A4272B">
        <w:rPr>
          <w:sz w:val="18"/>
          <w:szCs w:val="18"/>
          <w:lang w:val="en-US"/>
        </w:rPr>
        <w:t>: http://www.helcom.fi/Monas/CombineManual2/CombineHome.htm.</w:t>
      </w:r>
    </w:p>
    <w:p w14:paraId="4FD31A00" w14:textId="0AB1E6F3" w:rsidR="00921553" w:rsidRPr="00A4272B" w:rsidRDefault="00921553" w:rsidP="00921553">
      <w:pPr>
        <w:rPr>
          <w:sz w:val="18"/>
          <w:szCs w:val="18"/>
          <w:lang w:val="en-US"/>
        </w:rPr>
      </w:pPr>
      <w:r w:rsidRPr="00A4272B">
        <w:rPr>
          <w:sz w:val="18"/>
          <w:szCs w:val="18"/>
          <w:lang w:val="en-US"/>
        </w:rPr>
        <w:t>International Council for the Exploration of the Sea (ICES): http://www.ices.dk/env.</w:t>
      </w:r>
    </w:p>
    <w:p w14:paraId="1D830BE9" w14:textId="77777777" w:rsidR="00921553" w:rsidRPr="00A4272B" w:rsidRDefault="00921553" w:rsidP="00921553">
      <w:pPr>
        <w:rPr>
          <w:sz w:val="18"/>
          <w:szCs w:val="18"/>
          <w:lang w:val="en-US"/>
        </w:rPr>
      </w:pPr>
      <w:r w:rsidRPr="00A4272B">
        <w:rPr>
          <w:sz w:val="18"/>
          <w:szCs w:val="18"/>
          <w:lang w:val="en-US"/>
        </w:rPr>
        <w:t>International Organization for Standardization: http://www.iso.org.</w:t>
      </w:r>
    </w:p>
    <w:p w14:paraId="4A5B2F40" w14:textId="2764F685" w:rsidR="00921553" w:rsidRPr="00A4272B" w:rsidRDefault="00921553" w:rsidP="00921553">
      <w:pPr>
        <w:rPr>
          <w:sz w:val="18"/>
          <w:szCs w:val="18"/>
          <w:lang w:val="en-US"/>
        </w:rPr>
      </w:pPr>
      <w:r w:rsidRPr="00A4272B">
        <w:rPr>
          <w:sz w:val="18"/>
          <w:szCs w:val="18"/>
          <w:lang w:val="en-US"/>
        </w:rPr>
        <w:t>Joint FAO/WHO Expert Committee on Food Additives (JEFCA), 2001: http://www.who.int/pcs/jecfa/Summary57-corr.pdf.</w:t>
      </w:r>
    </w:p>
    <w:p w14:paraId="193115C1" w14:textId="77777777" w:rsidR="00921553" w:rsidRPr="00A4272B" w:rsidRDefault="00921553" w:rsidP="00921553">
      <w:pPr>
        <w:rPr>
          <w:sz w:val="18"/>
          <w:szCs w:val="18"/>
          <w:lang w:val="fr-CH"/>
        </w:rPr>
      </w:pPr>
      <w:r w:rsidRPr="00A4272B">
        <w:rPr>
          <w:sz w:val="18"/>
          <w:szCs w:val="18"/>
          <w:lang w:val="fr-CH"/>
        </w:rPr>
        <w:t>OSPAR: http://www.ospar.org.</w:t>
      </w:r>
    </w:p>
    <w:p w14:paraId="2E4760B7" w14:textId="30EB686B" w:rsidR="00921553" w:rsidRPr="00A4272B" w:rsidRDefault="00921553" w:rsidP="00921553">
      <w:pPr>
        <w:rPr>
          <w:sz w:val="18"/>
          <w:szCs w:val="18"/>
          <w:lang w:val="en-US"/>
        </w:rPr>
      </w:pPr>
      <w:r w:rsidRPr="00A4272B">
        <w:rPr>
          <w:sz w:val="18"/>
          <w:szCs w:val="18"/>
          <w:lang w:val="en-US"/>
        </w:rPr>
        <w:t>Partnership for the Assessment of Risks from Chemicals (PARC): https://www.eu-parc.eu/</w:t>
      </w:r>
      <w:r w:rsidR="00964111" w:rsidRPr="00A4272B">
        <w:rPr>
          <w:sz w:val="18"/>
          <w:szCs w:val="18"/>
          <w:lang w:val="en-US"/>
        </w:rPr>
        <w:t>.</w:t>
      </w:r>
    </w:p>
    <w:p w14:paraId="0356213A" w14:textId="77777777" w:rsidR="00921553" w:rsidRPr="00A4272B" w:rsidRDefault="00921553" w:rsidP="00921553">
      <w:pPr>
        <w:rPr>
          <w:sz w:val="18"/>
          <w:szCs w:val="18"/>
          <w:lang w:val="en-US"/>
        </w:rPr>
      </w:pPr>
      <w:r w:rsidRPr="00A4272B">
        <w:rPr>
          <w:sz w:val="18"/>
          <w:szCs w:val="18"/>
          <w:lang w:val="en-US"/>
        </w:rPr>
        <w:t>Quality charts: http://www.eurachem.ul.pt/guides/EEE-RM-062rev3.pdf.</w:t>
      </w:r>
    </w:p>
    <w:p w14:paraId="1D3CE98B" w14:textId="51EFCFD1" w:rsidR="00921553" w:rsidRPr="00A4272B" w:rsidRDefault="00921553" w:rsidP="006B1FE4">
      <w:pPr>
        <w:rPr>
          <w:sz w:val="18"/>
          <w:szCs w:val="18"/>
          <w:lang w:val="nl-NL"/>
        </w:rPr>
      </w:pPr>
      <w:r w:rsidRPr="00A4272B">
        <w:rPr>
          <w:sz w:val="18"/>
          <w:szCs w:val="18"/>
          <w:lang w:val="nl-NL"/>
        </w:rPr>
        <w:t>National Atmospheric Deposition Program (NADP): https://nadp.slh.wisc.edu/.</w:t>
      </w:r>
    </w:p>
    <w:p w14:paraId="0EFDA86D" w14:textId="77777777" w:rsidR="00921553" w:rsidRPr="00A4272B" w:rsidRDefault="00921553" w:rsidP="00921553">
      <w:pPr>
        <w:rPr>
          <w:sz w:val="18"/>
          <w:szCs w:val="18"/>
          <w:lang w:val="en-US"/>
        </w:rPr>
      </w:pPr>
      <w:r w:rsidRPr="00A4272B">
        <w:rPr>
          <w:sz w:val="18"/>
          <w:szCs w:val="18"/>
          <w:lang w:val="en-US"/>
        </w:rPr>
        <w:t>National monitoring activities: http://www.chem.unep.ch/gmn/02_natpro.htm.</w:t>
      </w:r>
    </w:p>
    <w:p w14:paraId="027F9967" w14:textId="77777777" w:rsidR="00921553" w:rsidRPr="00A4272B" w:rsidRDefault="00921553" w:rsidP="00921553">
      <w:pPr>
        <w:rPr>
          <w:sz w:val="18"/>
          <w:szCs w:val="18"/>
          <w:lang w:val="en-US"/>
        </w:rPr>
      </w:pPr>
      <w:r w:rsidRPr="00A4272B">
        <w:rPr>
          <w:sz w:val="18"/>
          <w:szCs w:val="18"/>
          <w:lang w:val="en-US"/>
        </w:rPr>
        <w:t>STAP/GEF workshop report: http://www.unep.org/stapgef/documents/popsJapan2003.htm.</w:t>
      </w:r>
    </w:p>
    <w:p w14:paraId="772DFB2E" w14:textId="1D4FE625" w:rsidR="00F3536C" w:rsidRPr="00A4272B" w:rsidRDefault="00F3536C" w:rsidP="006B1FE4">
      <w:pPr>
        <w:rPr>
          <w:sz w:val="18"/>
          <w:szCs w:val="18"/>
          <w:lang w:val="en-US"/>
        </w:rPr>
      </w:pPr>
      <w:r w:rsidRPr="00A4272B">
        <w:rPr>
          <w:sz w:val="18"/>
          <w:szCs w:val="18"/>
          <w:lang w:val="en-US"/>
        </w:rPr>
        <w:t>UNEP/GEF POPs laboratory capacity building project</w:t>
      </w:r>
      <w:r w:rsidR="00E16672" w:rsidRPr="00A4272B">
        <w:rPr>
          <w:sz w:val="18"/>
          <w:szCs w:val="18"/>
          <w:lang w:val="en-US"/>
        </w:rPr>
        <w:t>:</w:t>
      </w:r>
      <w:r w:rsidRPr="00A4272B">
        <w:rPr>
          <w:sz w:val="18"/>
          <w:szCs w:val="18"/>
          <w:lang w:val="en-US"/>
        </w:rPr>
        <w:t xml:space="preserve"> http://www.chem.unep.ch/pops/laboratory/default.htm</w:t>
      </w:r>
      <w:r w:rsidR="00C02A15" w:rsidRPr="00A4272B">
        <w:rPr>
          <w:sz w:val="18"/>
          <w:szCs w:val="18"/>
          <w:lang w:val="en-US"/>
        </w:rPr>
        <w:t>.</w:t>
      </w:r>
    </w:p>
    <w:p w14:paraId="09E7E785" w14:textId="77777777" w:rsidR="00921553" w:rsidRPr="00A4272B" w:rsidRDefault="00921553" w:rsidP="00921553">
      <w:pPr>
        <w:rPr>
          <w:sz w:val="18"/>
          <w:szCs w:val="18"/>
          <w:lang w:val="en-US"/>
        </w:rPr>
      </w:pPr>
      <w:r w:rsidRPr="00A4272B">
        <w:rPr>
          <w:sz w:val="18"/>
          <w:szCs w:val="18"/>
          <w:lang w:val="en-US"/>
        </w:rPr>
        <w:t>UNEP Regional Seas Programme: http://www.unep.org/water/regseas/regseas.htm.</w:t>
      </w:r>
    </w:p>
    <w:p w14:paraId="256911E2" w14:textId="77777777" w:rsidR="00921553" w:rsidRPr="00A4272B" w:rsidRDefault="00921553" w:rsidP="00921553">
      <w:pPr>
        <w:rPr>
          <w:sz w:val="18"/>
          <w:szCs w:val="18"/>
          <w:lang w:val="en-US"/>
        </w:rPr>
      </w:pPr>
      <w:r w:rsidRPr="00A4272B">
        <w:rPr>
          <w:sz w:val="18"/>
          <w:szCs w:val="18"/>
          <w:lang w:val="en-US"/>
        </w:rPr>
        <w:t>US EPA: http://www.nemi.gov.</w:t>
      </w:r>
    </w:p>
    <w:p w14:paraId="21113523" w14:textId="77777777" w:rsidR="00921553" w:rsidRPr="00A4272B" w:rsidRDefault="00921553" w:rsidP="00921553">
      <w:pPr>
        <w:rPr>
          <w:sz w:val="18"/>
          <w:szCs w:val="18"/>
          <w:lang w:val="en-US"/>
        </w:rPr>
      </w:pPr>
      <w:r w:rsidRPr="00A4272B">
        <w:rPr>
          <w:sz w:val="18"/>
          <w:szCs w:val="18"/>
          <w:lang w:val="en-US"/>
        </w:rPr>
        <w:t>US EPA method 3545A: http://www.epa.gov/epaoswer/hazwaste/test/pdfs/3545a.pdf.</w:t>
      </w:r>
    </w:p>
    <w:p w14:paraId="2C3044A7" w14:textId="77777777" w:rsidR="00921553" w:rsidRPr="00A4272B" w:rsidRDefault="00921553" w:rsidP="00921553">
      <w:pPr>
        <w:rPr>
          <w:sz w:val="18"/>
          <w:szCs w:val="18"/>
          <w:lang w:val="en-US"/>
        </w:rPr>
      </w:pPr>
      <w:r w:rsidRPr="00A4272B">
        <w:rPr>
          <w:sz w:val="18"/>
          <w:szCs w:val="18"/>
          <w:lang w:val="en-US"/>
        </w:rPr>
        <w:t xml:space="preserve">US EPA methodology for PCDD/F: </w:t>
      </w:r>
      <w:hyperlink r:id="rId108" w:history="1">
        <w:r w:rsidRPr="00A4272B">
          <w:rPr>
            <w:rStyle w:val="Hyperlink"/>
            <w:sz w:val="18"/>
            <w:szCs w:val="18"/>
            <w:lang w:val="en-US"/>
          </w:rPr>
          <w:t>http://www.epa.gov/SW-846/pdfs/8290a.pdf</w:t>
        </w:r>
      </w:hyperlink>
      <w:r w:rsidRPr="00A4272B">
        <w:rPr>
          <w:sz w:val="18"/>
          <w:szCs w:val="18"/>
          <w:lang w:val="en-US"/>
        </w:rPr>
        <w:t>, http://www.epa.gov/Region3/1668a.pdf.</w:t>
      </w:r>
    </w:p>
    <w:p w14:paraId="52C67257" w14:textId="77777777" w:rsidR="00921553" w:rsidRPr="00A4272B" w:rsidRDefault="00921553" w:rsidP="00921553">
      <w:pPr>
        <w:rPr>
          <w:sz w:val="18"/>
          <w:szCs w:val="18"/>
          <w:lang w:val="en-US"/>
        </w:rPr>
      </w:pPr>
      <w:r w:rsidRPr="00A4272B">
        <w:rPr>
          <w:sz w:val="18"/>
          <w:szCs w:val="18"/>
          <w:lang w:val="en-US"/>
        </w:rPr>
        <w:t>US EPA method 8290A: http://www.epa.gov/SW-846/pdfs/8290a.pdf.</w:t>
      </w:r>
    </w:p>
    <w:p w14:paraId="221D4BE0" w14:textId="77777777" w:rsidR="00921553" w:rsidRPr="00A4272B" w:rsidRDefault="00921553" w:rsidP="00921553">
      <w:pPr>
        <w:rPr>
          <w:sz w:val="18"/>
          <w:szCs w:val="18"/>
          <w:lang w:val="en-US"/>
        </w:rPr>
      </w:pPr>
      <w:r w:rsidRPr="00A4272B">
        <w:rPr>
          <w:sz w:val="18"/>
          <w:szCs w:val="18"/>
          <w:lang w:val="en-US"/>
        </w:rPr>
        <w:t>US EPA method 1668: http://www.epa.gov/Region3/1668a.pdf.</w:t>
      </w:r>
    </w:p>
    <w:p w14:paraId="2D8002CA" w14:textId="53854DC3" w:rsidR="00F3536C" w:rsidRPr="00A4272B" w:rsidRDefault="00F3536C" w:rsidP="006B1FE4">
      <w:pPr>
        <w:rPr>
          <w:sz w:val="18"/>
          <w:szCs w:val="18"/>
          <w:lang w:val="en-US"/>
        </w:rPr>
      </w:pPr>
      <w:r w:rsidRPr="00A4272B">
        <w:rPr>
          <w:sz w:val="18"/>
          <w:szCs w:val="18"/>
          <w:lang w:val="en-US"/>
        </w:rPr>
        <w:t>WHO GEMS/Food</w:t>
      </w:r>
      <w:r w:rsidR="00E16672" w:rsidRPr="00A4272B">
        <w:rPr>
          <w:sz w:val="18"/>
          <w:szCs w:val="18"/>
          <w:lang w:val="en-US"/>
        </w:rPr>
        <w:t>:</w:t>
      </w:r>
      <w:r w:rsidRPr="00A4272B">
        <w:rPr>
          <w:sz w:val="18"/>
          <w:szCs w:val="18"/>
          <w:lang w:val="en-US"/>
        </w:rPr>
        <w:t xml:space="preserve"> http://www.who.int/foodsafety/chem/gems/en/</w:t>
      </w:r>
      <w:r w:rsidR="00C02A15" w:rsidRPr="00A4272B">
        <w:rPr>
          <w:sz w:val="18"/>
          <w:szCs w:val="18"/>
          <w:lang w:val="en-US"/>
        </w:rPr>
        <w:t>.</w:t>
      </w:r>
    </w:p>
    <w:p w14:paraId="49CE3130" w14:textId="77777777" w:rsidR="00F3536C" w:rsidRPr="00A4272B" w:rsidRDefault="00F3536C" w:rsidP="00766D08">
      <w:pPr>
        <w:outlineLvl w:val="1"/>
        <w:rPr>
          <w:b/>
          <w:bCs/>
          <w:sz w:val="18"/>
          <w:szCs w:val="18"/>
          <w:lang w:val="en-US"/>
        </w:rPr>
      </w:pPr>
      <w:r w:rsidRPr="00A4272B">
        <w:rPr>
          <w:b/>
          <w:bCs/>
          <w:sz w:val="18"/>
          <w:szCs w:val="18"/>
          <w:lang w:val="en-US"/>
        </w:rPr>
        <w:t>Chapter 6</w:t>
      </w:r>
    </w:p>
    <w:p w14:paraId="0641ECBC" w14:textId="0E2EE82E" w:rsidR="00F3536C" w:rsidRPr="00A4272B" w:rsidRDefault="00F3536C" w:rsidP="006B1FE4">
      <w:pPr>
        <w:rPr>
          <w:sz w:val="18"/>
          <w:szCs w:val="18"/>
          <w:lang w:val="en-US"/>
        </w:rPr>
      </w:pPr>
      <w:r w:rsidRPr="00A4272B">
        <w:rPr>
          <w:sz w:val="18"/>
          <w:szCs w:val="18"/>
          <w:lang w:val="en-US"/>
        </w:rPr>
        <w:t>GMP DWH</w:t>
      </w:r>
      <w:r w:rsidR="00E16672" w:rsidRPr="00A4272B">
        <w:rPr>
          <w:sz w:val="18"/>
          <w:szCs w:val="18"/>
          <w:lang w:val="en-US"/>
        </w:rPr>
        <w:t>:</w:t>
      </w:r>
      <w:r w:rsidRPr="00A4272B">
        <w:rPr>
          <w:sz w:val="18"/>
          <w:szCs w:val="18"/>
          <w:lang w:val="en-US"/>
        </w:rPr>
        <w:t xml:space="preserve"> www.pops-gmp.org</w:t>
      </w:r>
      <w:r w:rsidR="00C02A15" w:rsidRPr="00A4272B">
        <w:rPr>
          <w:sz w:val="18"/>
          <w:szCs w:val="18"/>
          <w:lang w:val="en-US"/>
        </w:rPr>
        <w:t>.</w:t>
      </w:r>
    </w:p>
    <w:p w14:paraId="2A23AA29" w14:textId="388DD805" w:rsidR="00F3536C" w:rsidRPr="00A4272B" w:rsidRDefault="00F3536C" w:rsidP="006B1FE4">
      <w:pPr>
        <w:rPr>
          <w:sz w:val="18"/>
          <w:szCs w:val="18"/>
          <w:lang w:val="en-US"/>
        </w:rPr>
      </w:pPr>
      <w:r w:rsidRPr="00A4272B">
        <w:rPr>
          <w:sz w:val="18"/>
          <w:szCs w:val="18"/>
          <w:lang w:val="en-US"/>
        </w:rPr>
        <w:t>GENASIS</w:t>
      </w:r>
      <w:r w:rsidR="00E16672" w:rsidRPr="00A4272B">
        <w:rPr>
          <w:sz w:val="18"/>
          <w:szCs w:val="18"/>
          <w:lang w:val="en-US"/>
        </w:rPr>
        <w:t>:</w:t>
      </w:r>
      <w:r w:rsidRPr="00A4272B">
        <w:rPr>
          <w:sz w:val="18"/>
          <w:szCs w:val="18"/>
          <w:lang w:val="en-US"/>
        </w:rPr>
        <w:t xml:space="preserve"> www.genasis.cz</w:t>
      </w:r>
      <w:r w:rsidR="00C02A15" w:rsidRPr="00A4272B">
        <w:rPr>
          <w:sz w:val="18"/>
          <w:szCs w:val="18"/>
          <w:lang w:val="en-US"/>
        </w:rPr>
        <w:t>.</w:t>
      </w:r>
    </w:p>
    <w:p w14:paraId="3543B3C6" w14:textId="34A51135" w:rsidR="00F3536C" w:rsidRPr="00A4272B" w:rsidRDefault="00F3536C" w:rsidP="006B1FE4">
      <w:pPr>
        <w:rPr>
          <w:sz w:val="18"/>
          <w:szCs w:val="18"/>
          <w:lang w:val="en-US"/>
        </w:rPr>
      </w:pPr>
      <w:r w:rsidRPr="00A4272B">
        <w:rPr>
          <w:sz w:val="18"/>
          <w:szCs w:val="18"/>
          <w:lang w:val="en-US"/>
        </w:rPr>
        <w:t xml:space="preserve">USDA Pesticide Data </w:t>
      </w:r>
      <w:r w:rsidR="005748BC" w:rsidRPr="00A4272B">
        <w:rPr>
          <w:sz w:val="18"/>
          <w:szCs w:val="18"/>
          <w:lang w:val="en-US"/>
        </w:rPr>
        <w:t>Programme</w:t>
      </w:r>
      <w:r w:rsidR="00E16672" w:rsidRPr="00A4272B">
        <w:rPr>
          <w:sz w:val="18"/>
          <w:szCs w:val="18"/>
          <w:lang w:val="en-US"/>
        </w:rPr>
        <w:t>:</w:t>
      </w:r>
      <w:r w:rsidR="005748BC" w:rsidRPr="00A4272B">
        <w:rPr>
          <w:sz w:val="18"/>
          <w:szCs w:val="18"/>
          <w:lang w:val="en-US"/>
        </w:rPr>
        <w:t xml:space="preserve"> </w:t>
      </w:r>
      <w:r w:rsidRPr="00A4272B">
        <w:rPr>
          <w:sz w:val="18"/>
          <w:szCs w:val="18"/>
          <w:lang w:val="en-US"/>
        </w:rPr>
        <w:t>http://www.ams.usda.gov/science/pdp/Qc10.pdf</w:t>
      </w:r>
      <w:r w:rsidR="00C02A15" w:rsidRPr="00A4272B">
        <w:rPr>
          <w:sz w:val="18"/>
          <w:szCs w:val="18"/>
          <w:lang w:val="en-US"/>
        </w:rPr>
        <w:t>.</w:t>
      </w:r>
    </w:p>
    <w:p w14:paraId="01547459" w14:textId="48EF1C19" w:rsidR="00F3536C" w:rsidRPr="00A4272B" w:rsidRDefault="00F3536C" w:rsidP="006B1FE4">
      <w:pPr>
        <w:rPr>
          <w:sz w:val="18"/>
          <w:szCs w:val="18"/>
          <w:lang w:val="en-US"/>
        </w:rPr>
      </w:pPr>
      <w:r w:rsidRPr="00A4272B">
        <w:rPr>
          <w:sz w:val="18"/>
          <w:szCs w:val="18"/>
          <w:lang w:val="en-US"/>
        </w:rPr>
        <w:t>JECFA recommendations</w:t>
      </w:r>
      <w:r w:rsidR="00E16672" w:rsidRPr="00A4272B">
        <w:rPr>
          <w:sz w:val="18"/>
          <w:szCs w:val="18"/>
          <w:lang w:val="en-US"/>
        </w:rPr>
        <w:t>:</w:t>
      </w:r>
      <w:r w:rsidRPr="00A4272B">
        <w:rPr>
          <w:sz w:val="18"/>
          <w:szCs w:val="18"/>
          <w:lang w:val="en-US"/>
        </w:rPr>
        <w:t xml:space="preserve"> http://www.inchem.org/documents/jecfa/jecmono/v48je20.htm#3.2.3</w:t>
      </w:r>
      <w:r w:rsidR="00C02A15" w:rsidRPr="00A4272B">
        <w:rPr>
          <w:sz w:val="18"/>
          <w:szCs w:val="18"/>
          <w:lang w:val="en-US"/>
        </w:rPr>
        <w:t>.</w:t>
      </w:r>
    </w:p>
    <w:p w14:paraId="20001D67" w14:textId="1815C0BA" w:rsidR="00F3536C" w:rsidRPr="00A4272B" w:rsidRDefault="00F3536C" w:rsidP="006B1FE4">
      <w:pPr>
        <w:rPr>
          <w:sz w:val="18"/>
          <w:szCs w:val="18"/>
          <w:lang w:val="en-US"/>
        </w:rPr>
      </w:pPr>
      <w:r w:rsidRPr="00A4272B">
        <w:rPr>
          <w:sz w:val="18"/>
          <w:szCs w:val="18"/>
          <w:lang w:val="en-US"/>
        </w:rPr>
        <w:t>ICES Environment data centre</w:t>
      </w:r>
      <w:r w:rsidR="00E16672" w:rsidRPr="00A4272B">
        <w:rPr>
          <w:sz w:val="18"/>
          <w:szCs w:val="18"/>
          <w:lang w:val="en-US"/>
        </w:rPr>
        <w:t>:</w:t>
      </w:r>
      <w:r w:rsidRPr="00A4272B">
        <w:rPr>
          <w:sz w:val="18"/>
          <w:szCs w:val="18"/>
          <w:lang w:val="en-US"/>
        </w:rPr>
        <w:t xml:space="preserve"> http://www.ices.dk/env/index.htm</w:t>
      </w:r>
      <w:r w:rsidR="00C02A15" w:rsidRPr="00A4272B">
        <w:rPr>
          <w:sz w:val="18"/>
          <w:szCs w:val="18"/>
          <w:lang w:val="en-US"/>
        </w:rPr>
        <w:t>.</w:t>
      </w:r>
    </w:p>
    <w:p w14:paraId="3F74AC32" w14:textId="3D318EF4" w:rsidR="00F3536C" w:rsidRPr="00A4272B" w:rsidRDefault="00F3536C" w:rsidP="006B1FE4">
      <w:pPr>
        <w:rPr>
          <w:sz w:val="18"/>
          <w:szCs w:val="18"/>
          <w:lang w:val="en-US"/>
        </w:rPr>
      </w:pPr>
      <w:r w:rsidRPr="00A4272B">
        <w:rPr>
          <w:sz w:val="18"/>
          <w:szCs w:val="18"/>
          <w:lang w:val="en-US"/>
        </w:rPr>
        <w:t>ICES Reporting format http://www.ices.dk/env/repfor/index.htm</w:t>
      </w:r>
      <w:r w:rsidR="00C02A15" w:rsidRPr="00A4272B">
        <w:rPr>
          <w:sz w:val="18"/>
          <w:szCs w:val="18"/>
          <w:lang w:val="en-US"/>
        </w:rPr>
        <w:t>.</w:t>
      </w:r>
    </w:p>
    <w:p w14:paraId="79FECCD8" w14:textId="39FB3C4B" w:rsidR="00F3536C" w:rsidRPr="00A4272B" w:rsidRDefault="00F3536C" w:rsidP="006B1FE4">
      <w:pPr>
        <w:rPr>
          <w:sz w:val="18"/>
          <w:szCs w:val="18"/>
          <w:lang w:val="en-US"/>
        </w:rPr>
      </w:pPr>
      <w:r w:rsidRPr="00A4272B">
        <w:rPr>
          <w:sz w:val="18"/>
          <w:szCs w:val="18"/>
          <w:lang w:val="en-US"/>
        </w:rPr>
        <w:t>AMAP data collection</w:t>
      </w:r>
      <w:r w:rsidR="00E16672" w:rsidRPr="00A4272B">
        <w:rPr>
          <w:sz w:val="18"/>
          <w:szCs w:val="18"/>
          <w:lang w:val="en-US"/>
        </w:rPr>
        <w:t>:</w:t>
      </w:r>
      <w:r w:rsidRPr="00A4272B">
        <w:rPr>
          <w:sz w:val="18"/>
          <w:szCs w:val="18"/>
          <w:lang w:val="en-US"/>
        </w:rPr>
        <w:t xml:space="preserve"> http://www.amap.no/</w:t>
      </w:r>
      <w:r w:rsidR="00C02A15" w:rsidRPr="00A4272B">
        <w:rPr>
          <w:sz w:val="18"/>
          <w:szCs w:val="18"/>
          <w:lang w:val="en-US"/>
        </w:rPr>
        <w:t>.</w:t>
      </w:r>
    </w:p>
    <w:p w14:paraId="3F057859" w14:textId="158F6AA7" w:rsidR="00F3536C" w:rsidRPr="00A4272B" w:rsidRDefault="00F3536C" w:rsidP="006B1FE4">
      <w:pPr>
        <w:rPr>
          <w:sz w:val="18"/>
          <w:szCs w:val="18"/>
          <w:lang w:val="en-US"/>
        </w:rPr>
      </w:pPr>
      <w:r w:rsidRPr="00A4272B">
        <w:rPr>
          <w:sz w:val="18"/>
          <w:szCs w:val="18"/>
          <w:lang w:val="en-US"/>
        </w:rPr>
        <w:t>UNEP GEMS/Water</w:t>
      </w:r>
      <w:r w:rsidR="00E16672" w:rsidRPr="00A4272B">
        <w:rPr>
          <w:sz w:val="18"/>
          <w:szCs w:val="18"/>
          <w:lang w:val="en-US"/>
        </w:rPr>
        <w:t>:</w:t>
      </w:r>
      <w:r w:rsidRPr="00A4272B">
        <w:rPr>
          <w:sz w:val="18"/>
          <w:szCs w:val="18"/>
          <w:lang w:val="en-US"/>
        </w:rPr>
        <w:t xml:space="preserve"> http://www.cciw.ca/gems/gems.html</w:t>
      </w:r>
      <w:r w:rsidR="00C02A15" w:rsidRPr="00A4272B">
        <w:rPr>
          <w:sz w:val="18"/>
          <w:szCs w:val="18"/>
          <w:lang w:val="en-US"/>
        </w:rPr>
        <w:t>.</w:t>
      </w:r>
    </w:p>
    <w:p w14:paraId="4FE6CE2A" w14:textId="7644E8DA" w:rsidR="00F3536C" w:rsidRPr="00A4272B" w:rsidRDefault="00F3536C" w:rsidP="006B1FE4">
      <w:pPr>
        <w:rPr>
          <w:sz w:val="18"/>
          <w:szCs w:val="18"/>
          <w:lang w:val="en-US"/>
        </w:rPr>
      </w:pPr>
      <w:r w:rsidRPr="00A4272B">
        <w:rPr>
          <w:sz w:val="18"/>
          <w:szCs w:val="18"/>
          <w:lang w:val="en-US"/>
        </w:rPr>
        <w:t>Canada NPRI</w:t>
      </w:r>
      <w:r w:rsidR="00E16672" w:rsidRPr="00A4272B">
        <w:rPr>
          <w:sz w:val="18"/>
          <w:szCs w:val="18"/>
          <w:lang w:val="en-US"/>
        </w:rPr>
        <w:t>:</w:t>
      </w:r>
      <w:r w:rsidRPr="00A4272B">
        <w:rPr>
          <w:sz w:val="18"/>
          <w:szCs w:val="18"/>
          <w:lang w:val="en-US"/>
        </w:rPr>
        <w:t xml:space="preserve"> http://www.ec.gc.ca/pdb/npri/npri_home_e.cfm</w:t>
      </w:r>
      <w:r w:rsidR="00C02A15" w:rsidRPr="00A4272B">
        <w:rPr>
          <w:sz w:val="18"/>
          <w:szCs w:val="18"/>
          <w:lang w:val="en-US"/>
        </w:rPr>
        <w:t>.</w:t>
      </w:r>
    </w:p>
    <w:p w14:paraId="6480074F" w14:textId="77777777" w:rsidR="00F3536C" w:rsidRPr="00A4272B" w:rsidRDefault="00F3536C" w:rsidP="00766D08">
      <w:pPr>
        <w:outlineLvl w:val="1"/>
        <w:rPr>
          <w:b/>
          <w:bCs/>
          <w:sz w:val="18"/>
          <w:szCs w:val="18"/>
          <w:lang w:val="en-US"/>
        </w:rPr>
      </w:pPr>
      <w:r w:rsidRPr="00A4272B">
        <w:rPr>
          <w:b/>
          <w:bCs/>
          <w:sz w:val="18"/>
          <w:szCs w:val="18"/>
          <w:lang w:val="en-US"/>
        </w:rPr>
        <w:t>Chapter 7</w:t>
      </w:r>
    </w:p>
    <w:p w14:paraId="2AE07E42" w14:textId="54ADFE1A" w:rsidR="00F3536C" w:rsidRPr="00A4272B" w:rsidRDefault="00F3536C" w:rsidP="006B1FE4">
      <w:pPr>
        <w:rPr>
          <w:sz w:val="18"/>
          <w:szCs w:val="18"/>
          <w:lang w:val="en-US"/>
        </w:rPr>
      </w:pPr>
      <w:r w:rsidRPr="00A4272B">
        <w:rPr>
          <w:sz w:val="18"/>
          <w:szCs w:val="18"/>
          <w:lang w:val="en-US"/>
        </w:rPr>
        <w:t>UNEP 2013</w:t>
      </w:r>
      <w:r w:rsidR="00E02176" w:rsidRPr="00A4272B">
        <w:rPr>
          <w:sz w:val="18"/>
          <w:szCs w:val="18"/>
          <w:lang w:val="en-US"/>
        </w:rPr>
        <w:t>.</w:t>
      </w:r>
      <w:r w:rsidRPr="00A4272B">
        <w:rPr>
          <w:sz w:val="18"/>
          <w:szCs w:val="18"/>
          <w:lang w:val="en-US"/>
        </w:rPr>
        <w:t xml:space="preserve"> Guidance on the global monitoring plan for persistent organic pollutants: Global monitoring plan for persistent organic pollutants as amended after the fourth meeting of the Conference of the Parties to the Stockholm Convention UNEP/POPS/COP.6/INF/31/Add.1</w:t>
      </w:r>
      <w:r w:rsidR="00C02A15" w:rsidRPr="00A4272B">
        <w:rPr>
          <w:sz w:val="18"/>
          <w:szCs w:val="18"/>
          <w:lang w:val="en-US"/>
        </w:rPr>
        <w:t>.</w:t>
      </w:r>
    </w:p>
    <w:p w14:paraId="015860E7" w14:textId="31FA11B9" w:rsidR="00F3536C" w:rsidRPr="00A4272B" w:rsidRDefault="00F3536C" w:rsidP="006B1FE4">
      <w:pPr>
        <w:rPr>
          <w:sz w:val="18"/>
          <w:szCs w:val="18"/>
          <w:lang w:val="en-US"/>
        </w:rPr>
      </w:pPr>
      <w:r w:rsidRPr="00A4272B">
        <w:rPr>
          <w:sz w:val="18"/>
          <w:szCs w:val="18"/>
          <w:lang w:val="en-US"/>
        </w:rPr>
        <w:t>UNEP 2013</w:t>
      </w:r>
      <w:r w:rsidR="00E02176" w:rsidRPr="00A4272B">
        <w:rPr>
          <w:sz w:val="18"/>
          <w:szCs w:val="18"/>
          <w:lang w:val="en-US"/>
        </w:rPr>
        <w:t>.</w:t>
      </w:r>
      <w:r w:rsidRPr="00A4272B">
        <w:rPr>
          <w:sz w:val="18"/>
          <w:szCs w:val="18"/>
          <w:lang w:val="en-US"/>
        </w:rPr>
        <w:t xml:space="preserve"> Guidance on the global monitoring plan for persistent organic pollutants: Implementation of the global monitoring plan for effectiveness evaluation as amended after the fourth meeting of the Conference of the Parties to the Stockholm Convention UNEP/POPS/COP.6/INF/31/Add.2</w:t>
      </w:r>
      <w:r w:rsidR="00C02A15" w:rsidRPr="00A4272B">
        <w:rPr>
          <w:sz w:val="18"/>
          <w:szCs w:val="18"/>
          <w:lang w:val="en-US"/>
        </w:rPr>
        <w:t>.</w:t>
      </w:r>
    </w:p>
    <w:p w14:paraId="5819293F" w14:textId="77777777" w:rsidR="002F013F" w:rsidRPr="00A4272B" w:rsidRDefault="002F013F" w:rsidP="002F013F">
      <w:pPr>
        <w:rPr>
          <w:sz w:val="18"/>
          <w:szCs w:val="18"/>
          <w:lang w:val="en-US"/>
        </w:rPr>
      </w:pPr>
      <w:r w:rsidRPr="00A4272B">
        <w:rPr>
          <w:sz w:val="18"/>
          <w:szCs w:val="18"/>
          <w:lang w:val="en-US"/>
        </w:rPr>
        <w:t>UNEP 2015 Guidance for a Global Monitoring Programme for Persistent Organic Pollutants IInd Edition, Secretariat of the Stockholm Convention on Persistent Organic Pollutants, Geneva, Switzerland UNEP/POPS/COP.7/INF/39.</w:t>
      </w:r>
    </w:p>
    <w:p w14:paraId="5900ADC9" w14:textId="77777777" w:rsidR="002F013F" w:rsidRPr="00A4272B" w:rsidRDefault="002F013F" w:rsidP="002F013F">
      <w:pPr>
        <w:rPr>
          <w:sz w:val="18"/>
          <w:szCs w:val="18"/>
          <w:lang w:val="en-US"/>
        </w:rPr>
      </w:pPr>
      <w:r w:rsidRPr="00A4272B">
        <w:rPr>
          <w:sz w:val="18"/>
          <w:szCs w:val="18"/>
          <w:lang w:val="en-US"/>
        </w:rPr>
        <w:t>UNEP 2015. Second regional monitoring reports http://chm.pops.int/Implementation/GlobalMonitoringPlan/MonitoringReports/tabid/525/Default.aspx.</w:t>
      </w:r>
    </w:p>
    <w:p w14:paraId="066572DE" w14:textId="77777777" w:rsidR="002F013F" w:rsidRPr="00A4272B" w:rsidRDefault="002F013F" w:rsidP="002F013F">
      <w:pPr>
        <w:rPr>
          <w:sz w:val="18"/>
          <w:szCs w:val="18"/>
          <w:lang w:val="en-US"/>
        </w:rPr>
      </w:pPr>
      <w:r w:rsidRPr="00A4272B">
        <w:rPr>
          <w:sz w:val="18"/>
          <w:szCs w:val="18"/>
          <w:lang w:val="en-US"/>
        </w:rPr>
        <w:lastRenderedPageBreak/>
        <w:t>UNEP 2017. Second global monitoring report UNEP/POPS/COP.8/INF/38.</w:t>
      </w:r>
    </w:p>
    <w:p w14:paraId="340253E5" w14:textId="77777777" w:rsidR="002F013F" w:rsidRPr="00A4272B" w:rsidRDefault="002F013F" w:rsidP="002F013F">
      <w:pPr>
        <w:rPr>
          <w:sz w:val="18"/>
          <w:szCs w:val="18"/>
          <w:lang w:val="en-US"/>
        </w:rPr>
      </w:pPr>
      <w:r w:rsidRPr="00A4272B">
        <w:rPr>
          <w:sz w:val="18"/>
          <w:szCs w:val="18"/>
          <w:lang w:val="en-US"/>
        </w:rPr>
        <w:t>UNEP 2019. Third regional monitoring report UNEP/POPS/COP.10/INF/41.</w:t>
      </w:r>
    </w:p>
    <w:p w14:paraId="0AD0B181" w14:textId="77777777" w:rsidR="002F013F" w:rsidRPr="00A4272B" w:rsidRDefault="002F013F" w:rsidP="002F013F">
      <w:pPr>
        <w:rPr>
          <w:sz w:val="18"/>
          <w:szCs w:val="18"/>
          <w:lang w:val="en-US"/>
        </w:rPr>
      </w:pPr>
      <w:r w:rsidRPr="00A4272B">
        <w:rPr>
          <w:sz w:val="18"/>
          <w:szCs w:val="18"/>
          <w:lang w:val="en-US"/>
        </w:rPr>
        <w:t>UNEP 2023. Third global monitoring report UNEP/POPS/COP.11/INF/38.</w:t>
      </w:r>
    </w:p>
    <w:p w14:paraId="368A36DD" w14:textId="77777777" w:rsidR="00F3536C" w:rsidRPr="00A4272B" w:rsidRDefault="00F3536C" w:rsidP="00766D08">
      <w:pPr>
        <w:outlineLvl w:val="2"/>
        <w:rPr>
          <w:b/>
          <w:bCs/>
          <w:sz w:val="18"/>
          <w:szCs w:val="18"/>
          <w:lang w:val="en-US"/>
        </w:rPr>
      </w:pPr>
      <w:r w:rsidRPr="00A4272B">
        <w:rPr>
          <w:b/>
          <w:bCs/>
          <w:sz w:val="18"/>
          <w:szCs w:val="18"/>
          <w:lang w:val="en-US"/>
        </w:rPr>
        <w:t>Web references</w:t>
      </w:r>
    </w:p>
    <w:p w14:paraId="6F6797EC" w14:textId="2A5EFAE9" w:rsidR="00F3536C" w:rsidRPr="00A4272B" w:rsidRDefault="00F3536C" w:rsidP="006B1FE4">
      <w:pPr>
        <w:rPr>
          <w:sz w:val="18"/>
          <w:szCs w:val="18"/>
          <w:lang w:val="en-US"/>
        </w:rPr>
      </w:pPr>
      <w:r w:rsidRPr="00A4272B">
        <w:rPr>
          <w:sz w:val="18"/>
          <w:szCs w:val="18"/>
          <w:lang w:val="en-US"/>
        </w:rPr>
        <w:t>http://chm.pops.int/Implementation/GlobalMonitoringPlan/Regionalorganizationgroups/tabid/179/Default.aspx</w:t>
      </w:r>
      <w:r w:rsidR="00C02A15" w:rsidRPr="00A4272B">
        <w:rPr>
          <w:sz w:val="18"/>
          <w:szCs w:val="18"/>
          <w:lang w:val="en-US"/>
        </w:rPr>
        <w:t>.</w:t>
      </w:r>
    </w:p>
    <w:p w14:paraId="743C23A7" w14:textId="3E8FB6A7" w:rsidR="00F3536C" w:rsidRPr="00A4272B" w:rsidRDefault="00F3536C" w:rsidP="006B1FE4">
      <w:pPr>
        <w:rPr>
          <w:sz w:val="18"/>
          <w:szCs w:val="18"/>
          <w:lang w:val="en-US"/>
        </w:rPr>
      </w:pPr>
      <w:r w:rsidRPr="00A4272B">
        <w:rPr>
          <w:sz w:val="18"/>
          <w:szCs w:val="18"/>
          <w:lang w:val="en-US"/>
        </w:rPr>
        <w:t>http://chm.pops.int/Implementation/GlobalMonitoringPlan/MonitoringReports/tabid/525/Default.aspx</w:t>
      </w:r>
      <w:r w:rsidR="00C02A15" w:rsidRPr="00A4272B">
        <w:rPr>
          <w:sz w:val="18"/>
          <w:szCs w:val="18"/>
          <w:lang w:val="en-US"/>
        </w:rPr>
        <w:t>.</w:t>
      </w:r>
    </w:p>
    <w:p w14:paraId="4230C5AA" w14:textId="77777777" w:rsidR="00F3536C" w:rsidRPr="00A4272B" w:rsidRDefault="00F3536C" w:rsidP="00766D08">
      <w:pPr>
        <w:outlineLvl w:val="1"/>
        <w:rPr>
          <w:b/>
          <w:bCs/>
          <w:sz w:val="18"/>
          <w:szCs w:val="18"/>
          <w:lang w:val="en-US"/>
        </w:rPr>
      </w:pPr>
      <w:r w:rsidRPr="00A4272B">
        <w:rPr>
          <w:b/>
          <w:bCs/>
          <w:sz w:val="18"/>
          <w:szCs w:val="18"/>
          <w:lang w:val="en-US"/>
        </w:rPr>
        <w:t>Chapter 8</w:t>
      </w:r>
    </w:p>
    <w:p w14:paraId="288BC1A7" w14:textId="7FFBB052" w:rsidR="00030EB7" w:rsidRPr="00A4272B" w:rsidRDefault="00030EB7" w:rsidP="006B1FE4">
      <w:pPr>
        <w:rPr>
          <w:sz w:val="18"/>
          <w:szCs w:val="18"/>
          <w:lang w:val="en-US" w:eastAsia="ja-JP"/>
        </w:rPr>
      </w:pPr>
      <w:r w:rsidRPr="00A4272B">
        <w:rPr>
          <w:sz w:val="18"/>
          <w:szCs w:val="18"/>
          <w:lang w:val="en-US" w:eastAsia="ja-JP"/>
        </w:rPr>
        <w:t>Australasian Biospecimen Network Association (ABNA). https://abna.org.au</w:t>
      </w:r>
      <w:r w:rsidR="002F013F" w:rsidRPr="00A4272B">
        <w:rPr>
          <w:sz w:val="18"/>
          <w:szCs w:val="18"/>
          <w:lang w:val="en-US" w:eastAsia="ja-JP"/>
        </w:rPr>
        <w:t>.</w:t>
      </w:r>
    </w:p>
    <w:p w14:paraId="2A74F2BA" w14:textId="75A8471A" w:rsidR="00030EB7" w:rsidRPr="00A4272B" w:rsidRDefault="00030EB7" w:rsidP="006B1FE4">
      <w:pPr>
        <w:rPr>
          <w:sz w:val="18"/>
          <w:szCs w:val="18"/>
          <w:lang w:val="en-US" w:eastAsia="ja-JP"/>
        </w:rPr>
      </w:pPr>
      <w:r w:rsidRPr="00A4272B">
        <w:rPr>
          <w:sz w:val="18"/>
          <w:szCs w:val="18"/>
          <w:lang w:val="en-US" w:eastAsia="ja-JP"/>
        </w:rPr>
        <w:t>Asian Network of Research Resource Centers (ANRRC). https://anrrc.org</w:t>
      </w:r>
      <w:r w:rsidR="002F013F" w:rsidRPr="00A4272B">
        <w:rPr>
          <w:sz w:val="18"/>
          <w:szCs w:val="18"/>
          <w:lang w:val="en-US" w:eastAsia="ja-JP"/>
        </w:rPr>
        <w:t>.</w:t>
      </w:r>
    </w:p>
    <w:p w14:paraId="641BD84F" w14:textId="48B031D7" w:rsidR="00F3536C" w:rsidRPr="00A4272B" w:rsidRDefault="00F3536C" w:rsidP="006B1FE4">
      <w:pPr>
        <w:rPr>
          <w:sz w:val="18"/>
          <w:szCs w:val="18"/>
          <w:lang w:val="en-US"/>
        </w:rPr>
      </w:pPr>
      <w:r w:rsidRPr="00A4272B">
        <w:rPr>
          <w:sz w:val="18"/>
          <w:szCs w:val="18"/>
          <w:lang w:val="en-US"/>
        </w:rPr>
        <w:t>Becker, P.R., Gunter, E.W., Schlueter, C., Shibata, Y., Wise. S.A. 2006, Environmental Specimen Banking, J. Environ. Monit., 8:776-778.</w:t>
      </w:r>
    </w:p>
    <w:p w14:paraId="1B462877" w14:textId="77777777" w:rsidR="00F3536C" w:rsidRPr="00A4272B" w:rsidRDefault="00F3536C" w:rsidP="006B1FE4">
      <w:pPr>
        <w:rPr>
          <w:sz w:val="18"/>
          <w:szCs w:val="18"/>
          <w:lang w:val="en-US"/>
        </w:rPr>
      </w:pPr>
      <w:r w:rsidRPr="00A4272B">
        <w:rPr>
          <w:sz w:val="18"/>
          <w:szCs w:val="18"/>
          <w:lang w:val="en-US"/>
        </w:rPr>
        <w:t>Becker, P.R., Wise, S.A. 2010, Thirty Years of Progress in Environmental Specimen Banking. In, Interdisciplinary Studies on Environmental Chemistry Vol 4: Environmental Specimen Bank: Exploring Possibility of Setting-up ESBs in Developing Countries.Isobe, T., Nomiyama, K., Subramanian, A., Tanabe, S. eds., TerraPub, Tokyo, Japan, pp 7-14.</w:t>
      </w:r>
    </w:p>
    <w:p w14:paraId="6D8B27EE" w14:textId="7C3838A1" w:rsidR="00F3536C" w:rsidRPr="00A4272B" w:rsidRDefault="00F3536C" w:rsidP="006B1FE4">
      <w:pPr>
        <w:rPr>
          <w:sz w:val="18"/>
          <w:szCs w:val="18"/>
          <w:lang w:val="en-US"/>
        </w:rPr>
      </w:pPr>
      <w:r w:rsidRPr="00A4272B">
        <w:rPr>
          <w:sz w:val="18"/>
          <w:szCs w:val="18"/>
          <w:lang w:val="en-US"/>
        </w:rPr>
        <w:t>Bignert</w:t>
      </w:r>
      <w:r w:rsidR="00F16DB6" w:rsidRPr="00A4272B">
        <w:rPr>
          <w:sz w:val="18"/>
          <w:szCs w:val="18"/>
          <w:lang w:val="en-US" w:eastAsia="ja-JP"/>
        </w:rPr>
        <w:t>,</w:t>
      </w:r>
      <w:r w:rsidRPr="00A4272B">
        <w:rPr>
          <w:sz w:val="18"/>
          <w:szCs w:val="18"/>
          <w:lang w:val="en-US"/>
        </w:rPr>
        <w:t xml:space="preserve"> A</w:t>
      </w:r>
      <w:r w:rsidR="00F16DB6" w:rsidRPr="00A4272B">
        <w:rPr>
          <w:sz w:val="18"/>
          <w:szCs w:val="18"/>
          <w:lang w:val="en-US" w:eastAsia="ja-JP"/>
        </w:rPr>
        <w:t>.</w:t>
      </w:r>
      <w:r w:rsidRPr="00A4272B">
        <w:rPr>
          <w:sz w:val="18"/>
          <w:szCs w:val="18"/>
          <w:lang w:val="en-US"/>
        </w:rPr>
        <w:t>, Riget</w:t>
      </w:r>
      <w:r w:rsidR="00F16DB6" w:rsidRPr="00A4272B">
        <w:rPr>
          <w:sz w:val="18"/>
          <w:szCs w:val="18"/>
          <w:lang w:val="en-US" w:eastAsia="ja-JP"/>
        </w:rPr>
        <w:t>,</w:t>
      </w:r>
      <w:r w:rsidRPr="00A4272B">
        <w:rPr>
          <w:sz w:val="18"/>
          <w:szCs w:val="18"/>
          <w:lang w:val="en-US"/>
        </w:rPr>
        <w:t xml:space="preserve"> F</w:t>
      </w:r>
      <w:r w:rsidR="00F16DB6" w:rsidRPr="00A4272B">
        <w:rPr>
          <w:sz w:val="18"/>
          <w:szCs w:val="18"/>
          <w:lang w:val="en-US" w:eastAsia="ja-JP"/>
        </w:rPr>
        <w:t>.</w:t>
      </w:r>
      <w:r w:rsidRPr="00A4272B">
        <w:rPr>
          <w:sz w:val="18"/>
          <w:szCs w:val="18"/>
          <w:lang w:val="en-US"/>
        </w:rPr>
        <w:t>, Braune</w:t>
      </w:r>
      <w:r w:rsidR="00F16DB6" w:rsidRPr="00A4272B">
        <w:rPr>
          <w:sz w:val="18"/>
          <w:szCs w:val="18"/>
          <w:lang w:val="en-US" w:eastAsia="ja-JP"/>
        </w:rPr>
        <w:t>,</w:t>
      </w:r>
      <w:r w:rsidRPr="00A4272B">
        <w:rPr>
          <w:sz w:val="18"/>
          <w:szCs w:val="18"/>
          <w:lang w:val="en-US"/>
        </w:rPr>
        <w:t xml:space="preserve"> B</w:t>
      </w:r>
      <w:r w:rsidR="00F16DB6" w:rsidRPr="00A4272B">
        <w:rPr>
          <w:sz w:val="18"/>
          <w:szCs w:val="18"/>
          <w:lang w:val="en-US" w:eastAsia="ja-JP"/>
        </w:rPr>
        <w:t>.</w:t>
      </w:r>
      <w:r w:rsidRPr="00A4272B">
        <w:rPr>
          <w:sz w:val="18"/>
          <w:szCs w:val="18"/>
          <w:lang w:val="en-US"/>
        </w:rPr>
        <w:t>, Outridge</w:t>
      </w:r>
      <w:r w:rsidR="00F16DB6" w:rsidRPr="00A4272B">
        <w:rPr>
          <w:sz w:val="18"/>
          <w:szCs w:val="18"/>
          <w:lang w:val="en-US" w:eastAsia="ja-JP"/>
        </w:rPr>
        <w:t>,</w:t>
      </w:r>
      <w:r w:rsidRPr="00A4272B">
        <w:rPr>
          <w:sz w:val="18"/>
          <w:szCs w:val="18"/>
          <w:lang w:val="en-US"/>
        </w:rPr>
        <w:t xml:space="preserve"> P</w:t>
      </w:r>
      <w:r w:rsidR="00F16DB6" w:rsidRPr="00A4272B">
        <w:rPr>
          <w:sz w:val="18"/>
          <w:szCs w:val="18"/>
          <w:lang w:val="en-US" w:eastAsia="ja-JP"/>
        </w:rPr>
        <w:t>.</w:t>
      </w:r>
      <w:r w:rsidRPr="00A4272B">
        <w:rPr>
          <w:sz w:val="18"/>
          <w:szCs w:val="18"/>
          <w:lang w:val="en-US"/>
        </w:rPr>
        <w:t>, Wilson</w:t>
      </w:r>
      <w:r w:rsidR="00F16DB6" w:rsidRPr="00A4272B">
        <w:rPr>
          <w:sz w:val="18"/>
          <w:szCs w:val="18"/>
          <w:lang w:val="en-US" w:eastAsia="ja-JP"/>
        </w:rPr>
        <w:t>,</w:t>
      </w:r>
      <w:r w:rsidRPr="00A4272B">
        <w:rPr>
          <w:sz w:val="18"/>
          <w:szCs w:val="18"/>
          <w:lang w:val="en-US"/>
        </w:rPr>
        <w:t xml:space="preserve"> S</w:t>
      </w:r>
      <w:r w:rsidR="00F16DB6" w:rsidRPr="00A4272B">
        <w:rPr>
          <w:sz w:val="18"/>
          <w:szCs w:val="18"/>
          <w:lang w:val="en-US" w:eastAsia="ja-JP"/>
        </w:rPr>
        <w:t>.</w:t>
      </w:r>
      <w:r w:rsidRPr="00A4272B">
        <w:rPr>
          <w:sz w:val="18"/>
          <w:szCs w:val="18"/>
          <w:lang w:val="en-US"/>
        </w:rPr>
        <w:t xml:space="preserve"> 2004</w:t>
      </w:r>
      <w:r w:rsidR="00F16DB6" w:rsidRPr="00A4272B">
        <w:rPr>
          <w:sz w:val="18"/>
          <w:szCs w:val="18"/>
          <w:lang w:val="en-US" w:eastAsia="ja-JP"/>
        </w:rPr>
        <w:t>.</w:t>
      </w:r>
      <w:r w:rsidRPr="00A4272B">
        <w:rPr>
          <w:sz w:val="18"/>
          <w:szCs w:val="18"/>
          <w:lang w:val="en-US"/>
        </w:rPr>
        <w:t xml:space="preserve"> Recent temporal trend monitoring of mercury in Arctic biota – how powerful are the existing datasets? J. Environ. Monit, </w:t>
      </w:r>
      <w:r w:rsidR="00F16DB6" w:rsidRPr="00A4272B">
        <w:rPr>
          <w:sz w:val="18"/>
          <w:szCs w:val="18"/>
          <w:lang w:val="en-US" w:eastAsia="ja-JP"/>
        </w:rPr>
        <w:t>6</w:t>
      </w:r>
      <w:r w:rsidR="00F16DB6" w:rsidRPr="00A4272B">
        <w:rPr>
          <w:sz w:val="18"/>
          <w:szCs w:val="18"/>
          <w:lang w:val="en-US"/>
        </w:rPr>
        <w:t>:</w:t>
      </w:r>
      <w:r w:rsidR="00F16DB6" w:rsidRPr="00A4272B">
        <w:rPr>
          <w:sz w:val="18"/>
          <w:szCs w:val="18"/>
          <w:lang w:val="en-US" w:eastAsia="ja-JP"/>
        </w:rPr>
        <w:t>351</w:t>
      </w:r>
      <w:r w:rsidR="00514E0D" w:rsidRPr="00A4272B">
        <w:rPr>
          <w:sz w:val="18"/>
          <w:szCs w:val="18"/>
          <w:lang w:val="en-US"/>
        </w:rPr>
        <w:t>-</w:t>
      </w:r>
      <w:r w:rsidR="00F16DB6" w:rsidRPr="00A4272B">
        <w:rPr>
          <w:sz w:val="18"/>
          <w:szCs w:val="18"/>
          <w:lang w:val="en-US" w:eastAsia="ja-JP"/>
        </w:rPr>
        <w:t>355</w:t>
      </w:r>
      <w:r w:rsidR="00F16DB6" w:rsidRPr="00A4272B">
        <w:rPr>
          <w:sz w:val="18"/>
          <w:szCs w:val="18"/>
          <w:lang w:val="en-US"/>
        </w:rPr>
        <w:t>.</w:t>
      </w:r>
    </w:p>
    <w:p w14:paraId="0E87D957" w14:textId="07ABE9DD" w:rsidR="00F3536C" w:rsidRPr="00A4272B" w:rsidRDefault="00F3536C" w:rsidP="006B1FE4">
      <w:pPr>
        <w:rPr>
          <w:sz w:val="18"/>
          <w:szCs w:val="18"/>
          <w:lang w:val="en-US"/>
        </w:rPr>
      </w:pPr>
      <w:r w:rsidRPr="00A4272B">
        <w:rPr>
          <w:sz w:val="18"/>
          <w:szCs w:val="18"/>
          <w:lang w:val="en-US"/>
        </w:rPr>
        <w:t>Bignert</w:t>
      </w:r>
      <w:r w:rsidR="00F16DB6" w:rsidRPr="00A4272B">
        <w:rPr>
          <w:sz w:val="18"/>
          <w:szCs w:val="18"/>
          <w:lang w:val="en-US" w:eastAsia="ja-JP"/>
        </w:rPr>
        <w:t>,</w:t>
      </w:r>
      <w:r w:rsidRPr="00A4272B">
        <w:rPr>
          <w:sz w:val="18"/>
          <w:szCs w:val="18"/>
          <w:lang w:val="en-US"/>
        </w:rPr>
        <w:t xml:space="preserve"> A</w:t>
      </w:r>
      <w:r w:rsidR="00F16DB6" w:rsidRPr="00A4272B">
        <w:rPr>
          <w:sz w:val="18"/>
          <w:szCs w:val="18"/>
          <w:lang w:val="en-US" w:eastAsia="ja-JP"/>
        </w:rPr>
        <w:t>.</w:t>
      </w:r>
      <w:r w:rsidRPr="00A4272B">
        <w:rPr>
          <w:sz w:val="18"/>
          <w:szCs w:val="18"/>
          <w:lang w:val="en-US"/>
        </w:rPr>
        <w:t>, Eriksson</w:t>
      </w:r>
      <w:r w:rsidR="00F16DB6" w:rsidRPr="00A4272B">
        <w:rPr>
          <w:sz w:val="18"/>
          <w:szCs w:val="18"/>
          <w:lang w:val="en-US" w:eastAsia="ja-JP"/>
        </w:rPr>
        <w:t>,</w:t>
      </w:r>
      <w:r w:rsidRPr="00A4272B">
        <w:rPr>
          <w:sz w:val="18"/>
          <w:szCs w:val="18"/>
          <w:lang w:val="en-US"/>
        </w:rPr>
        <w:t xml:space="preserve"> U</w:t>
      </w:r>
      <w:r w:rsidR="00F16DB6" w:rsidRPr="00A4272B">
        <w:rPr>
          <w:sz w:val="18"/>
          <w:szCs w:val="18"/>
          <w:lang w:val="en-US" w:eastAsia="ja-JP"/>
        </w:rPr>
        <w:t>.</w:t>
      </w:r>
      <w:r w:rsidRPr="00A4272B">
        <w:rPr>
          <w:sz w:val="18"/>
          <w:szCs w:val="18"/>
          <w:lang w:val="en-US"/>
        </w:rPr>
        <w:t>, Nyberg</w:t>
      </w:r>
      <w:r w:rsidR="00F16DB6" w:rsidRPr="00A4272B">
        <w:rPr>
          <w:sz w:val="18"/>
          <w:szCs w:val="18"/>
          <w:lang w:val="en-US" w:eastAsia="ja-JP"/>
        </w:rPr>
        <w:t>,</w:t>
      </w:r>
      <w:r w:rsidRPr="00A4272B">
        <w:rPr>
          <w:sz w:val="18"/>
          <w:szCs w:val="18"/>
          <w:lang w:val="en-US"/>
        </w:rPr>
        <w:t xml:space="preserve"> E</w:t>
      </w:r>
      <w:r w:rsidR="00F16DB6" w:rsidRPr="00A4272B">
        <w:rPr>
          <w:sz w:val="18"/>
          <w:szCs w:val="18"/>
          <w:lang w:val="en-US" w:eastAsia="ja-JP"/>
        </w:rPr>
        <w:t>.</w:t>
      </w:r>
      <w:r w:rsidRPr="00A4272B">
        <w:rPr>
          <w:sz w:val="18"/>
          <w:szCs w:val="18"/>
          <w:lang w:val="en-US"/>
        </w:rPr>
        <w:t>, Miller</w:t>
      </w:r>
      <w:r w:rsidR="00F16DB6" w:rsidRPr="00A4272B">
        <w:rPr>
          <w:sz w:val="18"/>
          <w:szCs w:val="18"/>
          <w:lang w:val="en-US" w:eastAsia="ja-JP"/>
        </w:rPr>
        <w:t>,</w:t>
      </w:r>
      <w:r w:rsidRPr="00A4272B">
        <w:rPr>
          <w:sz w:val="18"/>
          <w:szCs w:val="18"/>
          <w:lang w:val="en-US"/>
        </w:rPr>
        <w:t xml:space="preserve"> A</w:t>
      </w:r>
      <w:r w:rsidR="00F16DB6" w:rsidRPr="00A4272B">
        <w:rPr>
          <w:sz w:val="18"/>
          <w:szCs w:val="18"/>
          <w:lang w:val="en-US" w:eastAsia="ja-JP"/>
        </w:rPr>
        <w:t>.</w:t>
      </w:r>
      <w:r w:rsidRPr="00A4272B">
        <w:rPr>
          <w:sz w:val="18"/>
          <w:szCs w:val="18"/>
          <w:lang w:val="en-US"/>
        </w:rPr>
        <w:t>, Danielsson</w:t>
      </w:r>
      <w:r w:rsidR="00F16DB6" w:rsidRPr="00A4272B">
        <w:rPr>
          <w:sz w:val="18"/>
          <w:szCs w:val="18"/>
          <w:lang w:val="en-US" w:eastAsia="ja-JP"/>
        </w:rPr>
        <w:t>,</w:t>
      </w:r>
      <w:r w:rsidRPr="00A4272B">
        <w:rPr>
          <w:sz w:val="18"/>
          <w:szCs w:val="18"/>
          <w:lang w:val="en-US"/>
        </w:rPr>
        <w:t xml:space="preserve"> S</w:t>
      </w:r>
      <w:r w:rsidR="00F16DB6" w:rsidRPr="00A4272B">
        <w:rPr>
          <w:sz w:val="18"/>
          <w:szCs w:val="18"/>
          <w:lang w:val="en-US" w:eastAsia="ja-JP"/>
        </w:rPr>
        <w:t>.</w:t>
      </w:r>
      <w:r w:rsidRPr="00A4272B">
        <w:rPr>
          <w:sz w:val="18"/>
          <w:szCs w:val="18"/>
          <w:lang w:val="en-US"/>
        </w:rPr>
        <w:t xml:space="preserve"> 2014</w:t>
      </w:r>
      <w:r w:rsidR="00514E0D" w:rsidRPr="00A4272B">
        <w:rPr>
          <w:sz w:val="18"/>
          <w:szCs w:val="18"/>
          <w:lang w:val="en-US" w:eastAsia="ja-JP"/>
        </w:rPr>
        <w:t>.</w:t>
      </w:r>
      <w:r w:rsidRPr="00A4272B">
        <w:rPr>
          <w:sz w:val="18"/>
          <w:szCs w:val="18"/>
          <w:lang w:val="en-US"/>
        </w:rPr>
        <w:t xml:space="preserve"> Consequences of using pooled versus individual samples for designing sampling strategies. Chemosphere, 94:177</w:t>
      </w:r>
      <w:r w:rsidR="00514E0D" w:rsidRPr="00A4272B">
        <w:rPr>
          <w:sz w:val="18"/>
          <w:szCs w:val="18"/>
          <w:lang w:val="en-US"/>
        </w:rPr>
        <w:t>-</w:t>
      </w:r>
      <w:r w:rsidRPr="00A4272B">
        <w:rPr>
          <w:sz w:val="18"/>
          <w:szCs w:val="18"/>
          <w:lang w:val="en-US"/>
        </w:rPr>
        <w:t>182.</w:t>
      </w:r>
    </w:p>
    <w:p w14:paraId="0CA98619" w14:textId="105DE24F" w:rsidR="00F3536C" w:rsidRPr="00A4272B" w:rsidRDefault="00F3536C" w:rsidP="006B1FE4">
      <w:pPr>
        <w:rPr>
          <w:sz w:val="18"/>
          <w:szCs w:val="18"/>
          <w:lang w:val="en-US"/>
        </w:rPr>
      </w:pPr>
      <w:r w:rsidRPr="00A4272B">
        <w:rPr>
          <w:sz w:val="18"/>
          <w:szCs w:val="18"/>
          <w:lang w:val="en-US"/>
        </w:rPr>
        <w:t>Bowen, R.A.R., Chan, Y., Cohen, J., Rehak, N.N., Hortin, G.L., Csako, G., Remaley, A.T. 200</w:t>
      </w:r>
      <w:r w:rsidR="0028784A" w:rsidRPr="00A4272B">
        <w:rPr>
          <w:sz w:val="18"/>
          <w:szCs w:val="18"/>
          <w:lang w:val="en-US" w:eastAsia="ja-JP"/>
        </w:rPr>
        <w:t>5</w:t>
      </w:r>
      <w:r w:rsidRPr="00A4272B">
        <w:rPr>
          <w:sz w:val="18"/>
          <w:szCs w:val="18"/>
          <w:lang w:val="en-US"/>
        </w:rPr>
        <w:t>, Effect of Blood Collection Tubes on Total Triiodothyronine and Other Laboratory Assays, Clinical Chem. 51:424</w:t>
      </w:r>
      <w:r w:rsidR="00514E0D" w:rsidRPr="00A4272B">
        <w:rPr>
          <w:sz w:val="18"/>
          <w:szCs w:val="18"/>
          <w:lang w:val="en-US"/>
        </w:rPr>
        <w:t>-</w:t>
      </w:r>
      <w:r w:rsidRPr="00A4272B">
        <w:rPr>
          <w:sz w:val="18"/>
          <w:szCs w:val="18"/>
          <w:lang w:val="en-US"/>
        </w:rPr>
        <w:t>433</w:t>
      </w:r>
      <w:r w:rsidR="00C02A15" w:rsidRPr="00A4272B">
        <w:rPr>
          <w:sz w:val="18"/>
          <w:szCs w:val="18"/>
          <w:lang w:val="en-US"/>
        </w:rPr>
        <w:t>.</w:t>
      </w:r>
    </w:p>
    <w:p w14:paraId="5E12EF24" w14:textId="4D8E70B6" w:rsidR="00514E0D" w:rsidRPr="00A4272B" w:rsidRDefault="00F3536C" w:rsidP="006B1FE4">
      <w:pPr>
        <w:rPr>
          <w:sz w:val="18"/>
          <w:szCs w:val="18"/>
          <w:lang w:val="en-US"/>
        </w:rPr>
      </w:pPr>
      <w:r w:rsidRPr="00A4272B">
        <w:rPr>
          <w:sz w:val="18"/>
          <w:szCs w:val="18"/>
          <w:lang w:val="en-US"/>
        </w:rPr>
        <w:t>Eisenberg, D., Kauzmann, W. 2005, The Structure and Properties of Water, pp.308, Oxford Univ. Press.</w:t>
      </w:r>
    </w:p>
    <w:p w14:paraId="17DF6E53" w14:textId="13E1752C" w:rsidR="00030EB7" w:rsidRPr="00A4272B" w:rsidRDefault="00030EB7" w:rsidP="006B1FE4">
      <w:pPr>
        <w:rPr>
          <w:sz w:val="18"/>
          <w:szCs w:val="18"/>
          <w:lang w:val="en-US" w:eastAsia="ja-JP"/>
        </w:rPr>
      </w:pPr>
      <w:r w:rsidRPr="00A4272B">
        <w:rPr>
          <w:sz w:val="18"/>
          <w:szCs w:val="18"/>
          <w:lang w:val="en-US" w:eastAsia="ja-JP"/>
        </w:rPr>
        <w:t>European, Middle Eastern and African Society for Biopreservation and Biobanking (ESBB). https://esbb.org</w:t>
      </w:r>
      <w:r w:rsidR="00C96212" w:rsidRPr="00A4272B">
        <w:rPr>
          <w:sz w:val="18"/>
          <w:szCs w:val="18"/>
          <w:lang w:val="en-US" w:eastAsia="ja-JP"/>
        </w:rPr>
        <w:t>.</w:t>
      </w:r>
    </w:p>
    <w:p w14:paraId="512469CD" w14:textId="77777777" w:rsidR="00F3536C" w:rsidRPr="00A4272B" w:rsidRDefault="00F3536C" w:rsidP="006B1FE4">
      <w:pPr>
        <w:rPr>
          <w:sz w:val="18"/>
          <w:szCs w:val="18"/>
          <w:lang w:val="en-US"/>
        </w:rPr>
      </w:pPr>
      <w:r w:rsidRPr="00A4272B">
        <w:rPr>
          <w:sz w:val="18"/>
          <w:szCs w:val="18"/>
          <w:lang w:val="en-US"/>
        </w:rPr>
        <w:t>Ezoe, Y., Goto, S., Tanabe, K., Endo, O., Koyano, M., Tanabe, I., Matsushita, H. 2004, Polycyclic Aromatic Hydrocarbon Concentrations of Airborne Particles in Urban Air over the Past Twenty Years, Polycyclic Aromatic Comp., 24:635-646.</w:t>
      </w:r>
    </w:p>
    <w:p w14:paraId="7CFBCD6A" w14:textId="1096FD8C" w:rsidR="00F3536C" w:rsidRPr="00A4272B" w:rsidRDefault="00F3536C" w:rsidP="006B1FE4">
      <w:pPr>
        <w:rPr>
          <w:sz w:val="18"/>
          <w:szCs w:val="18"/>
          <w:lang w:val="en-US"/>
        </w:rPr>
      </w:pPr>
      <w:r w:rsidRPr="00A4272B">
        <w:rPr>
          <w:sz w:val="18"/>
          <w:szCs w:val="18"/>
          <w:lang w:val="en-US"/>
        </w:rPr>
        <w:t xml:space="preserve">Federal Environmental Agency (Umweltbundesamt), German Environmental Specimen Bank—Concept, Berlin, Germany, 2008 (2014 version is available in German). https://www.umweltprobenbank.de/en/documents/11426. </w:t>
      </w:r>
    </w:p>
    <w:p w14:paraId="73CE6C27" w14:textId="4B58D60D" w:rsidR="00514E0D" w:rsidRPr="00A4272B" w:rsidRDefault="00514E0D" w:rsidP="006B1FE4">
      <w:pPr>
        <w:rPr>
          <w:sz w:val="18"/>
          <w:szCs w:val="18"/>
          <w:lang w:val="en-US" w:eastAsia="ja-JP"/>
        </w:rPr>
      </w:pPr>
      <w:r w:rsidRPr="00A4272B">
        <w:rPr>
          <w:sz w:val="18"/>
          <w:szCs w:val="18"/>
          <w:lang w:val="en-US" w:eastAsia="ja-JP"/>
        </w:rPr>
        <w:t xml:space="preserve">International Environmental Specimen Bank (IESB). </w:t>
      </w:r>
      <w:hyperlink r:id="rId109" w:history="1">
        <w:r w:rsidRPr="00A4272B">
          <w:rPr>
            <w:rStyle w:val="Hyperlink"/>
            <w:sz w:val="18"/>
            <w:szCs w:val="18"/>
            <w:lang w:val="en-US" w:eastAsia="ja-JP"/>
          </w:rPr>
          <w:t>https://www.umweltbundesamt.de/en/topics/chemicals/international-environmental-specimen-bank-group</w:t>
        </w:r>
      </w:hyperlink>
      <w:r w:rsidR="00C96212" w:rsidRPr="00A4272B">
        <w:rPr>
          <w:lang w:val="en-US"/>
        </w:rPr>
        <w:t>.</w:t>
      </w:r>
    </w:p>
    <w:p w14:paraId="2263AE5E" w14:textId="620F83DB" w:rsidR="00514E0D" w:rsidRPr="00A4272B" w:rsidRDefault="00514E0D" w:rsidP="006B1FE4">
      <w:pPr>
        <w:rPr>
          <w:sz w:val="18"/>
          <w:szCs w:val="18"/>
          <w:lang w:val="en-US" w:eastAsia="ja-JP"/>
        </w:rPr>
      </w:pPr>
      <w:r w:rsidRPr="00A4272B">
        <w:rPr>
          <w:sz w:val="18"/>
          <w:szCs w:val="18"/>
          <w:lang w:val="en-US" w:eastAsia="ja-JP"/>
        </w:rPr>
        <w:t>International Society for Biological and Environmental Repositories (ISBER). https://isber.site-ym.com/default.aspx</w:t>
      </w:r>
      <w:r w:rsidR="00C96212" w:rsidRPr="00A4272B">
        <w:rPr>
          <w:sz w:val="18"/>
          <w:szCs w:val="18"/>
          <w:lang w:val="en-US" w:eastAsia="ja-JP"/>
        </w:rPr>
        <w:t>.</w:t>
      </w:r>
    </w:p>
    <w:p w14:paraId="63044395" w14:textId="77777777" w:rsidR="00F3536C" w:rsidRPr="00A4272B" w:rsidRDefault="00F3536C" w:rsidP="006B1FE4">
      <w:pPr>
        <w:rPr>
          <w:sz w:val="18"/>
          <w:szCs w:val="18"/>
          <w:lang w:val="en-US"/>
        </w:rPr>
      </w:pPr>
      <w:r w:rsidRPr="00A4272B">
        <w:rPr>
          <w:sz w:val="18"/>
          <w:szCs w:val="18"/>
          <w:lang w:val="en-US"/>
        </w:rPr>
        <w:t xml:space="preserve">Isobe, T., Nomiyama, K., Subramanian, A., Tanabe S. eds. 2010, Interdisciplinary Studies on Environmental Chemistry Vol.4, Environmental Specimen Bank, Terrapub Tokyo. </w:t>
      </w:r>
    </w:p>
    <w:p w14:paraId="35A19082" w14:textId="77777777" w:rsidR="00F3536C" w:rsidRPr="00A4272B" w:rsidRDefault="00F3536C" w:rsidP="006B1FE4">
      <w:pPr>
        <w:rPr>
          <w:sz w:val="18"/>
          <w:szCs w:val="18"/>
          <w:lang w:val="en-US"/>
        </w:rPr>
      </w:pPr>
      <w:r w:rsidRPr="00A4272B">
        <w:rPr>
          <w:sz w:val="18"/>
          <w:szCs w:val="18"/>
          <w:lang w:val="en-US"/>
        </w:rPr>
        <w:t>Karube, Z., Tanaka, A., Takeuchi, A., Takazawa, Y., Takagi, M., Kinoshita, A., Seyama, H., Shibata, Y. 2015, Three decades of environmental specimen banking at the National Institute for Environmental Studies, Japan, Environ. Sci. Pollut. Res., 22:1587-96.</w:t>
      </w:r>
    </w:p>
    <w:p w14:paraId="1434BEC2" w14:textId="77777777" w:rsidR="00F3536C" w:rsidRPr="00A4272B" w:rsidRDefault="00F3536C" w:rsidP="006B1FE4">
      <w:pPr>
        <w:rPr>
          <w:sz w:val="18"/>
          <w:szCs w:val="18"/>
          <w:lang w:val="en-US"/>
        </w:rPr>
      </w:pPr>
      <w:r w:rsidRPr="00A4272B">
        <w:rPr>
          <w:sz w:val="18"/>
          <w:szCs w:val="18"/>
          <w:lang w:val="en-US"/>
        </w:rPr>
        <w:t xml:space="preserve">Lynch, J.M., Ragland, J.M., Reagen, W.K., Wolf, S.T., Malinsky, M.D., Ellisor, M.B., Moors, A.J., Pugh, R.S., Reiner, J.L. 2018, Feasibility of using the National Marine Mammal Tissue Bank for retrospective exploratory studies of perfluorinated alkyl acids, Sci. Total Environ., 624:781-789. </w:t>
      </w:r>
    </w:p>
    <w:p w14:paraId="4686D3AB" w14:textId="51E47CED" w:rsidR="00F3536C" w:rsidRPr="00A4272B" w:rsidRDefault="00F3536C" w:rsidP="006B1FE4">
      <w:pPr>
        <w:rPr>
          <w:sz w:val="18"/>
          <w:szCs w:val="18"/>
          <w:lang w:val="en-US"/>
        </w:rPr>
      </w:pPr>
      <w:r w:rsidRPr="00A4272B">
        <w:rPr>
          <w:sz w:val="18"/>
          <w:szCs w:val="18"/>
          <w:lang w:val="en-US"/>
        </w:rPr>
        <w:t>Malisch, K., Malisch, R., Fiedler, H. 2017, “Guidelines for Organization, Sampling and Analysis of Human Milk on Persistent Organic Pollutants”. https://wedocs.unep.org/bitstream/handle/20.500.11822/21024/UNEP_Guidance_HumanMilk_2017_En.pdf?sequence=1&amp;isAllowed=y</w:t>
      </w:r>
      <w:r w:rsidR="00C02A15" w:rsidRPr="00A4272B">
        <w:rPr>
          <w:sz w:val="18"/>
          <w:szCs w:val="18"/>
          <w:lang w:val="en-US"/>
        </w:rPr>
        <w:t>.</w:t>
      </w:r>
    </w:p>
    <w:p w14:paraId="3D7333FE" w14:textId="24EC0D00" w:rsidR="00F3536C" w:rsidRPr="00A4272B" w:rsidRDefault="00F3536C" w:rsidP="006B1FE4">
      <w:pPr>
        <w:rPr>
          <w:sz w:val="18"/>
          <w:szCs w:val="18"/>
          <w:lang w:val="en-US"/>
        </w:rPr>
      </w:pPr>
      <w:r w:rsidRPr="00A4272B">
        <w:rPr>
          <w:sz w:val="18"/>
          <w:szCs w:val="18"/>
          <w:lang w:val="en-US"/>
        </w:rPr>
        <w:t>Matsumura, T., Goto, S., Sasai, S., Hijiya, M., Shamoto, H., Endo, O., Watanabe, I., Tanabe, K., Matsushita, H. 2003,</w:t>
      </w:r>
      <w:r w:rsidR="00F16DB6" w:rsidRPr="00A4272B">
        <w:rPr>
          <w:sz w:val="18"/>
          <w:szCs w:val="18"/>
          <w:lang w:val="en-US" w:eastAsia="ja-JP"/>
        </w:rPr>
        <w:t xml:space="preserve"> </w:t>
      </w:r>
      <w:r w:rsidRPr="00A4272B">
        <w:rPr>
          <w:sz w:val="18"/>
          <w:szCs w:val="18"/>
          <w:lang w:val="en-US"/>
        </w:rPr>
        <w:t>Concentration of Dioxins in Ambient Air Over the Past 20 Years (II), Organohalogen Comp. 61:502-505.</w:t>
      </w:r>
    </w:p>
    <w:p w14:paraId="079E6E32" w14:textId="77777777" w:rsidR="00F3536C" w:rsidRPr="00A4272B" w:rsidRDefault="00F3536C" w:rsidP="006B1FE4">
      <w:pPr>
        <w:rPr>
          <w:sz w:val="18"/>
          <w:szCs w:val="18"/>
          <w:lang w:val="en-US"/>
        </w:rPr>
      </w:pPr>
      <w:r w:rsidRPr="00A4272B">
        <w:rPr>
          <w:sz w:val="18"/>
          <w:szCs w:val="18"/>
          <w:lang w:val="en-US"/>
        </w:rPr>
        <w:t>Nagayama, J., Todaka, T., Hirakawa, H., Hori, T., Kajiwara, J., Yoshimura, T., Furue, M. 2010, Polychlorinated dibenzofurans as a causal agent of fetal Yusho, Chemosphere 80:513-518.</w:t>
      </w:r>
    </w:p>
    <w:p w14:paraId="63F61C40" w14:textId="08426445" w:rsidR="00F3536C" w:rsidRPr="00A4272B" w:rsidRDefault="00F3536C" w:rsidP="006B1FE4">
      <w:pPr>
        <w:rPr>
          <w:sz w:val="18"/>
          <w:szCs w:val="18"/>
          <w:lang w:val="en-US" w:eastAsia="ja-JP"/>
        </w:rPr>
      </w:pPr>
      <w:r w:rsidRPr="00A4272B">
        <w:rPr>
          <w:sz w:val="18"/>
          <w:szCs w:val="18"/>
          <w:lang w:val="en-US"/>
        </w:rPr>
        <w:t xml:space="preserve">NIES. Certified Reference Materials: </w:t>
      </w:r>
      <w:r w:rsidR="00514E0D" w:rsidRPr="00A4272B">
        <w:rPr>
          <w:sz w:val="18"/>
          <w:szCs w:val="18"/>
          <w:lang w:val="en-US" w:eastAsia="ja-JP"/>
        </w:rPr>
        <w:t>https://www.nies.go.jp/labo/crm-e/index.html</w:t>
      </w:r>
      <w:r w:rsidR="00C96212" w:rsidRPr="00A4272B">
        <w:rPr>
          <w:sz w:val="18"/>
          <w:szCs w:val="18"/>
          <w:lang w:val="en-US" w:eastAsia="ja-JP"/>
        </w:rPr>
        <w:t>.</w:t>
      </w:r>
    </w:p>
    <w:p w14:paraId="5974CF8A" w14:textId="760D5A45" w:rsidR="00F82B3D" w:rsidRPr="00A4272B" w:rsidRDefault="00F3536C" w:rsidP="006B1FE4">
      <w:pPr>
        <w:rPr>
          <w:sz w:val="18"/>
          <w:szCs w:val="18"/>
          <w:lang w:val="en-US" w:eastAsia="ja-JP"/>
        </w:rPr>
      </w:pPr>
      <w:r w:rsidRPr="00A4272B">
        <w:rPr>
          <w:sz w:val="18"/>
          <w:szCs w:val="18"/>
          <w:lang w:val="en-US"/>
        </w:rPr>
        <w:t xml:space="preserve">NIST. Standard Reference Materials: </w:t>
      </w:r>
      <w:hyperlink r:id="rId110" w:history="1">
        <w:r w:rsidR="00F82B3D" w:rsidRPr="00A4272B">
          <w:rPr>
            <w:rStyle w:val="Hyperlink"/>
            <w:sz w:val="18"/>
            <w:szCs w:val="18"/>
            <w:lang w:val="en-US"/>
          </w:rPr>
          <w:t>https://www.nist.gov/srm</w:t>
        </w:r>
      </w:hyperlink>
      <w:r w:rsidR="00C96212" w:rsidRPr="00A4272B">
        <w:rPr>
          <w:lang w:val="en-US"/>
        </w:rPr>
        <w:t>.</w:t>
      </w:r>
    </w:p>
    <w:p w14:paraId="5AFE3E33" w14:textId="0B3B93C5" w:rsidR="00F82B3D" w:rsidRPr="00A4272B" w:rsidRDefault="00F82B3D" w:rsidP="006B1FE4">
      <w:pPr>
        <w:rPr>
          <w:sz w:val="18"/>
          <w:szCs w:val="18"/>
          <w:lang w:val="en-US" w:eastAsia="ja-JP"/>
        </w:rPr>
      </w:pPr>
      <w:r w:rsidRPr="00A4272B">
        <w:rPr>
          <w:sz w:val="18"/>
          <w:szCs w:val="18"/>
          <w:lang w:val="en-US" w:eastAsia="ja-JP"/>
        </w:rPr>
        <w:t>Nyberg, E., Awad, R., Bignert,</w:t>
      </w:r>
      <w:r w:rsidR="0028784A" w:rsidRPr="00A4272B">
        <w:rPr>
          <w:sz w:val="18"/>
          <w:szCs w:val="18"/>
          <w:lang w:val="en-US" w:eastAsia="ja-JP"/>
        </w:rPr>
        <w:t xml:space="preserve"> A.,</w:t>
      </w:r>
      <w:r w:rsidRPr="00A4272B">
        <w:rPr>
          <w:sz w:val="18"/>
          <w:szCs w:val="18"/>
          <w:lang w:val="en-US" w:eastAsia="ja-JP"/>
        </w:rPr>
        <w:t xml:space="preserve"> Ek,</w:t>
      </w:r>
      <w:r w:rsidR="0028784A" w:rsidRPr="00A4272B">
        <w:rPr>
          <w:sz w:val="18"/>
          <w:szCs w:val="18"/>
          <w:lang w:val="en-US" w:eastAsia="ja-JP"/>
        </w:rPr>
        <w:t xml:space="preserve"> C.,</w:t>
      </w:r>
      <w:r w:rsidRPr="00A4272B">
        <w:rPr>
          <w:sz w:val="18"/>
          <w:szCs w:val="18"/>
          <w:lang w:val="en-US" w:eastAsia="ja-JP"/>
        </w:rPr>
        <w:t xml:space="preserve"> Sallsten,</w:t>
      </w:r>
      <w:r w:rsidR="0028784A" w:rsidRPr="00A4272B">
        <w:rPr>
          <w:sz w:val="18"/>
          <w:szCs w:val="18"/>
          <w:lang w:val="en-US" w:eastAsia="ja-JP"/>
        </w:rPr>
        <w:t xml:space="preserve"> G.,</w:t>
      </w:r>
      <w:r w:rsidRPr="00A4272B">
        <w:rPr>
          <w:sz w:val="18"/>
          <w:szCs w:val="18"/>
          <w:lang w:val="en-US" w:eastAsia="ja-JP"/>
        </w:rPr>
        <w:t xml:space="preserve"> Benskin</w:t>
      </w:r>
      <w:r w:rsidR="0028784A" w:rsidRPr="00A4272B">
        <w:rPr>
          <w:sz w:val="18"/>
          <w:szCs w:val="18"/>
          <w:lang w:val="en-US" w:eastAsia="ja-JP"/>
        </w:rPr>
        <w:t>, J.P. 2018. Inter-individual, inter-city, and temporal trends of per- and polyfluoroalkyl substances in human milk from Swedish mothers between 1972 and 2016, Environ. Sci. Process Impacts, 20: 1136-1147.</w:t>
      </w:r>
    </w:p>
    <w:p w14:paraId="5AEAE142" w14:textId="77777777" w:rsidR="00F3536C" w:rsidRPr="00A4272B" w:rsidRDefault="00F3536C" w:rsidP="006B1FE4">
      <w:pPr>
        <w:rPr>
          <w:sz w:val="18"/>
          <w:szCs w:val="18"/>
          <w:lang w:val="en-US"/>
        </w:rPr>
      </w:pPr>
      <w:r w:rsidRPr="00A4272B">
        <w:rPr>
          <w:sz w:val="18"/>
          <w:szCs w:val="18"/>
          <w:lang w:val="en-US"/>
        </w:rPr>
        <w:t xml:space="preserve">O’Doherty, S., Cunnold, D.M., Miller, B.R., Muehle, J., McCulloch, A., Simmonds, P.G., Manning, A.J., Vollmer, M.K., Greally, B.R., Prinn, R.G., Fraser, P.J., Steele, L.P., Krummel, P.B., Dunse, B.L., Porter, L.W., Lunder, C.R., Schmidbauer, N., Hermansen, O., Salameh, P.K., Harth, C.M., Wang, R.H.J., Weiss, R.F. 2009, Global and Regional Emissions of HFC-125 (CHF2CF3) from in </w:t>
      </w:r>
      <w:r w:rsidRPr="00A4272B">
        <w:rPr>
          <w:sz w:val="18"/>
          <w:szCs w:val="18"/>
          <w:lang w:val="en-US"/>
        </w:rPr>
        <w:lastRenderedPageBreak/>
        <w:t>situ and Air Archive Atmospheric Observations at AGAGE and SOGE Observatories, J. Geophys. Res., 114, D23304, doi: 10.1029/2009JD012184.</w:t>
      </w:r>
    </w:p>
    <w:p w14:paraId="7FD0830E" w14:textId="77777777" w:rsidR="00F3536C" w:rsidRPr="00A4272B" w:rsidRDefault="00F3536C" w:rsidP="006B1FE4">
      <w:pPr>
        <w:rPr>
          <w:sz w:val="18"/>
          <w:szCs w:val="18"/>
          <w:lang w:val="en-US"/>
        </w:rPr>
      </w:pPr>
      <w:r w:rsidRPr="00A4272B">
        <w:rPr>
          <w:sz w:val="18"/>
          <w:szCs w:val="18"/>
          <w:lang w:val="en-US"/>
        </w:rPr>
        <w:t>Owen, J.M., Woods, P. 2008, Designing and Implementing a Large-scale Automated -80 C Archive, Int. J. Epidemiol., 37: i56-i61.</w:t>
      </w:r>
    </w:p>
    <w:p w14:paraId="724399DF" w14:textId="47F59A70" w:rsidR="00030EB7" w:rsidRPr="00A4272B" w:rsidRDefault="00C8517B" w:rsidP="00C8517B">
      <w:pPr>
        <w:rPr>
          <w:sz w:val="18"/>
          <w:szCs w:val="18"/>
          <w:lang w:val="en-US" w:eastAsia="ja-JP"/>
        </w:rPr>
      </w:pPr>
      <w:r w:rsidRPr="00A4272B">
        <w:rPr>
          <w:sz w:val="18"/>
          <w:szCs w:val="18"/>
          <w:lang w:val="en-US" w:eastAsia="ja-JP"/>
        </w:rPr>
        <w:t>Rodowa, A.E., Christie, E., Sedlak, J., Peaslee, G.F., Bogdan, D., DiGuiseppi, B., Field, J.A. 2020, Field sampling materials unlikely source of contamination for perfluoroalkyl and polyfluoroalkyl substances in field samples, Environ. Sci. Technol. Lett., 7: 156-163.</w:t>
      </w:r>
    </w:p>
    <w:p w14:paraId="7D40A75E" w14:textId="77777777" w:rsidR="00F3536C" w:rsidRPr="00A4272B" w:rsidRDefault="00F3536C" w:rsidP="006B1FE4">
      <w:pPr>
        <w:rPr>
          <w:sz w:val="18"/>
          <w:szCs w:val="18"/>
          <w:lang w:val="en-US"/>
        </w:rPr>
      </w:pPr>
      <w:r w:rsidRPr="00A4272B">
        <w:rPr>
          <w:sz w:val="18"/>
          <w:szCs w:val="18"/>
          <w:lang w:val="en-US"/>
        </w:rPr>
        <w:t>Rüdel, H., Schröder, W., von der Trenck, K.T., Wiesmüller, G.A. 2009, Substance-related environmental monitoring: Work group 'Environmental Monitoring'-Position paper, Environ Sci Pollut Res Int. 16:486-98.</w:t>
      </w:r>
    </w:p>
    <w:p w14:paraId="3461C7F2" w14:textId="77777777" w:rsidR="00F3536C" w:rsidRPr="00A4272B" w:rsidRDefault="00F3536C" w:rsidP="006B1FE4">
      <w:pPr>
        <w:rPr>
          <w:sz w:val="18"/>
          <w:szCs w:val="18"/>
          <w:lang w:val="en-US"/>
        </w:rPr>
      </w:pPr>
      <w:r w:rsidRPr="00A4272B">
        <w:rPr>
          <w:sz w:val="18"/>
          <w:szCs w:val="18"/>
          <w:lang w:val="en-US"/>
        </w:rPr>
        <w:t>Satake K., Tanaka, A., Kimura, K. 1996, Accumulation of lead in Tree Trunk Bark Pockets as Pollution Time Capsules, Sci. Total Environ., 181: 25-30.</w:t>
      </w:r>
    </w:p>
    <w:p w14:paraId="26406010" w14:textId="5ADBD94D" w:rsidR="00F3536C" w:rsidRPr="00A4272B" w:rsidRDefault="00F3536C" w:rsidP="006B1FE4">
      <w:pPr>
        <w:rPr>
          <w:sz w:val="18"/>
          <w:szCs w:val="18"/>
          <w:lang w:val="en-US"/>
        </w:rPr>
      </w:pPr>
      <w:r w:rsidRPr="00A4272B">
        <w:rPr>
          <w:sz w:val="18"/>
          <w:szCs w:val="18"/>
          <w:lang w:val="en-US"/>
        </w:rPr>
        <w:t>Shibata, Y., ed., 1998, “Report of Oil Pollution Accident in Japan Sea”, Data Report F-111-‘98/NIES, National Institute for Environmental Studies, pp.87 (in Japanese)</w:t>
      </w:r>
      <w:r w:rsidR="00C02A15" w:rsidRPr="00A4272B">
        <w:rPr>
          <w:sz w:val="18"/>
          <w:szCs w:val="18"/>
          <w:lang w:val="en-US"/>
        </w:rPr>
        <w:t>.</w:t>
      </w:r>
    </w:p>
    <w:p w14:paraId="0EB214CA" w14:textId="77777777" w:rsidR="00F3536C" w:rsidRPr="00A4272B" w:rsidRDefault="00F3536C" w:rsidP="006B1FE4">
      <w:pPr>
        <w:rPr>
          <w:sz w:val="18"/>
          <w:szCs w:val="18"/>
          <w:lang w:val="en-US"/>
        </w:rPr>
      </w:pPr>
      <w:r w:rsidRPr="00A4272B">
        <w:rPr>
          <w:sz w:val="18"/>
          <w:szCs w:val="18"/>
          <w:lang w:val="en-US"/>
        </w:rPr>
        <w:t>Shibata, Y., Yoshikane, M., Takagi, M., Tanabe, K., Hashimoto, S., Sasaki, Y., Ito, H., Nitta, H., Satoh, H. 2011, Blood-Sampling Method for POPs and Other Chemicals Analysis in Japanese Birth Cohort Study, Japan Environment and Childrens Study, Organohalogen Comp., 73:1464-1467.</w:t>
      </w:r>
    </w:p>
    <w:p w14:paraId="1311BA4C" w14:textId="794CF389" w:rsidR="00030EB7" w:rsidRPr="00A4272B" w:rsidRDefault="00030EB7" w:rsidP="006B1FE4">
      <w:pPr>
        <w:rPr>
          <w:sz w:val="18"/>
          <w:szCs w:val="18"/>
          <w:lang w:val="en-US" w:eastAsia="ja-JP"/>
        </w:rPr>
      </w:pPr>
      <w:r w:rsidRPr="00A4272B">
        <w:rPr>
          <w:sz w:val="18"/>
          <w:szCs w:val="18"/>
          <w:lang w:val="en-US" w:eastAsia="ja-JP"/>
        </w:rPr>
        <w:t>Snapes, E., ed., 2023, 5th edition of ISBER Best Practices: Recommendations for Repositories, https://www.ihmt.unl.pt/wp-content/uploads/2024/07/ISBER-Best-Practice-2023-5th-edition.pdf</w:t>
      </w:r>
      <w:r w:rsidR="00C96212" w:rsidRPr="00A4272B">
        <w:rPr>
          <w:sz w:val="18"/>
          <w:szCs w:val="18"/>
          <w:lang w:val="en-US" w:eastAsia="ja-JP"/>
        </w:rPr>
        <w:t>.</w:t>
      </w:r>
    </w:p>
    <w:p w14:paraId="4BC4B7D9" w14:textId="77777777" w:rsidR="00F3536C" w:rsidRPr="00A4272B" w:rsidRDefault="00F3536C" w:rsidP="006B1FE4">
      <w:pPr>
        <w:rPr>
          <w:sz w:val="18"/>
          <w:szCs w:val="18"/>
          <w:lang w:val="en-US"/>
        </w:rPr>
      </w:pPr>
      <w:r w:rsidRPr="00A4272B">
        <w:rPr>
          <w:sz w:val="18"/>
          <w:szCs w:val="18"/>
          <w:lang w:val="en-US"/>
        </w:rPr>
        <w:t>Takasuga, T., Nakano, T., Shibata Y. 2012, Unintentional POPs (PCBs, PCBz, PCNs) contamination in articles containing chlorinated paraffins and related impacted chlorinated paraffin products, Organohalogen Comp., 2012, G6.104.</w:t>
      </w:r>
    </w:p>
    <w:p w14:paraId="54CDE476" w14:textId="3F2C384A" w:rsidR="00F3536C" w:rsidRPr="00A4272B" w:rsidRDefault="00F3536C" w:rsidP="006B1FE4">
      <w:pPr>
        <w:rPr>
          <w:sz w:val="18"/>
          <w:szCs w:val="18"/>
          <w:lang w:val="en-US"/>
        </w:rPr>
      </w:pPr>
      <w:r w:rsidRPr="00A4272B">
        <w:rPr>
          <w:sz w:val="18"/>
          <w:szCs w:val="18"/>
          <w:lang w:val="en-US"/>
        </w:rPr>
        <w:t>Wiesmüller, G.A., Eckard, R., Dobler, L., Günsel, A., Oganowski, M., Schröter-Kermani, C., Schlüter, C., Gies, A., Kemper, F.H. 2007, The Environmental Specimen Bank for Human Tissues as part of the German Environmental Specimen Bank, Int J Hyg Environ Health. 210:299-305</w:t>
      </w:r>
      <w:r w:rsidR="00C02A15" w:rsidRPr="00A4272B">
        <w:rPr>
          <w:sz w:val="18"/>
          <w:szCs w:val="18"/>
          <w:lang w:val="en-US"/>
        </w:rPr>
        <w:t>.</w:t>
      </w:r>
    </w:p>
    <w:p w14:paraId="695B8F3C" w14:textId="1E783624" w:rsidR="00D57E94" w:rsidRPr="00A4272B" w:rsidRDefault="00F3536C" w:rsidP="006B1FE4">
      <w:pPr>
        <w:rPr>
          <w:sz w:val="18"/>
          <w:szCs w:val="18"/>
          <w:lang w:val="en-US"/>
        </w:rPr>
      </w:pPr>
      <w:r w:rsidRPr="00A4272B">
        <w:rPr>
          <w:sz w:val="18"/>
          <w:szCs w:val="18"/>
          <w:lang w:val="en-US"/>
        </w:rPr>
        <w:t>Zheng, J., Shibata, Y., Tanaka, A.</w:t>
      </w:r>
      <w:r w:rsidR="00C02A15" w:rsidRPr="00A4272B">
        <w:rPr>
          <w:sz w:val="18"/>
          <w:szCs w:val="18"/>
          <w:lang w:val="en-US"/>
        </w:rPr>
        <w:t>,</w:t>
      </w:r>
      <w:r w:rsidRPr="00A4272B">
        <w:rPr>
          <w:sz w:val="18"/>
          <w:szCs w:val="18"/>
          <w:lang w:val="en-US"/>
        </w:rPr>
        <w:t xml:space="preserve"> 2002, Study of the Stability of Selenium Compounds in Human Urine and Determination by Mixed Ion-pair Reversed-phase Chromatography with ICP-MS Detection, Anal. Bioanal. Chem. 374:348-355</w:t>
      </w:r>
      <w:r w:rsidR="00C02A15" w:rsidRPr="00A4272B">
        <w:rPr>
          <w:sz w:val="18"/>
          <w:szCs w:val="18"/>
          <w:lang w:val="en-US"/>
        </w:rPr>
        <w:t>.</w:t>
      </w:r>
    </w:p>
    <w:p w14:paraId="177329AE" w14:textId="77777777" w:rsidR="00D44280" w:rsidRPr="00A4272B" w:rsidRDefault="00D44280" w:rsidP="00766D08">
      <w:pPr>
        <w:outlineLvl w:val="1"/>
        <w:rPr>
          <w:b/>
          <w:bCs/>
          <w:sz w:val="18"/>
          <w:szCs w:val="18"/>
          <w:lang w:val="en-US"/>
        </w:rPr>
      </w:pPr>
      <w:r w:rsidRPr="00A4272B">
        <w:rPr>
          <w:b/>
          <w:bCs/>
          <w:sz w:val="18"/>
          <w:szCs w:val="18"/>
          <w:lang w:val="en-US"/>
        </w:rPr>
        <w:t>Appendix I</w:t>
      </w:r>
    </w:p>
    <w:p w14:paraId="166879A2" w14:textId="77777777" w:rsidR="00274A8B" w:rsidRPr="00A4272B" w:rsidRDefault="00274A8B" w:rsidP="00274A8B">
      <w:pPr>
        <w:rPr>
          <w:sz w:val="18"/>
          <w:szCs w:val="18"/>
          <w:lang w:val="en-US"/>
        </w:rPr>
      </w:pPr>
      <w:r w:rsidRPr="00A4272B">
        <w:rPr>
          <w:sz w:val="18"/>
          <w:szCs w:val="18"/>
          <w:lang w:val="en-US"/>
        </w:rPr>
        <w:t xml:space="preserve">UNEP 2014a. </w:t>
      </w:r>
      <w:hyperlink r:id="rId111" w:history="1">
        <w:r w:rsidRPr="00A4272B">
          <w:rPr>
            <w:sz w:val="18"/>
            <w:szCs w:val="18"/>
            <w:lang w:val="en-US"/>
          </w:rPr>
          <w:t>Analysis of Polychlorinated Biphenyls (PCB) and Organochlorine Pesticides (OCP) in Human Milk, Air and Human Serum</w:t>
        </w:r>
      </w:hyperlink>
      <w:r w:rsidRPr="00A4272B">
        <w:rPr>
          <w:sz w:val="18"/>
          <w:szCs w:val="18"/>
          <w:lang w:val="en-US"/>
        </w:rPr>
        <w:t xml:space="preserve">. </w:t>
      </w:r>
    </w:p>
    <w:p w14:paraId="410F0342" w14:textId="77777777" w:rsidR="00274A8B" w:rsidRPr="00A4272B" w:rsidRDefault="00274A8B" w:rsidP="00274A8B">
      <w:pPr>
        <w:rPr>
          <w:sz w:val="18"/>
          <w:szCs w:val="18"/>
          <w:lang w:val="en-US"/>
        </w:rPr>
      </w:pPr>
      <w:r w:rsidRPr="00A4272B">
        <w:rPr>
          <w:sz w:val="18"/>
          <w:szCs w:val="18"/>
          <w:lang w:val="en-US"/>
        </w:rPr>
        <w:t xml:space="preserve">UNEP 2014b. </w:t>
      </w:r>
      <w:hyperlink r:id="rId112" w:history="1">
        <w:r w:rsidRPr="00A4272B">
          <w:rPr>
            <w:sz w:val="18"/>
            <w:szCs w:val="18"/>
            <w:lang w:val="en-US"/>
          </w:rPr>
          <w:t>Analysis of Polybrominated Diphenyl Ethers (PBDE) in Human Milk, Air and Human Serum</w:t>
        </w:r>
      </w:hyperlink>
      <w:r w:rsidRPr="00A4272B">
        <w:rPr>
          <w:sz w:val="18"/>
          <w:szCs w:val="18"/>
          <w:lang w:val="en-US"/>
        </w:rPr>
        <w:t>.</w:t>
      </w:r>
    </w:p>
    <w:p w14:paraId="4D4B9ED9" w14:textId="77777777" w:rsidR="00274A8B" w:rsidRPr="00A4272B" w:rsidRDefault="00274A8B" w:rsidP="00274A8B">
      <w:pPr>
        <w:rPr>
          <w:sz w:val="18"/>
          <w:szCs w:val="18"/>
          <w:lang w:val="en-US"/>
        </w:rPr>
      </w:pPr>
      <w:r w:rsidRPr="00A4272B">
        <w:rPr>
          <w:sz w:val="18"/>
          <w:szCs w:val="18"/>
          <w:lang w:val="en-US"/>
        </w:rPr>
        <w:t xml:space="preserve">UNEP 2015a. Analysis of Perfluorooctane Sulfonic Acid (PFOS) in Water and Perfluorooctane Sulfonamide (FOSA) in Mothers’ Milk, Human Serum and Air, and the Analysis of Some Perfluorooctane Sulfonamides (FOSAS) and Perfluorooctane Sulfonamido Ethanols (FOSES) in Air.   </w:t>
      </w:r>
    </w:p>
    <w:p w14:paraId="6919C891" w14:textId="77777777" w:rsidR="00274A8B" w:rsidRPr="00A4272B" w:rsidRDefault="00274A8B" w:rsidP="00274A8B">
      <w:pPr>
        <w:rPr>
          <w:sz w:val="18"/>
          <w:szCs w:val="18"/>
          <w:lang w:val="en-US"/>
        </w:rPr>
      </w:pPr>
      <w:r w:rsidRPr="00A4272B">
        <w:rPr>
          <w:sz w:val="18"/>
          <w:szCs w:val="18"/>
          <w:lang w:val="en-US"/>
        </w:rPr>
        <w:t>UNEP 2015b. Analysis of PFAS in Water for the Global Monitoring Plan of the Stockholm Convention.</w:t>
      </w:r>
    </w:p>
    <w:p w14:paraId="1D30456F" w14:textId="77777777" w:rsidR="00274A8B" w:rsidRPr="00A4272B" w:rsidRDefault="00274A8B" w:rsidP="00274A8B">
      <w:pPr>
        <w:rPr>
          <w:sz w:val="18"/>
          <w:szCs w:val="18"/>
          <w:lang w:val="en-US"/>
        </w:rPr>
      </w:pPr>
      <w:r w:rsidRPr="00A4272B">
        <w:rPr>
          <w:sz w:val="18"/>
          <w:szCs w:val="18"/>
          <w:lang w:val="en-US"/>
        </w:rPr>
        <w:t>UNEP 2015c. Analyse des polychlorodibenzo-paradioxines, des polychlorodibenzofurannes (PCDDs/Fs) et des polychlorobiphényles (PCB) de type dioxine (dl-PCB) dans l’air ambiant et les tissus humains.</w:t>
      </w:r>
    </w:p>
    <w:p w14:paraId="2192745C" w14:textId="7D7D248D" w:rsidR="00D44280" w:rsidRPr="00A4272B" w:rsidRDefault="00A179FE" w:rsidP="00D44280">
      <w:pPr>
        <w:rPr>
          <w:sz w:val="18"/>
          <w:szCs w:val="18"/>
          <w:lang w:val="en-US"/>
        </w:rPr>
      </w:pPr>
      <w:r w:rsidRPr="00A4272B">
        <w:rPr>
          <w:sz w:val="18"/>
          <w:szCs w:val="18"/>
          <w:lang w:val="en-US"/>
        </w:rPr>
        <w:t>UNEP 2017a. Passive sampling of Ambient Air Methodology and Procedure (EN/SP).</w:t>
      </w:r>
    </w:p>
    <w:p w14:paraId="17DEE45A" w14:textId="4E21A9A3" w:rsidR="00D44280" w:rsidRPr="00A4272B" w:rsidRDefault="00A179FE" w:rsidP="00D44280">
      <w:pPr>
        <w:rPr>
          <w:sz w:val="18"/>
          <w:szCs w:val="18"/>
          <w:lang w:val="en-US"/>
        </w:rPr>
      </w:pPr>
      <w:r w:rsidRPr="00A4272B">
        <w:rPr>
          <w:sz w:val="18"/>
          <w:szCs w:val="18"/>
          <w:lang w:val="en-US"/>
        </w:rPr>
        <w:t xml:space="preserve">UNEP 2017b. </w:t>
      </w:r>
      <w:hyperlink r:id="rId113" w:history="1">
        <w:r w:rsidRPr="00A4272B">
          <w:rPr>
            <w:sz w:val="18"/>
            <w:szCs w:val="18"/>
            <w:lang w:val="en-US"/>
          </w:rPr>
          <w:t>Guidelines for Organization, Sampling and Analysis of Human Milk on Persistent Organic Pollutants</w:t>
        </w:r>
      </w:hyperlink>
      <w:r w:rsidRPr="00A4272B">
        <w:rPr>
          <w:sz w:val="18"/>
          <w:szCs w:val="18"/>
          <w:lang w:val="en-US"/>
        </w:rPr>
        <w:t>.</w:t>
      </w:r>
    </w:p>
    <w:p w14:paraId="5C907C90" w14:textId="7C75B56B" w:rsidR="00D44280" w:rsidRPr="00A4272B" w:rsidRDefault="00A179FE" w:rsidP="00D44280">
      <w:pPr>
        <w:rPr>
          <w:sz w:val="18"/>
          <w:szCs w:val="18"/>
          <w:lang w:val="en-US"/>
        </w:rPr>
      </w:pPr>
      <w:r w:rsidRPr="00A4272B">
        <w:rPr>
          <w:sz w:val="18"/>
          <w:szCs w:val="18"/>
          <w:lang w:val="en-US"/>
        </w:rPr>
        <w:t>UNEP 2017c. Protocol for the Sampling of Water as a Core Matrix in the UNEP/GEF GMP2 Projects for the Analysis of PFOS.</w:t>
      </w:r>
    </w:p>
    <w:p w14:paraId="325FD875" w14:textId="4ABDB697" w:rsidR="00D44280" w:rsidRPr="00A4272B" w:rsidRDefault="00A179FE" w:rsidP="00D44280">
      <w:pPr>
        <w:rPr>
          <w:sz w:val="18"/>
          <w:szCs w:val="18"/>
          <w:lang w:val="en-US"/>
        </w:rPr>
      </w:pPr>
      <w:r w:rsidRPr="00A4272B">
        <w:rPr>
          <w:sz w:val="18"/>
          <w:szCs w:val="18"/>
          <w:lang w:val="en-US"/>
        </w:rPr>
        <w:t xml:space="preserve">UNEP 2017d. </w:t>
      </w:r>
      <w:hyperlink r:id="rId114" w:history="1">
        <w:r w:rsidRPr="00A4272B">
          <w:rPr>
            <w:sz w:val="18"/>
            <w:szCs w:val="18"/>
            <w:lang w:val="en-US"/>
          </w:rPr>
          <w:t>Protocol for the Sampling and Pre-treatment of National Samples within the UNEP/GEF Projects to Support the Global Monitoring Plan of POPs 2016-2019</w:t>
        </w:r>
      </w:hyperlink>
      <w:r w:rsidRPr="00A4272B">
        <w:rPr>
          <w:sz w:val="18"/>
          <w:szCs w:val="18"/>
          <w:lang w:val="en-US"/>
        </w:rPr>
        <w:t>.</w:t>
      </w:r>
    </w:p>
    <w:p w14:paraId="6BF59EC4" w14:textId="77777777" w:rsidR="00274A8B" w:rsidRPr="00A4272B" w:rsidRDefault="00274A8B" w:rsidP="00274A8B">
      <w:pPr>
        <w:rPr>
          <w:sz w:val="18"/>
          <w:szCs w:val="18"/>
          <w:lang w:val="en-US"/>
        </w:rPr>
      </w:pPr>
      <w:r w:rsidRPr="00A4272B">
        <w:rPr>
          <w:sz w:val="18"/>
          <w:szCs w:val="18"/>
          <w:lang w:val="en-US"/>
        </w:rPr>
        <w:t>UNEP 2018. Procedure for Air Monitoring using Active Air Samplers (HVS) (EN/FR/SP).</w:t>
      </w:r>
    </w:p>
    <w:p w14:paraId="021DDEE4" w14:textId="268A1CAA" w:rsidR="00F2577B" w:rsidRPr="008F74AD" w:rsidRDefault="00D44280" w:rsidP="00182A00">
      <w:pPr>
        <w:rPr>
          <w:sz w:val="18"/>
          <w:szCs w:val="18"/>
          <w:lang w:val="en-US"/>
        </w:rPr>
      </w:pPr>
      <w:r w:rsidRPr="00A4272B">
        <w:rPr>
          <w:sz w:val="18"/>
          <w:szCs w:val="18"/>
          <w:lang w:val="en-US"/>
        </w:rPr>
        <w:t xml:space="preserve">UNEP POPs Laboratory Databank: </w:t>
      </w:r>
      <w:hyperlink r:id="rId115" w:history="1">
        <w:r w:rsidRPr="00A4272B">
          <w:rPr>
            <w:sz w:val="18"/>
            <w:szCs w:val="18"/>
            <w:lang w:val="en-US"/>
          </w:rPr>
          <w:t>https://informea.pops.int/PbHgPOPsLabs/index.html</w:t>
        </w:r>
      </w:hyperlink>
      <w:r w:rsidRPr="00A4272B">
        <w:rPr>
          <w:sz w:val="18"/>
          <w:szCs w:val="18"/>
          <w:lang w:val="en-US"/>
        </w:rPr>
        <w:t>.</w:t>
      </w:r>
    </w:p>
    <w:p w14:paraId="4EFC928A" w14:textId="77777777" w:rsidR="00F2577B" w:rsidRPr="008F74AD" w:rsidRDefault="00F2577B" w:rsidP="008C6CD2">
      <w:pPr>
        <w:pStyle w:val="Normal-pool"/>
        <w:rPr>
          <w:kern w:val="28"/>
          <w:lang w:val="en-US"/>
        </w:rPr>
      </w:pPr>
    </w:p>
    <w:tbl>
      <w:tblPr>
        <w:tblpPr w:leftFromText="141" w:rightFromText="141" w:vertAnchor="text" w:horzAnchor="margin" w:tblpY="30"/>
        <w:tblW w:w="0" w:type="auto"/>
        <w:tblLook w:val="01E0" w:firstRow="1" w:lastRow="1" w:firstColumn="1" w:lastColumn="1" w:noHBand="0" w:noVBand="0"/>
      </w:tblPr>
      <w:tblGrid>
        <w:gridCol w:w="3202"/>
        <w:gridCol w:w="3202"/>
        <w:gridCol w:w="3097"/>
      </w:tblGrid>
      <w:tr w:rsidR="008C6CD2" w:rsidRPr="008F74AD" w14:paraId="604888EB" w14:textId="77777777">
        <w:tc>
          <w:tcPr>
            <w:tcW w:w="3238" w:type="dxa"/>
          </w:tcPr>
          <w:p w14:paraId="4A8E9D70" w14:textId="77777777" w:rsidR="008C6CD2" w:rsidRPr="008F74AD" w:rsidRDefault="008C6CD2" w:rsidP="00A94C9A">
            <w:pPr>
              <w:pStyle w:val="Normal-pool"/>
              <w:rPr>
                <w:lang w:val="en-US"/>
              </w:rPr>
            </w:pPr>
          </w:p>
        </w:tc>
        <w:tc>
          <w:tcPr>
            <w:tcW w:w="3237" w:type="dxa"/>
            <w:tcBorders>
              <w:bottom w:val="single" w:sz="4" w:space="0" w:color="auto"/>
            </w:tcBorders>
          </w:tcPr>
          <w:p w14:paraId="5C3AB258" w14:textId="77777777" w:rsidR="008C6CD2" w:rsidRPr="008F74AD" w:rsidRDefault="008C6CD2" w:rsidP="00A94C9A">
            <w:pPr>
              <w:pStyle w:val="Normal-pool"/>
              <w:rPr>
                <w:lang w:val="en-US"/>
              </w:rPr>
            </w:pPr>
          </w:p>
        </w:tc>
        <w:tc>
          <w:tcPr>
            <w:tcW w:w="3131" w:type="dxa"/>
          </w:tcPr>
          <w:p w14:paraId="52D8BFF2" w14:textId="77777777" w:rsidR="008C6CD2" w:rsidRPr="008F74AD" w:rsidRDefault="008C6CD2" w:rsidP="00A94C9A">
            <w:pPr>
              <w:pStyle w:val="Normal-pool"/>
              <w:rPr>
                <w:lang w:val="en-US"/>
              </w:rPr>
            </w:pPr>
          </w:p>
        </w:tc>
      </w:tr>
    </w:tbl>
    <w:p w14:paraId="3ECA377E" w14:textId="77777777" w:rsidR="00823A10" w:rsidRPr="008F74AD" w:rsidRDefault="00823A10" w:rsidP="008C6CD2">
      <w:pPr>
        <w:spacing w:before="120"/>
        <w:rPr>
          <w:lang w:val="en-US"/>
        </w:rPr>
      </w:pPr>
    </w:p>
    <w:sectPr w:rsidR="00823A10" w:rsidRPr="008F74AD" w:rsidSect="0060600C">
      <w:headerReference w:type="even" r:id="rId116"/>
      <w:headerReference w:type="default" r:id="rId117"/>
      <w:footerReference w:type="even" r:id="rId118"/>
      <w:footerReference w:type="default" r:id="rId119"/>
      <w:type w:val="nextColumn"/>
      <w:pgSz w:w="11906" w:h="16838" w:code="9"/>
      <w:pgMar w:top="907" w:right="994" w:bottom="1411" w:left="1411" w:header="533" w:footer="979"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BE77B" w14:textId="77777777" w:rsidR="00F41D32" w:rsidRDefault="00F41D32">
      <w:r>
        <w:separator/>
      </w:r>
    </w:p>
  </w:endnote>
  <w:endnote w:type="continuationSeparator" w:id="0">
    <w:p w14:paraId="5E02EECA" w14:textId="77777777" w:rsidR="00F41D32" w:rsidRDefault="00F41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imesNewRoman,Bold">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10; Roman">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A657" w14:textId="77777777" w:rsidR="009B1EFC" w:rsidRPr="00FE3EBA" w:rsidRDefault="009B1EFC" w:rsidP="00D40BC4">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6FF4A" w14:textId="77777777" w:rsidR="009B1EFC" w:rsidRDefault="009B1EFC"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CBE6" w14:textId="56F40540" w:rsidR="009B1EFC" w:rsidRDefault="009B1EF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AFAB" w14:textId="5A01236F" w:rsidR="009B1EFC" w:rsidRDefault="009B1EFC"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F6D82" w14:textId="77777777" w:rsidR="009B1EFC" w:rsidRDefault="009B1EFC" w:rsidP="0082199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3FB7" w14:textId="77777777" w:rsidR="009B1EFC" w:rsidRPr="0082199F" w:rsidRDefault="009B1EFC" w:rsidP="00823A10">
    <w:pPr>
      <w:pStyle w:val="Footer"/>
      <w:framePr w:wrap="around" w:vAnchor="text" w:hAnchor="margin" w:xAlign="outside" w:y="1"/>
      <w:rPr>
        <w:rStyle w:val="PageNumber"/>
        <w:sz w:val="20"/>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30133289" w14:textId="77777777" w:rsidR="009B1EFC" w:rsidRPr="0082199F" w:rsidRDefault="009B1EFC" w:rsidP="0082199F">
    <w:pPr>
      <w:pStyle w:val="Footer"/>
      <w:tabs>
        <w:tab w:val="clear" w:pos="4320"/>
        <w:tab w:val="clear" w:pos="8640"/>
      </w:tabs>
      <w:ind w:right="360"/>
    </w:pPr>
    <w:r w:rsidRPr="0082199F">
      <w:t>K1350457</w:t>
    </w:r>
    <w:r>
      <w:tab/>
      <w:t>120313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70440" w14:textId="77777777" w:rsidR="009B1EFC" w:rsidRDefault="009B1EF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5A20" w14:textId="77777777" w:rsidR="009B1EFC" w:rsidRDefault="009B1EF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74BD6" w14:textId="77777777" w:rsidR="009B1EFC" w:rsidRDefault="009B1EF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FBCB" w14:textId="77777777" w:rsidR="009B1EFC" w:rsidRDefault="009B1EFC" w:rsidP="00823A1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162</w:t>
    </w:r>
    <w:r>
      <w:rPr>
        <w:rStyle w:val="PageNumber"/>
      </w:rPr>
      <w:fldChar w:fldCharType="end"/>
    </w:r>
  </w:p>
  <w:p w14:paraId="27B0678D" w14:textId="77777777" w:rsidR="009B1EFC" w:rsidRPr="008C312B" w:rsidRDefault="009B1EFC" w:rsidP="008C312B">
    <w:pPr>
      <w:pStyle w:val="Footer"/>
      <w:ind w:right="360" w:firstLine="360"/>
      <w:rPr>
        <w: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0DBAC" w14:textId="77777777" w:rsidR="009B1EFC" w:rsidRDefault="009B1EFC" w:rsidP="00D57E9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475F0" w14:textId="77777777" w:rsidR="009B1EFC" w:rsidRDefault="009B1EF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0F1E1" w14:textId="77777777" w:rsidR="00F41D32" w:rsidRDefault="00F41D32" w:rsidP="00355DB0">
      <w:pPr>
        <w:spacing w:after="0"/>
        <w:ind w:left="624"/>
      </w:pPr>
      <w:r>
        <w:separator/>
      </w:r>
    </w:p>
  </w:footnote>
  <w:footnote w:type="continuationSeparator" w:id="0">
    <w:p w14:paraId="078FC227" w14:textId="77777777" w:rsidR="00F41D32" w:rsidRDefault="00F41D32">
      <w:r>
        <w:continuationSeparator/>
      </w:r>
    </w:p>
  </w:footnote>
  <w:footnote w:id="1">
    <w:p w14:paraId="5A9BE434" w14:textId="77777777" w:rsidR="005416BE" w:rsidRPr="00AC7E65" w:rsidRDefault="005416BE" w:rsidP="005416BE">
      <w:pPr>
        <w:pStyle w:val="FootnoteText"/>
        <w:rPr>
          <w:szCs w:val="18"/>
        </w:rPr>
      </w:pPr>
      <w:r>
        <w:rPr>
          <w:rStyle w:val="FootnoteReference"/>
        </w:rPr>
        <w:t>1</w:t>
      </w:r>
      <w:r w:rsidRPr="00AC7E65">
        <w:rPr>
          <w:szCs w:val="18"/>
        </w:rPr>
        <w:t xml:space="preserve"> In this document, the </w:t>
      </w:r>
      <w:r w:rsidRPr="00345C2D">
        <w:rPr>
          <w:szCs w:val="18"/>
        </w:rPr>
        <w:t>term “Instrumentation level” replaces the term “Tiers” as</w:t>
      </w:r>
      <w:r>
        <w:rPr>
          <w:szCs w:val="18"/>
        </w:rPr>
        <w:t xml:space="preserve"> </w:t>
      </w:r>
      <w:r w:rsidRPr="00345C2D">
        <w:rPr>
          <w:szCs w:val="18"/>
        </w:rPr>
        <w:t xml:space="preserve">used in </w:t>
      </w:r>
      <w:r>
        <w:rPr>
          <w:szCs w:val="18"/>
        </w:rPr>
        <w:t xml:space="preserve">document </w:t>
      </w:r>
      <w:r w:rsidRPr="00345C2D">
        <w:rPr>
          <w:szCs w:val="18"/>
        </w:rPr>
        <w:t>UNEP/POPS/COP.2/INF/10.</w:t>
      </w:r>
    </w:p>
  </w:footnote>
  <w:footnote w:id="2">
    <w:p w14:paraId="3700EAD2" w14:textId="01D743D4" w:rsidR="00287A10" w:rsidRPr="00A75CFA" w:rsidRDefault="00287A10" w:rsidP="00A75CFA">
      <w:pPr>
        <w:pStyle w:val="FootnoteText"/>
        <w:ind w:left="1253"/>
        <w:rPr>
          <w:szCs w:val="18"/>
        </w:rPr>
      </w:pPr>
      <w:r w:rsidRPr="00A75CFA">
        <w:rPr>
          <w:rStyle w:val="FootnoteReference"/>
          <w:sz w:val="18"/>
        </w:rPr>
        <w:footnoteRef/>
      </w:r>
      <w:r w:rsidRPr="00A75CFA">
        <w:rPr>
          <w:szCs w:val="18"/>
        </w:rPr>
        <w:t xml:space="preserve"> </w:t>
      </w:r>
      <w:r w:rsidRPr="00A75CFA">
        <w:rPr>
          <w:szCs w:val="18"/>
          <w:lang w:val="en-US"/>
        </w:rPr>
        <w:t>https://chm.pops.int/TheConvention/Overview/TextoftheConvention/tabid/2232/Default.aspx.</w:t>
      </w:r>
    </w:p>
  </w:footnote>
  <w:footnote w:id="3">
    <w:p w14:paraId="2BBB9CE8" w14:textId="320742A4" w:rsidR="00894AEA" w:rsidRPr="00A75CFA" w:rsidRDefault="00894AEA" w:rsidP="00A75CFA">
      <w:pPr>
        <w:pStyle w:val="FootnoteText"/>
        <w:ind w:left="1253"/>
        <w:rPr>
          <w:szCs w:val="18"/>
        </w:rPr>
      </w:pPr>
      <w:r w:rsidRPr="00A75CFA">
        <w:rPr>
          <w:rStyle w:val="FootnoteReference"/>
          <w:sz w:val="18"/>
        </w:rPr>
        <w:footnoteRef/>
      </w:r>
      <w:r w:rsidRPr="00A75CFA">
        <w:rPr>
          <w:szCs w:val="18"/>
        </w:rPr>
        <w:t xml:space="preserve"> </w:t>
      </w:r>
      <w:r w:rsidRPr="00A75CFA">
        <w:rPr>
          <w:color w:val="000000"/>
          <w:szCs w:val="18"/>
        </w:rPr>
        <w:t>UNEP/POPS/COP.6/INF/31/Add.1</w:t>
      </w:r>
      <w:r w:rsidR="00287A10" w:rsidRPr="00A75CFA">
        <w:rPr>
          <w:color w:val="000000"/>
          <w:szCs w:val="18"/>
        </w:rPr>
        <w:t>, UNEP/POPS/COP.6/INF/31/Add.2</w:t>
      </w:r>
      <w:r w:rsidRPr="00A75CFA">
        <w:rPr>
          <w:color w:val="000000"/>
          <w:szCs w:val="18"/>
        </w:rPr>
        <w:t>.</w:t>
      </w:r>
    </w:p>
  </w:footnote>
  <w:footnote w:id="4">
    <w:p w14:paraId="52248145" w14:textId="468E7F96" w:rsidR="003F5FAD" w:rsidRPr="00A75CFA" w:rsidRDefault="003F5FAD" w:rsidP="00A75CFA">
      <w:pPr>
        <w:pStyle w:val="FootnoteText"/>
        <w:ind w:left="1253"/>
        <w:rPr>
          <w:szCs w:val="18"/>
        </w:rPr>
      </w:pPr>
      <w:r w:rsidRPr="00A75CFA">
        <w:rPr>
          <w:rStyle w:val="FootnoteReference"/>
          <w:sz w:val="18"/>
        </w:rPr>
        <w:footnoteRef/>
      </w:r>
      <w:r w:rsidRPr="00A75CFA">
        <w:rPr>
          <w:szCs w:val="18"/>
        </w:rPr>
        <w:t xml:space="preserve"> UNEP/POPS/COP.1/INF/23.</w:t>
      </w:r>
    </w:p>
  </w:footnote>
  <w:footnote w:id="5">
    <w:p w14:paraId="3C76E355" w14:textId="77777777" w:rsidR="00A75CFA" w:rsidRPr="00A75CFA" w:rsidRDefault="00A75CFA" w:rsidP="00A75CFA">
      <w:pPr>
        <w:pStyle w:val="FootnoteText"/>
        <w:ind w:left="1253"/>
        <w:rPr>
          <w:szCs w:val="18"/>
        </w:rPr>
      </w:pPr>
      <w:r w:rsidRPr="00A75CFA">
        <w:rPr>
          <w:rStyle w:val="FootnoteReference"/>
          <w:sz w:val="18"/>
        </w:rPr>
        <w:footnoteRef/>
      </w:r>
      <w:r w:rsidRPr="00A75CFA">
        <w:rPr>
          <w:szCs w:val="18"/>
        </w:rPr>
        <w:t xml:space="preserve"> UNEP/POPS/COP.3/INF/14/Rev.1, UNEP/POPS/COP.5/INF/27, UNEP/POPS/COP.6/INF/31, UNEP/POPS/COP.7/INF/39, UNEP/POPS/COP.9/INF/36, UNEP/POPS/COP.10/INF/42.</w:t>
      </w:r>
    </w:p>
  </w:footnote>
  <w:footnote w:id="6">
    <w:p w14:paraId="7657A1CB" w14:textId="6949BB7B" w:rsidR="00A75CFA" w:rsidRPr="00A75CFA" w:rsidRDefault="00A75CFA" w:rsidP="00A75CFA">
      <w:pPr>
        <w:pStyle w:val="FootnoteText"/>
        <w:ind w:left="1253"/>
      </w:pPr>
      <w:r w:rsidRPr="00A75CFA">
        <w:rPr>
          <w:rStyle w:val="FootnoteReference"/>
          <w:sz w:val="18"/>
        </w:rPr>
        <w:footnoteRef/>
      </w:r>
      <w:r w:rsidRPr="00A75CFA">
        <w:rPr>
          <w:szCs w:val="18"/>
        </w:rPr>
        <w:t xml:space="preserve"> UNEP/POPS/COP.12/INF/43.</w:t>
      </w:r>
    </w:p>
  </w:footnote>
  <w:footnote w:id="7">
    <w:p w14:paraId="6BA0779C" w14:textId="396F3D96" w:rsidR="0074150D" w:rsidRPr="00F664E1" w:rsidRDefault="0074150D" w:rsidP="0074150D">
      <w:pPr>
        <w:pStyle w:val="Poznmkapodarou"/>
        <w:ind w:left="1253"/>
        <w:rPr>
          <w:rFonts w:ascii="Times New Roman" w:hAnsi="Times New Roman" w:cs="Times New Roman"/>
          <w:sz w:val="18"/>
          <w:szCs w:val="18"/>
        </w:rPr>
      </w:pPr>
      <w:r w:rsidRPr="00F664E1">
        <w:rPr>
          <w:rFonts w:ascii="Times New Roman" w:hAnsi="Times New Roman" w:cs="Times New Roman"/>
          <w:sz w:val="18"/>
          <w:szCs w:val="18"/>
          <w:vertAlign w:val="superscript"/>
        </w:rPr>
        <w:footnoteRef/>
      </w:r>
      <w:r w:rsidRPr="00F664E1">
        <w:rPr>
          <w:rFonts w:ascii="Times New Roman" w:eastAsia="Arial Unicode MS" w:hAnsi="Times New Roman" w:cs="Times New Roman"/>
          <w:sz w:val="18"/>
          <w:szCs w:val="18"/>
        </w:rPr>
        <w:t xml:space="preserve"> </w:t>
      </w:r>
      <w:r w:rsidR="00192CEA" w:rsidRPr="00192CEA">
        <w:rPr>
          <w:rFonts w:ascii="Times New Roman" w:hAnsi="Times New Roman" w:cs="Times New Roman"/>
          <w:sz w:val="18"/>
          <w:szCs w:val="18"/>
        </w:rPr>
        <w:t xml:space="preserve">Core matrices include air, human milk, and human blood; water is </w:t>
      </w:r>
      <w:r w:rsidR="00192CEA">
        <w:rPr>
          <w:rFonts w:ascii="Times New Roman" w:hAnsi="Times New Roman" w:cs="Times New Roman"/>
          <w:sz w:val="18"/>
          <w:szCs w:val="18"/>
        </w:rPr>
        <w:t>recommended</w:t>
      </w:r>
      <w:r w:rsidR="00192CEA" w:rsidRPr="00192CEA">
        <w:rPr>
          <w:rFonts w:ascii="Times New Roman" w:hAnsi="Times New Roman" w:cs="Times New Roman"/>
          <w:sz w:val="18"/>
          <w:szCs w:val="18"/>
        </w:rPr>
        <w:t xml:space="preserve"> for monitoring water-soluble POPs such as PFOS</w:t>
      </w:r>
      <w:r w:rsidRPr="00F664E1">
        <w:rPr>
          <w:rFonts w:ascii="Times New Roman" w:hAnsi="Times New Roman" w:cs="Times New Roman"/>
          <w:sz w:val="18"/>
          <w:szCs w:val="18"/>
        </w:rPr>
        <w:t>.</w:t>
      </w:r>
    </w:p>
  </w:footnote>
  <w:footnote w:id="8">
    <w:p w14:paraId="540415B0" w14:textId="77777777" w:rsidR="00E1608A" w:rsidRDefault="00E1608A" w:rsidP="00E1608A">
      <w:pPr>
        <w:pStyle w:val="FootnoteText"/>
        <w:ind w:left="1253"/>
      </w:pPr>
      <w:r>
        <w:rPr>
          <w:rStyle w:val="FootnoteReference"/>
        </w:rPr>
        <w:footnoteRef/>
      </w:r>
      <w:r>
        <w:t xml:space="preserve"> </w:t>
      </w:r>
      <w:r w:rsidRPr="003A542D">
        <w:t>UNEP/POPS/COP.8/INF/40</w:t>
      </w:r>
      <w:r>
        <w:t>.</w:t>
      </w:r>
    </w:p>
  </w:footnote>
  <w:footnote w:id="9">
    <w:p w14:paraId="551E32FD" w14:textId="2A89E051" w:rsidR="00A07373" w:rsidRPr="00A07373" w:rsidRDefault="00A07373">
      <w:pPr>
        <w:pStyle w:val="FootnoteText"/>
      </w:pPr>
      <w:r>
        <w:rPr>
          <w:rStyle w:val="FootnoteReference"/>
        </w:rPr>
        <w:footnoteRef/>
      </w:r>
      <w:r>
        <w:t xml:space="preserve"> </w:t>
      </w:r>
      <w:r w:rsidRPr="00A07373">
        <w:t>UNEP</w:t>
      </w:r>
      <w:r>
        <w:t>/</w:t>
      </w:r>
      <w:r w:rsidRPr="00A07373">
        <w:t>POPS</w:t>
      </w:r>
      <w:r>
        <w:t>/</w:t>
      </w:r>
      <w:r w:rsidRPr="00A07373">
        <w:t>COP.4</w:t>
      </w:r>
      <w:r>
        <w:t>/</w:t>
      </w:r>
      <w:r w:rsidRPr="00A07373">
        <w:t>33</w:t>
      </w:r>
      <w:r>
        <w:t xml:space="preserve">; </w:t>
      </w:r>
      <w:r w:rsidRPr="00A07373">
        <w:t>UNEP</w:t>
      </w:r>
      <w:r>
        <w:t>/</w:t>
      </w:r>
      <w:r w:rsidRPr="00A07373">
        <w:t>POPS</w:t>
      </w:r>
      <w:r>
        <w:t>/</w:t>
      </w:r>
      <w:r w:rsidRPr="00A07373">
        <w:t>COP.8</w:t>
      </w:r>
      <w:r>
        <w:t>/</w:t>
      </w:r>
      <w:r w:rsidRPr="00A07373">
        <w:t>21</w:t>
      </w:r>
      <w:r>
        <w:t>/</w:t>
      </w:r>
      <w:r w:rsidRPr="00A07373">
        <w:t>Add.1</w:t>
      </w:r>
      <w:r>
        <w:t xml:space="preserve">; </w:t>
      </w:r>
      <w:r w:rsidRPr="00A07373">
        <w:t>UNEP</w:t>
      </w:r>
      <w:r>
        <w:t>/</w:t>
      </w:r>
      <w:r w:rsidRPr="00A07373">
        <w:t>POPS</w:t>
      </w:r>
      <w:r>
        <w:t>/</w:t>
      </w:r>
      <w:r w:rsidRPr="00A07373">
        <w:t>COP.8</w:t>
      </w:r>
      <w:r>
        <w:t xml:space="preserve">/INF/38; </w:t>
      </w:r>
      <w:r w:rsidRPr="00A07373">
        <w:t>UNEP</w:t>
      </w:r>
      <w:r>
        <w:t>/</w:t>
      </w:r>
      <w:r w:rsidRPr="00A07373">
        <w:t>POPS</w:t>
      </w:r>
      <w:r>
        <w:t>/</w:t>
      </w:r>
      <w:r w:rsidRPr="00A07373">
        <w:t>COP.</w:t>
      </w:r>
      <w:r>
        <w:t>11/</w:t>
      </w:r>
      <w:r w:rsidRPr="00A07373">
        <w:t>2</w:t>
      </w:r>
      <w:r>
        <w:t>0/</w:t>
      </w:r>
      <w:r w:rsidRPr="00A07373">
        <w:t>Add.1</w:t>
      </w:r>
      <w:r>
        <w:t xml:space="preserve">; </w:t>
      </w:r>
      <w:r w:rsidRPr="00A07373">
        <w:t>UNEP</w:t>
      </w:r>
      <w:r>
        <w:t>/</w:t>
      </w:r>
      <w:r w:rsidRPr="00A07373">
        <w:t>POPS</w:t>
      </w:r>
      <w:r>
        <w:t>/</w:t>
      </w:r>
      <w:r w:rsidRPr="00A07373">
        <w:t>COP.</w:t>
      </w:r>
      <w:r>
        <w:t>11/INF/38.</w:t>
      </w:r>
      <w:r w:rsidR="005E6D30">
        <w:t xml:space="preserve"> Available at: </w:t>
      </w:r>
      <w:r w:rsidR="005E6D30" w:rsidRPr="005E6D30">
        <w:t>https://www.pops.int/tabid/525</w:t>
      </w:r>
      <w:r w:rsidR="005E6D30">
        <w:t>.</w:t>
      </w:r>
    </w:p>
  </w:footnote>
  <w:footnote w:id="10">
    <w:p w14:paraId="06907488" w14:textId="2B38834A" w:rsidR="00735969" w:rsidRPr="00407659" w:rsidRDefault="00735969">
      <w:pPr>
        <w:pStyle w:val="FootnoteText"/>
      </w:pPr>
      <w:r>
        <w:rPr>
          <w:rStyle w:val="FootnoteReference"/>
        </w:rPr>
        <w:footnoteRef/>
      </w:r>
      <w:r>
        <w:t xml:space="preserve"> </w:t>
      </w:r>
      <w:r w:rsidRPr="00A45097">
        <w:t>PCB</w:t>
      </w:r>
      <w:r>
        <w:t>s</w:t>
      </w:r>
      <w:r w:rsidRPr="00A45097">
        <w:t xml:space="preserve"> with TEFs (Toxic Equivalency Factors) assigned by WHO in 1998</w:t>
      </w:r>
      <w:r w:rsidR="005748BC">
        <w:t>.</w:t>
      </w:r>
    </w:p>
  </w:footnote>
  <w:footnote w:id="11">
    <w:p w14:paraId="3BC1E05A" w14:textId="105FA738" w:rsidR="00735969" w:rsidRPr="00735969" w:rsidRDefault="00735969">
      <w:pPr>
        <w:pStyle w:val="FootnoteText"/>
        <w:rPr>
          <w:lang w:val="en-US"/>
        </w:rPr>
      </w:pPr>
      <w:r>
        <w:rPr>
          <w:rStyle w:val="FootnoteReference"/>
        </w:rPr>
        <w:footnoteRef/>
      </w:r>
      <w:r>
        <w:t xml:space="preserve"> </w:t>
      </w:r>
      <w:r w:rsidR="005748BC" w:rsidRPr="00A7361E">
        <w:rPr>
          <w:sz w:val="20"/>
          <w:lang w:val="en-US" w:eastAsia="zh-CN"/>
        </w:rPr>
        <w:t>Σ</w:t>
      </w:r>
      <w:r w:rsidRPr="005E77E0">
        <w:t>SCCP based on congener-group specific quantification (see Chapter 5)</w:t>
      </w:r>
      <w:r>
        <w:t>.</w:t>
      </w:r>
    </w:p>
  </w:footnote>
  <w:footnote w:id="12">
    <w:p w14:paraId="77751D97" w14:textId="77777777" w:rsidR="009B1EFC" w:rsidRPr="00D76F3C" w:rsidRDefault="009B1EFC" w:rsidP="00F3536C">
      <w:pPr>
        <w:pStyle w:val="FootnoteText"/>
        <w:ind w:left="1170"/>
        <w:rPr>
          <w:lang w:val="en-US"/>
        </w:rPr>
      </w:pPr>
      <w:r>
        <w:rPr>
          <w:vertAlign w:val="superscript"/>
        </w:rPr>
        <w:footnoteRef/>
      </w:r>
      <w:r>
        <w:rPr>
          <w:lang w:val="en-US"/>
        </w:rPr>
        <w:t xml:space="preserve"> </w:t>
      </w:r>
      <w:r w:rsidRPr="00D76F3C">
        <w:rPr>
          <w:lang w:val="en-US"/>
        </w:rPr>
        <w:t xml:space="preserve">OSPAR: </w:t>
      </w:r>
      <w:r>
        <w:rPr>
          <w:lang w:val="en-US"/>
        </w:rPr>
        <w:t>Guidance for the Comprehensive Atmospheric Monitoring Programme (CAMP)</w:t>
      </w:r>
      <w:r w:rsidRPr="00D76F3C">
        <w:rPr>
          <w:lang w:val="en-US"/>
        </w:rPr>
        <w:t xml:space="preserve"> - </w:t>
      </w:r>
      <w:hyperlink r:id="rId1" w:history="1">
        <w:r w:rsidRPr="00D76F3C">
          <w:t>http://mcc.jrc.ec.europa.eu/documents/OSPAR/Guidance_fortheComprehensiveAtmosphericMonitoringProgramme_CAMP%20.pdf</w:t>
        </w:r>
      </w:hyperlink>
      <w:r w:rsidRPr="00D76F3C">
        <w:rPr>
          <w:lang w:val="en-US"/>
        </w:rPr>
        <w:t xml:space="preserve">, EMEP/EBAS: </w:t>
      </w:r>
      <w:r>
        <w:rPr>
          <w:lang w:val="en-US"/>
        </w:rPr>
        <w:t xml:space="preserve">http:\\ebas- </w:t>
      </w:r>
      <w:hyperlink r:id="rId2" w:history="1">
        <w:r w:rsidRPr="00D76F3C">
          <w:t>submit.nilu.no</w:t>
        </w:r>
      </w:hyperlink>
      <w:r w:rsidRPr="00D76F3C">
        <w:rPr>
          <w:lang w:val="en-US"/>
        </w:rPr>
        <w:t xml:space="preserve">, and HELCOM: </w:t>
      </w:r>
      <w:hyperlink r:id="rId3" w:history="1">
        <w:r w:rsidRPr="00D76F3C">
          <w:t>http://www.helcom.fi/helcom-at-work/publications/manuals-and-guidelines</w:t>
        </w:r>
      </w:hyperlink>
      <w:r w:rsidRPr="00D76F3C">
        <w:rPr>
          <w:lang w:val="en-US"/>
        </w:rPr>
        <w:t xml:space="preserve">. </w:t>
      </w:r>
    </w:p>
  </w:footnote>
  <w:footnote w:id="13">
    <w:p w14:paraId="79A7C25A" w14:textId="06F6A2E3" w:rsidR="005E6D30" w:rsidRPr="005E6D30" w:rsidRDefault="005E6D30" w:rsidP="005E6D30">
      <w:pPr>
        <w:pStyle w:val="FootnoteText"/>
      </w:pPr>
      <w:r>
        <w:rPr>
          <w:rStyle w:val="FootnoteReference"/>
        </w:rPr>
        <w:footnoteRef/>
      </w:r>
      <w:r>
        <w:t xml:space="preserve"> </w:t>
      </w:r>
      <w:r w:rsidRPr="00A07373">
        <w:t>UNEP</w:t>
      </w:r>
      <w:r>
        <w:t>/</w:t>
      </w:r>
      <w:r w:rsidRPr="00A07373">
        <w:t>POPS</w:t>
      </w:r>
      <w:r>
        <w:t>/</w:t>
      </w:r>
      <w:r w:rsidRPr="00A07373">
        <w:t>COP.4</w:t>
      </w:r>
      <w:r>
        <w:t>/</w:t>
      </w:r>
      <w:r w:rsidRPr="00A07373">
        <w:t>33</w:t>
      </w:r>
      <w:r>
        <w:t xml:space="preserve">; </w:t>
      </w:r>
      <w:r w:rsidRPr="00A07373">
        <w:t>UNEP</w:t>
      </w:r>
      <w:r>
        <w:t>/</w:t>
      </w:r>
      <w:r w:rsidRPr="00A07373">
        <w:t>POPS</w:t>
      </w:r>
      <w:r>
        <w:t>/</w:t>
      </w:r>
      <w:r w:rsidRPr="00A07373">
        <w:t>COP.8</w:t>
      </w:r>
      <w:r>
        <w:t>/</w:t>
      </w:r>
      <w:r w:rsidRPr="00A07373">
        <w:t>21</w:t>
      </w:r>
      <w:r>
        <w:t>/</w:t>
      </w:r>
      <w:r w:rsidRPr="00A07373">
        <w:t>Add.1</w:t>
      </w:r>
      <w:r>
        <w:t xml:space="preserve">; </w:t>
      </w:r>
      <w:r w:rsidRPr="00A07373">
        <w:t>UNEP</w:t>
      </w:r>
      <w:r>
        <w:t>/</w:t>
      </w:r>
      <w:r w:rsidRPr="00A07373">
        <w:t>POPS</w:t>
      </w:r>
      <w:r>
        <w:t>/</w:t>
      </w:r>
      <w:r w:rsidRPr="00A07373">
        <w:t>COP.8</w:t>
      </w:r>
      <w:r>
        <w:t xml:space="preserve">/INF/38; </w:t>
      </w:r>
      <w:r w:rsidRPr="00A07373">
        <w:t>UNEP</w:t>
      </w:r>
      <w:r>
        <w:t>/</w:t>
      </w:r>
      <w:r w:rsidRPr="00A07373">
        <w:t>POPS</w:t>
      </w:r>
      <w:r>
        <w:t>/</w:t>
      </w:r>
      <w:r w:rsidRPr="00A07373">
        <w:t>COP.</w:t>
      </w:r>
      <w:r>
        <w:t>11/</w:t>
      </w:r>
      <w:r w:rsidRPr="00A07373">
        <w:t>2</w:t>
      </w:r>
      <w:r>
        <w:t>0/</w:t>
      </w:r>
      <w:r w:rsidRPr="00A07373">
        <w:t>Add.1</w:t>
      </w:r>
      <w:r>
        <w:t xml:space="preserve">; </w:t>
      </w:r>
      <w:r w:rsidRPr="00A07373">
        <w:t>UNEP</w:t>
      </w:r>
      <w:r>
        <w:t>/</w:t>
      </w:r>
      <w:r w:rsidRPr="00A07373">
        <w:t>POPS</w:t>
      </w:r>
      <w:r>
        <w:t>/</w:t>
      </w:r>
      <w:r w:rsidRPr="00A07373">
        <w:t>COP.</w:t>
      </w:r>
      <w:r>
        <w:t xml:space="preserve">11/INF/38. Available at: </w:t>
      </w:r>
      <w:r w:rsidRPr="005E6D30">
        <w:t>https://www.pops.int/tabid/525</w:t>
      </w:r>
      <w:r>
        <w:t>.</w:t>
      </w:r>
    </w:p>
  </w:footnote>
  <w:footnote w:id="14">
    <w:p w14:paraId="227E2A81" w14:textId="5053368E" w:rsidR="005E6D30" w:rsidRPr="005E6D30" w:rsidRDefault="005E6D30">
      <w:pPr>
        <w:pStyle w:val="FootnoteText"/>
      </w:pPr>
      <w:r>
        <w:rPr>
          <w:rStyle w:val="FootnoteReference"/>
        </w:rPr>
        <w:footnoteRef/>
      </w:r>
      <w:r>
        <w:t xml:space="preserve"> </w:t>
      </w:r>
      <w:r w:rsidRPr="005E6D30">
        <w:t>https://www.amap.no/documents/doc/AMAP-Assessment-2016-Chemicals-of-Emerging-Arctic-Concern/1624</w:t>
      </w:r>
      <w:r>
        <w:t>.</w:t>
      </w:r>
    </w:p>
  </w:footnote>
  <w:footnote w:id="15">
    <w:p w14:paraId="3FE56874" w14:textId="077B6EB2" w:rsidR="009F04ED" w:rsidRPr="009F04ED" w:rsidRDefault="009F04ED">
      <w:pPr>
        <w:pStyle w:val="FootnoteText"/>
      </w:pPr>
      <w:r>
        <w:rPr>
          <w:rStyle w:val="FootnoteReference"/>
        </w:rPr>
        <w:footnoteRef/>
      </w:r>
      <w:r>
        <w:t xml:space="preserve"> </w:t>
      </w:r>
      <w:r w:rsidRPr="009F04ED">
        <w:rPr>
          <w:lang w:val="en-US" w:eastAsia="ja-JP"/>
        </w:rPr>
        <w:t>https://www.ceip.at/</w:t>
      </w:r>
      <w:r>
        <w:rPr>
          <w:lang w:val="en-US" w:eastAsia="ja-JP"/>
        </w:rPr>
        <w:t>.</w:t>
      </w:r>
    </w:p>
  </w:footnote>
  <w:footnote w:id="16">
    <w:p w14:paraId="455D82D2" w14:textId="77777777" w:rsidR="00C66B87" w:rsidRPr="00C66B87" w:rsidRDefault="00C66B87" w:rsidP="00C66B87">
      <w:pPr>
        <w:pStyle w:val="FootnoteText"/>
      </w:pPr>
      <w:r>
        <w:rPr>
          <w:rStyle w:val="FootnoteReference"/>
        </w:rPr>
        <w:footnoteRef/>
      </w:r>
      <w:r>
        <w:t xml:space="preserve"> </w:t>
      </w:r>
      <w:r w:rsidRPr="00C66B87">
        <w:t>https://nadp.slh.wisc.edu/</w:t>
      </w:r>
      <w:r>
        <w:t>.</w:t>
      </w:r>
    </w:p>
  </w:footnote>
  <w:footnote w:id="17">
    <w:p w14:paraId="3FF96BF2" w14:textId="1B78F9DD" w:rsidR="00365739" w:rsidRPr="00365739" w:rsidRDefault="00365739">
      <w:pPr>
        <w:pStyle w:val="FootnoteText"/>
        <w:rPr>
          <w:lang w:val="en-US"/>
        </w:rPr>
      </w:pPr>
      <w:r>
        <w:rPr>
          <w:rStyle w:val="FootnoteReference"/>
        </w:rPr>
        <w:footnoteRef/>
      </w:r>
      <w:r>
        <w:t xml:space="preserve"> </w:t>
      </w:r>
      <w:r w:rsidRPr="00365739">
        <w:rPr>
          <w:lang w:val="en-US"/>
        </w:rPr>
        <w:t>https://science.gc.ca/site/science/en/northern-contaminants-program/ncp-subprograms/environmental-monitoring-and-research</w:t>
      </w:r>
      <w:r>
        <w:rPr>
          <w:lang w:val="en-US"/>
        </w:rPr>
        <w:t>.</w:t>
      </w:r>
    </w:p>
  </w:footnote>
  <w:footnote w:id="18">
    <w:p w14:paraId="3218EB82" w14:textId="325E721B" w:rsidR="00CE6222" w:rsidRPr="00385825" w:rsidRDefault="00D57E89" w:rsidP="00385825">
      <w:pPr>
        <w:pStyle w:val="FootnoteText"/>
        <w:ind w:left="1253"/>
        <w:rPr>
          <w:szCs w:val="18"/>
        </w:rPr>
      </w:pPr>
      <w:r w:rsidRPr="00385825">
        <w:rPr>
          <w:rStyle w:val="FootnoteReference"/>
          <w:sz w:val="18"/>
        </w:rPr>
        <w:t>10</w:t>
      </w:r>
      <w:r w:rsidRPr="00385825">
        <w:rPr>
          <w:szCs w:val="18"/>
        </w:rPr>
        <w:t xml:space="preserve"> </w:t>
      </w:r>
      <w:r w:rsidR="00CE6222" w:rsidRPr="00385825">
        <w:rPr>
          <w:szCs w:val="18"/>
        </w:rPr>
        <w:t>https://www.unep.org/topics/chemicals-and-pollution-action/pollution-and-health/persistent-organic-pollutants-pops-3.</w:t>
      </w:r>
    </w:p>
  </w:footnote>
  <w:footnote w:id="19">
    <w:p w14:paraId="010F980C" w14:textId="77777777" w:rsidR="00CE6222" w:rsidRPr="00385825" w:rsidRDefault="00CE6222" w:rsidP="00385825">
      <w:pPr>
        <w:pStyle w:val="FootnoteText"/>
        <w:ind w:left="1253"/>
        <w:rPr>
          <w:szCs w:val="18"/>
          <w:lang w:val="en-US"/>
        </w:rPr>
      </w:pPr>
      <w:r w:rsidRPr="00385825">
        <w:rPr>
          <w:rStyle w:val="FootnoteReference"/>
          <w:sz w:val="18"/>
        </w:rPr>
        <w:footnoteRef/>
      </w:r>
      <w:r w:rsidRPr="00385825">
        <w:rPr>
          <w:szCs w:val="18"/>
        </w:rPr>
        <w:t xml:space="preserve"> https://chm.pops.int/tabid/7730/Default.aspx.</w:t>
      </w:r>
    </w:p>
  </w:footnote>
  <w:footnote w:id="20">
    <w:p w14:paraId="3DE3D678" w14:textId="68A79F1F" w:rsidR="00D57E89" w:rsidRPr="00385825" w:rsidRDefault="00D57E89" w:rsidP="00385825">
      <w:pPr>
        <w:pStyle w:val="FootnoteText"/>
        <w:ind w:left="1253"/>
        <w:rPr>
          <w:szCs w:val="18"/>
        </w:rPr>
      </w:pPr>
      <w:r w:rsidRPr="00385825">
        <w:rPr>
          <w:rStyle w:val="FootnoteReference"/>
          <w:sz w:val="18"/>
        </w:rPr>
        <w:footnoteRef/>
      </w:r>
      <w:r w:rsidRPr="00385825">
        <w:rPr>
          <w:szCs w:val="18"/>
        </w:rPr>
        <w:t xml:space="preserve"> https://eurl-pops.eu/working-groups/guidance-documents</w:t>
      </w:r>
    </w:p>
  </w:footnote>
  <w:footnote w:id="21">
    <w:p w14:paraId="4E48B237" w14:textId="38E54E63" w:rsidR="00CE6222" w:rsidRPr="003654EB" w:rsidRDefault="00CE6222" w:rsidP="00385825">
      <w:pPr>
        <w:pStyle w:val="FootnoteText"/>
        <w:ind w:left="1253"/>
        <w:rPr>
          <w:lang w:val="en-US"/>
        </w:rPr>
      </w:pPr>
      <w:r w:rsidRPr="00385825">
        <w:rPr>
          <w:rStyle w:val="FootnoteReference"/>
          <w:sz w:val="18"/>
        </w:rPr>
        <w:footnoteRef/>
      </w:r>
      <w:r w:rsidRPr="00385825">
        <w:rPr>
          <w:szCs w:val="18"/>
        </w:rPr>
        <w:t xml:space="preserve"> https://www.eu-parc.eu/.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F6915" w14:textId="77777777" w:rsidR="009B1EFC" w:rsidRPr="00823A10" w:rsidRDefault="009B1EFC" w:rsidP="008C6CD2">
    <w:pPr>
      <w:pStyle w:val="Header"/>
      <w:rPr>
        <w:szCs w:val="18"/>
      </w:rPr>
    </w:pPr>
    <w:r>
      <w:rPr>
        <w:szCs w:val="18"/>
      </w:rPr>
      <w:t>UNEP/POPS/COP.5/INF/31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3D73A" w14:textId="77777777" w:rsidR="009B1EFC" w:rsidRDefault="009B1E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914D" w14:textId="77777777" w:rsidR="009B1EFC" w:rsidRPr="008C6CD2" w:rsidRDefault="009B1EFC" w:rsidP="008C6CD2">
    <w:pPr>
      <w:pStyle w:val="Header"/>
      <w:jc w:val="right"/>
      <w:rPr>
        <w:szCs w:val="18"/>
      </w:rPr>
    </w:pPr>
    <w:r>
      <w:t>UNEP/POPS/COP.5/INF/27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544F" w14:textId="2640C989" w:rsidR="009B1EFC" w:rsidRPr="00B25CD5" w:rsidRDefault="009B1EFC" w:rsidP="00B25CD5">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D4DC" w14:textId="5F8902E4" w:rsidR="009B1EFC" w:rsidRPr="00B25CD5" w:rsidRDefault="009B1EFC" w:rsidP="00B25CD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95A3D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00000006"/>
    <w:name w:val="WW8Num40"/>
    <w:lvl w:ilvl="0">
      <w:start w:val="1"/>
      <w:numFmt w:val="bullet"/>
      <w:lvlText w:val=""/>
      <w:lvlJc w:val="left"/>
      <w:pPr>
        <w:tabs>
          <w:tab w:val="num" w:pos="720"/>
        </w:tabs>
        <w:ind w:left="720" w:hanging="360"/>
      </w:pPr>
      <w:rPr>
        <w:rFonts w:ascii="Wingdings" w:hAnsi="Wingdings" w:cs="Wingdings" w:hint="default"/>
        <w:sz w:val="22"/>
        <w:szCs w:val="22"/>
      </w:rPr>
    </w:lvl>
  </w:abstractNum>
  <w:abstractNum w:abstractNumId="2" w15:restartNumberingAfterBreak="0">
    <w:nsid w:val="00000007"/>
    <w:multiLevelType w:val="singleLevel"/>
    <w:tmpl w:val="00000007"/>
    <w:name w:val="WW8Num42"/>
    <w:lvl w:ilvl="0">
      <w:start w:val="1"/>
      <w:numFmt w:val="bullet"/>
      <w:lvlText w:val=""/>
      <w:lvlJc w:val="left"/>
      <w:pPr>
        <w:tabs>
          <w:tab w:val="num" w:pos="720"/>
        </w:tabs>
        <w:ind w:left="720" w:hanging="360"/>
      </w:pPr>
      <w:rPr>
        <w:rFonts w:ascii="Wingdings" w:hAnsi="Wingdings" w:cs="Wingdings" w:hint="default"/>
        <w:color w:val="000000"/>
        <w:sz w:val="22"/>
        <w:szCs w:val="22"/>
      </w:rPr>
    </w:lvl>
  </w:abstractNum>
  <w:abstractNum w:abstractNumId="3" w15:restartNumberingAfterBreak="0">
    <w:nsid w:val="00000008"/>
    <w:multiLevelType w:val="singleLevel"/>
    <w:tmpl w:val="00000008"/>
    <w:name w:val="WW8Num43"/>
    <w:lvl w:ilvl="0">
      <w:start w:val="1"/>
      <w:numFmt w:val="lowerRoman"/>
      <w:lvlText w:val="%1."/>
      <w:lvlJc w:val="right"/>
      <w:pPr>
        <w:tabs>
          <w:tab w:val="num" w:pos="0"/>
        </w:tabs>
        <w:ind w:left="720" w:hanging="360"/>
      </w:pPr>
      <w:rPr>
        <w:sz w:val="22"/>
        <w:szCs w:val="22"/>
      </w:rPr>
    </w:lvl>
  </w:abstractNum>
  <w:abstractNum w:abstractNumId="4" w15:restartNumberingAfterBreak="0">
    <w:nsid w:val="00000009"/>
    <w:multiLevelType w:val="singleLevel"/>
    <w:tmpl w:val="00000009"/>
    <w:name w:val="WW8Num45"/>
    <w:lvl w:ilvl="0">
      <w:start w:val="1"/>
      <w:numFmt w:val="decimal"/>
      <w:lvlText w:val="%1."/>
      <w:lvlJc w:val="left"/>
      <w:pPr>
        <w:tabs>
          <w:tab w:val="num" w:pos="0"/>
        </w:tabs>
        <w:ind w:left="720" w:hanging="360"/>
      </w:pPr>
      <w:rPr>
        <w:sz w:val="22"/>
        <w:szCs w:val="22"/>
      </w:rPr>
    </w:lvl>
  </w:abstractNum>
  <w:abstractNum w:abstractNumId="5" w15:restartNumberingAfterBreak="0">
    <w:nsid w:val="0000000A"/>
    <w:multiLevelType w:val="singleLevel"/>
    <w:tmpl w:val="0000000A"/>
    <w:name w:val="WW8Num58"/>
    <w:lvl w:ilvl="0">
      <w:start w:val="1"/>
      <w:numFmt w:val="bullet"/>
      <w:lvlText w:val=""/>
      <w:lvlJc w:val="left"/>
      <w:pPr>
        <w:tabs>
          <w:tab w:val="num" w:pos="360"/>
        </w:tabs>
        <w:ind w:left="360" w:hanging="360"/>
      </w:pPr>
      <w:rPr>
        <w:rFonts w:ascii="Symbol" w:hAnsi="Symbol" w:cs="Symbol" w:hint="default"/>
        <w:color w:val="000000"/>
        <w:sz w:val="22"/>
        <w:szCs w:val="22"/>
      </w:rPr>
    </w:lvl>
  </w:abstractNum>
  <w:abstractNum w:abstractNumId="6" w15:restartNumberingAfterBreak="0">
    <w:nsid w:val="0000000B"/>
    <w:multiLevelType w:val="singleLevel"/>
    <w:tmpl w:val="0000000B"/>
    <w:name w:val="WW8Num62"/>
    <w:lvl w:ilvl="0">
      <w:start w:val="1"/>
      <w:numFmt w:val="bullet"/>
      <w:lvlText w:val=""/>
      <w:lvlJc w:val="left"/>
      <w:pPr>
        <w:tabs>
          <w:tab w:val="num" w:pos="0"/>
        </w:tabs>
        <w:ind w:left="720" w:hanging="360"/>
      </w:pPr>
      <w:rPr>
        <w:rFonts w:ascii="Symbol" w:hAnsi="Symbol" w:cs="Symbol" w:hint="default"/>
        <w:sz w:val="22"/>
        <w:szCs w:val="22"/>
      </w:rPr>
    </w:lvl>
  </w:abstractNum>
  <w:abstractNum w:abstractNumId="7" w15:restartNumberingAfterBreak="0">
    <w:nsid w:val="00B24BC9"/>
    <w:multiLevelType w:val="multilevel"/>
    <w:tmpl w:val="15387EAC"/>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012E6815"/>
    <w:multiLevelType w:val="hybridMultilevel"/>
    <w:tmpl w:val="7406936E"/>
    <w:lvl w:ilvl="0" w:tplc="19A892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4F679B"/>
    <w:multiLevelType w:val="multilevel"/>
    <w:tmpl w:val="81226064"/>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90738F"/>
    <w:multiLevelType w:val="multilevel"/>
    <w:tmpl w:val="23B8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0C4FBC"/>
    <w:multiLevelType w:val="hybridMultilevel"/>
    <w:tmpl w:val="3BEC4378"/>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761E08"/>
    <w:multiLevelType w:val="hybridMultilevel"/>
    <w:tmpl w:val="8BFCC1F2"/>
    <w:lvl w:ilvl="0" w:tplc="DA5C8C6A">
      <w:start w:val="1"/>
      <w:numFmt w:val="lowerLetter"/>
      <w:lvlText w:val="(%1)"/>
      <w:lvlJc w:val="left"/>
      <w:pPr>
        <w:ind w:left="1080" w:hanging="360"/>
      </w:pPr>
      <w:rPr>
        <w:rFonts w:hint="default"/>
        <w:b w:val="0"/>
        <w:bCs w:val="0"/>
      </w:rPr>
    </w:lvl>
    <w:lvl w:ilvl="1" w:tplc="FE1AE120">
      <w:start w:val="1"/>
      <w:numFmt w:val="lowerLetter"/>
      <w:lvlText w:val="(%2)"/>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AA6FE5"/>
    <w:multiLevelType w:val="hybridMultilevel"/>
    <w:tmpl w:val="853CADF0"/>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E37419"/>
    <w:multiLevelType w:val="hybridMultilevel"/>
    <w:tmpl w:val="E9BEC1B6"/>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070D1B77"/>
    <w:multiLevelType w:val="multilevel"/>
    <w:tmpl w:val="5364B94E"/>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3B0ECF"/>
    <w:multiLevelType w:val="multilevel"/>
    <w:tmpl w:val="6986A1C2"/>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4334D2"/>
    <w:multiLevelType w:val="hybridMultilevel"/>
    <w:tmpl w:val="46AEEF46"/>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5048BA"/>
    <w:multiLevelType w:val="multilevel"/>
    <w:tmpl w:val="27CAB5DE"/>
    <w:lvl w:ilvl="0">
      <w:start w:val="1"/>
      <w:numFmt w:val="bullet"/>
      <w:lvlText w:val=""/>
      <w:lvlJc w:val="left"/>
      <w:pPr>
        <w:tabs>
          <w:tab w:val="num" w:pos="1598"/>
        </w:tabs>
        <w:ind w:left="1598" w:hanging="360"/>
      </w:pPr>
      <w:rPr>
        <w:rFonts w:ascii="Symbol" w:hAnsi="Symbol" w:hint="default"/>
        <w:sz w:val="18"/>
        <w:szCs w:val="18"/>
      </w:rPr>
    </w:lvl>
    <w:lvl w:ilvl="1">
      <w:start w:val="1"/>
      <w:numFmt w:val="lowerLetter"/>
      <w:lvlText w:val="(%2)"/>
      <w:lvlJc w:val="left"/>
      <w:pPr>
        <w:ind w:left="1598" w:hanging="360"/>
      </w:pPr>
      <w:rPr>
        <w:rFonts w:hint="default"/>
      </w:rPr>
    </w:lvl>
    <w:lvl w:ilvl="2">
      <w:start w:val="1"/>
      <w:numFmt w:val="bullet"/>
      <w:lvlText w:val=""/>
      <w:lvlJc w:val="left"/>
      <w:pPr>
        <w:tabs>
          <w:tab w:val="num" w:pos="3038"/>
        </w:tabs>
        <w:ind w:left="3038" w:hanging="360"/>
      </w:pPr>
      <w:rPr>
        <w:rFonts w:ascii="Wingdings" w:hAnsi="Wingdings" w:hint="default"/>
        <w:sz w:val="20"/>
      </w:rPr>
    </w:lvl>
    <w:lvl w:ilvl="3" w:tentative="1">
      <w:start w:val="1"/>
      <w:numFmt w:val="bullet"/>
      <w:lvlText w:val=""/>
      <w:lvlJc w:val="left"/>
      <w:pPr>
        <w:tabs>
          <w:tab w:val="num" w:pos="3758"/>
        </w:tabs>
        <w:ind w:left="3758" w:hanging="360"/>
      </w:pPr>
      <w:rPr>
        <w:rFonts w:ascii="Wingdings" w:hAnsi="Wingdings" w:hint="default"/>
        <w:sz w:val="20"/>
      </w:rPr>
    </w:lvl>
    <w:lvl w:ilvl="4" w:tentative="1">
      <w:start w:val="1"/>
      <w:numFmt w:val="bullet"/>
      <w:lvlText w:val=""/>
      <w:lvlJc w:val="left"/>
      <w:pPr>
        <w:tabs>
          <w:tab w:val="num" w:pos="4478"/>
        </w:tabs>
        <w:ind w:left="4478" w:hanging="360"/>
      </w:pPr>
      <w:rPr>
        <w:rFonts w:ascii="Wingdings" w:hAnsi="Wingdings" w:hint="default"/>
        <w:sz w:val="20"/>
      </w:rPr>
    </w:lvl>
    <w:lvl w:ilvl="5" w:tentative="1">
      <w:start w:val="1"/>
      <w:numFmt w:val="bullet"/>
      <w:lvlText w:val=""/>
      <w:lvlJc w:val="left"/>
      <w:pPr>
        <w:tabs>
          <w:tab w:val="num" w:pos="5198"/>
        </w:tabs>
        <w:ind w:left="5198" w:hanging="360"/>
      </w:pPr>
      <w:rPr>
        <w:rFonts w:ascii="Wingdings" w:hAnsi="Wingdings" w:hint="default"/>
        <w:sz w:val="20"/>
      </w:rPr>
    </w:lvl>
    <w:lvl w:ilvl="6" w:tentative="1">
      <w:start w:val="1"/>
      <w:numFmt w:val="bullet"/>
      <w:lvlText w:val=""/>
      <w:lvlJc w:val="left"/>
      <w:pPr>
        <w:tabs>
          <w:tab w:val="num" w:pos="5918"/>
        </w:tabs>
        <w:ind w:left="5918" w:hanging="360"/>
      </w:pPr>
      <w:rPr>
        <w:rFonts w:ascii="Wingdings" w:hAnsi="Wingdings" w:hint="default"/>
        <w:sz w:val="20"/>
      </w:rPr>
    </w:lvl>
    <w:lvl w:ilvl="7" w:tentative="1">
      <w:start w:val="1"/>
      <w:numFmt w:val="bullet"/>
      <w:lvlText w:val=""/>
      <w:lvlJc w:val="left"/>
      <w:pPr>
        <w:tabs>
          <w:tab w:val="num" w:pos="6638"/>
        </w:tabs>
        <w:ind w:left="6638" w:hanging="360"/>
      </w:pPr>
      <w:rPr>
        <w:rFonts w:ascii="Wingdings" w:hAnsi="Wingdings" w:hint="default"/>
        <w:sz w:val="20"/>
      </w:rPr>
    </w:lvl>
    <w:lvl w:ilvl="8" w:tentative="1">
      <w:start w:val="1"/>
      <w:numFmt w:val="bullet"/>
      <w:lvlText w:val=""/>
      <w:lvlJc w:val="left"/>
      <w:pPr>
        <w:tabs>
          <w:tab w:val="num" w:pos="7358"/>
        </w:tabs>
        <w:ind w:left="7358" w:hanging="360"/>
      </w:pPr>
      <w:rPr>
        <w:rFonts w:ascii="Wingdings" w:hAnsi="Wingdings" w:hint="default"/>
        <w:sz w:val="20"/>
      </w:rPr>
    </w:lvl>
  </w:abstractNum>
  <w:abstractNum w:abstractNumId="19" w15:restartNumberingAfterBreak="0">
    <w:nsid w:val="08AF5C99"/>
    <w:multiLevelType w:val="multilevel"/>
    <w:tmpl w:val="DD4C70C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3C0452"/>
    <w:multiLevelType w:val="hybridMultilevel"/>
    <w:tmpl w:val="13589C32"/>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AB789C"/>
    <w:multiLevelType w:val="hybridMultilevel"/>
    <w:tmpl w:val="A2F88C20"/>
    <w:styleLink w:val="Importovanstyl17"/>
    <w:lvl w:ilvl="0" w:tplc="1BB8E13C">
      <w:start w:val="1"/>
      <w:numFmt w:val="bullet"/>
      <w:lvlText w:val="●"/>
      <w:lvlJc w:val="left"/>
      <w:pPr>
        <w:tabs>
          <w:tab w:val="num" w:pos="624"/>
        </w:tabs>
        <w:ind w:left="682" w:hanging="325"/>
      </w:pPr>
      <w:rPr>
        <w:rFonts w:ascii="Helvetica" w:eastAsia="Helvetica" w:hAnsi="Helvetica" w:cs="Helvetica"/>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B239A4">
      <w:start w:val="1"/>
      <w:numFmt w:val="bullet"/>
      <w:lvlText w:val="o"/>
      <w:lvlJc w:val="left"/>
      <w:pPr>
        <w:tabs>
          <w:tab w:val="num" w:pos="1264"/>
        </w:tabs>
        <w:ind w:left="1322" w:hanging="245"/>
      </w:pPr>
      <w:rPr>
        <w:rFonts w:ascii="Helvetica" w:eastAsia="Helvetica" w:hAnsi="Helvetica" w:cs="Helvetic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B80ABE">
      <w:start w:val="1"/>
      <w:numFmt w:val="bullet"/>
      <w:lvlText w:val="▪"/>
      <w:lvlJc w:val="left"/>
      <w:pPr>
        <w:tabs>
          <w:tab w:val="num" w:pos="2152"/>
        </w:tabs>
        <w:ind w:left="2210" w:hanging="4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5490A6">
      <w:start w:val="1"/>
      <w:numFmt w:val="bullet"/>
      <w:lvlText w:val="●"/>
      <w:lvlJc w:val="left"/>
      <w:pPr>
        <w:tabs>
          <w:tab w:val="num" w:pos="2872"/>
        </w:tabs>
        <w:ind w:left="2930" w:hanging="413"/>
      </w:pPr>
      <w:rPr>
        <w:rFonts w:ascii="Helvetica" w:eastAsia="Helvetica" w:hAnsi="Helvetica" w:cs="Helvetic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CEE49E">
      <w:start w:val="1"/>
      <w:numFmt w:val="bullet"/>
      <w:lvlText w:val="o"/>
      <w:lvlJc w:val="left"/>
      <w:pPr>
        <w:tabs>
          <w:tab w:val="num" w:pos="3592"/>
        </w:tabs>
        <w:ind w:left="3650" w:hanging="413"/>
      </w:pPr>
      <w:rPr>
        <w:rFonts w:ascii="Helvetica" w:eastAsia="Helvetica" w:hAnsi="Helvetica" w:cs="Helvetic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C0E390">
      <w:start w:val="1"/>
      <w:numFmt w:val="bullet"/>
      <w:lvlText w:val="▪"/>
      <w:lvlJc w:val="left"/>
      <w:pPr>
        <w:tabs>
          <w:tab w:val="num" w:pos="4312"/>
        </w:tabs>
        <w:ind w:left="4370" w:hanging="4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5472AA">
      <w:start w:val="1"/>
      <w:numFmt w:val="bullet"/>
      <w:lvlText w:val="●"/>
      <w:lvlJc w:val="left"/>
      <w:pPr>
        <w:tabs>
          <w:tab w:val="num" w:pos="5021"/>
        </w:tabs>
        <w:ind w:left="5079" w:hanging="402"/>
      </w:pPr>
      <w:rPr>
        <w:rFonts w:ascii="Helvetica" w:eastAsia="Helvetica" w:hAnsi="Helvetica" w:cs="Helvetic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601508">
      <w:start w:val="1"/>
      <w:numFmt w:val="bullet"/>
      <w:lvlText w:val="o"/>
      <w:lvlJc w:val="left"/>
      <w:pPr>
        <w:tabs>
          <w:tab w:val="num" w:pos="5636"/>
        </w:tabs>
        <w:ind w:left="5694" w:hanging="297"/>
      </w:pPr>
      <w:rPr>
        <w:rFonts w:ascii="Helvetica" w:eastAsia="Helvetica" w:hAnsi="Helvetica" w:cs="Helvetic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A8BCC4">
      <w:start w:val="1"/>
      <w:numFmt w:val="bullet"/>
      <w:suff w:val="nothing"/>
      <w:lvlText w:val="▪"/>
      <w:lvlJc w:val="left"/>
      <w:pPr>
        <w:ind w:left="6309" w:hanging="19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B1133A3"/>
    <w:multiLevelType w:val="hybridMultilevel"/>
    <w:tmpl w:val="684A4D80"/>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8B776E"/>
    <w:multiLevelType w:val="multilevel"/>
    <w:tmpl w:val="A31293D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DE7498"/>
    <w:multiLevelType w:val="multilevel"/>
    <w:tmpl w:val="ECBEE582"/>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7504E4"/>
    <w:multiLevelType w:val="multilevel"/>
    <w:tmpl w:val="2B8E39B2"/>
    <w:lvl w:ilvl="0">
      <w:start w:val="1"/>
      <w:numFmt w:val="lowerRoman"/>
      <w:lvlText w:val="(%1)"/>
      <w:lvlJc w:val="right"/>
      <w:pPr>
        <w:tabs>
          <w:tab w:val="num" w:pos="1440"/>
        </w:tabs>
        <w:ind w:left="1440" w:hanging="360"/>
      </w:pPr>
      <w:rPr>
        <w:rFont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6" w15:restartNumberingAfterBreak="0">
    <w:nsid w:val="0E2F62EF"/>
    <w:multiLevelType w:val="multilevel"/>
    <w:tmpl w:val="55FE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A5417D"/>
    <w:multiLevelType w:val="multilevel"/>
    <w:tmpl w:val="BCD26E8E"/>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C55B30"/>
    <w:multiLevelType w:val="hybridMultilevel"/>
    <w:tmpl w:val="4E4E8CCC"/>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2D74CC"/>
    <w:multiLevelType w:val="hybridMultilevel"/>
    <w:tmpl w:val="2E862B84"/>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127720C7"/>
    <w:multiLevelType w:val="hybridMultilevel"/>
    <w:tmpl w:val="9430A058"/>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BA23FF"/>
    <w:multiLevelType w:val="multilevel"/>
    <w:tmpl w:val="A0580282"/>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9E40A3"/>
    <w:multiLevelType w:val="hybridMultilevel"/>
    <w:tmpl w:val="C96E1CFA"/>
    <w:lvl w:ilvl="0" w:tplc="04090019">
      <w:start w:val="1"/>
      <w:numFmt w:val="lowerLetter"/>
      <w:lvlText w:val="%1."/>
      <w:lvlJc w:val="left"/>
      <w:pPr>
        <w:ind w:left="1699" w:hanging="360"/>
      </w:p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33" w15:restartNumberingAfterBreak="0">
    <w:nsid w:val="14E36A40"/>
    <w:multiLevelType w:val="multilevel"/>
    <w:tmpl w:val="0E30A7A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132581"/>
    <w:multiLevelType w:val="hybridMultilevel"/>
    <w:tmpl w:val="D95417EA"/>
    <w:styleLink w:val="Importovanstyl13"/>
    <w:lvl w:ilvl="0" w:tplc="B7CCAB16">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AEFF18">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B47C08">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8C954">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2C6EAE">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6C807E">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A5D32">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98467E">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3E889C">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171113A7"/>
    <w:multiLevelType w:val="multilevel"/>
    <w:tmpl w:val="48241D10"/>
    <w:numStyleLink w:val="Normallist"/>
  </w:abstractNum>
  <w:abstractNum w:abstractNumId="36" w15:restartNumberingAfterBreak="0">
    <w:nsid w:val="18470562"/>
    <w:multiLevelType w:val="hybridMultilevel"/>
    <w:tmpl w:val="91AE3F4E"/>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18F23C53"/>
    <w:multiLevelType w:val="multilevel"/>
    <w:tmpl w:val="1986B20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821419"/>
    <w:multiLevelType w:val="hybridMultilevel"/>
    <w:tmpl w:val="15C48938"/>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1B18198E"/>
    <w:multiLevelType w:val="hybridMultilevel"/>
    <w:tmpl w:val="962EC64A"/>
    <w:lvl w:ilvl="0" w:tplc="04626E1A">
      <w:start w:val="1"/>
      <w:numFmt w:val="decimal"/>
      <w:pStyle w:val="Paralevel1"/>
      <w:lvlText w:val="%1."/>
      <w:lvlJc w:val="left"/>
      <w:pPr>
        <w:tabs>
          <w:tab w:val="num" w:pos="1825"/>
        </w:tabs>
        <w:ind w:left="1825" w:hanging="578"/>
      </w:pPr>
      <w:rPr>
        <w:rFonts w:ascii="Times New Roman" w:hAnsi="Times New Roman" w:hint="default"/>
        <w:b w:val="0"/>
        <w:i w:val="0"/>
        <w:sz w:val="20"/>
        <w:szCs w:val="20"/>
      </w:rPr>
    </w:lvl>
    <w:lvl w:ilvl="1" w:tplc="04090019">
      <w:start w:val="1"/>
      <w:numFmt w:val="lowerLetter"/>
      <w:lvlText w:val="%2."/>
      <w:lvlJc w:val="left"/>
      <w:pPr>
        <w:tabs>
          <w:tab w:val="num" w:pos="3034"/>
        </w:tabs>
        <w:ind w:left="3034" w:hanging="360"/>
      </w:pPr>
    </w:lvl>
    <w:lvl w:ilvl="2" w:tplc="0409001B" w:tentative="1">
      <w:start w:val="1"/>
      <w:numFmt w:val="lowerRoman"/>
      <w:lvlText w:val="%3."/>
      <w:lvlJc w:val="right"/>
      <w:pPr>
        <w:tabs>
          <w:tab w:val="num" w:pos="3754"/>
        </w:tabs>
        <w:ind w:left="3754" w:hanging="180"/>
      </w:pPr>
    </w:lvl>
    <w:lvl w:ilvl="3" w:tplc="0409000F" w:tentative="1">
      <w:start w:val="1"/>
      <w:numFmt w:val="decimal"/>
      <w:lvlText w:val="%4."/>
      <w:lvlJc w:val="left"/>
      <w:pPr>
        <w:tabs>
          <w:tab w:val="num" w:pos="4474"/>
        </w:tabs>
        <w:ind w:left="4474" w:hanging="360"/>
      </w:pPr>
    </w:lvl>
    <w:lvl w:ilvl="4" w:tplc="04090019" w:tentative="1">
      <w:start w:val="1"/>
      <w:numFmt w:val="lowerLetter"/>
      <w:lvlText w:val="%5."/>
      <w:lvlJc w:val="left"/>
      <w:pPr>
        <w:tabs>
          <w:tab w:val="num" w:pos="5194"/>
        </w:tabs>
        <w:ind w:left="5194" w:hanging="360"/>
      </w:pPr>
    </w:lvl>
    <w:lvl w:ilvl="5" w:tplc="0409001B" w:tentative="1">
      <w:start w:val="1"/>
      <w:numFmt w:val="lowerRoman"/>
      <w:lvlText w:val="%6."/>
      <w:lvlJc w:val="right"/>
      <w:pPr>
        <w:tabs>
          <w:tab w:val="num" w:pos="5914"/>
        </w:tabs>
        <w:ind w:left="5914" w:hanging="180"/>
      </w:pPr>
    </w:lvl>
    <w:lvl w:ilvl="6" w:tplc="0409000F" w:tentative="1">
      <w:start w:val="1"/>
      <w:numFmt w:val="decimal"/>
      <w:lvlText w:val="%7."/>
      <w:lvlJc w:val="left"/>
      <w:pPr>
        <w:tabs>
          <w:tab w:val="num" w:pos="6634"/>
        </w:tabs>
        <w:ind w:left="6634" w:hanging="360"/>
      </w:pPr>
    </w:lvl>
    <w:lvl w:ilvl="7" w:tplc="04090019" w:tentative="1">
      <w:start w:val="1"/>
      <w:numFmt w:val="lowerLetter"/>
      <w:lvlText w:val="%8."/>
      <w:lvlJc w:val="left"/>
      <w:pPr>
        <w:tabs>
          <w:tab w:val="num" w:pos="7354"/>
        </w:tabs>
        <w:ind w:left="7354" w:hanging="360"/>
      </w:pPr>
    </w:lvl>
    <w:lvl w:ilvl="8" w:tplc="0409001B" w:tentative="1">
      <w:start w:val="1"/>
      <w:numFmt w:val="lowerRoman"/>
      <w:lvlText w:val="%9."/>
      <w:lvlJc w:val="right"/>
      <w:pPr>
        <w:tabs>
          <w:tab w:val="num" w:pos="8074"/>
        </w:tabs>
        <w:ind w:left="8074" w:hanging="180"/>
      </w:pPr>
    </w:lvl>
  </w:abstractNum>
  <w:abstractNum w:abstractNumId="40" w15:restartNumberingAfterBreak="0">
    <w:nsid w:val="1C302621"/>
    <w:multiLevelType w:val="multilevel"/>
    <w:tmpl w:val="311E9890"/>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F05436"/>
    <w:multiLevelType w:val="multilevel"/>
    <w:tmpl w:val="EC14803E"/>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1ED03B15"/>
    <w:multiLevelType w:val="multilevel"/>
    <w:tmpl w:val="9FB0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AC018F"/>
    <w:multiLevelType w:val="hybridMultilevel"/>
    <w:tmpl w:val="ED961176"/>
    <w:lvl w:ilvl="0" w:tplc="FFFFFFFF">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23193741"/>
    <w:multiLevelType w:val="hybridMultilevel"/>
    <w:tmpl w:val="27FEB152"/>
    <w:lvl w:ilvl="0" w:tplc="19A892FA">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87426FF"/>
    <w:multiLevelType w:val="multilevel"/>
    <w:tmpl w:val="E880FC7A"/>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210022"/>
    <w:multiLevelType w:val="hybridMultilevel"/>
    <w:tmpl w:val="73B2144C"/>
    <w:styleLink w:val="Importovanstyl16"/>
    <w:lvl w:ilvl="0" w:tplc="1CEE423E">
      <w:start w:val="1"/>
      <w:numFmt w:val="bullet"/>
      <w:lvlText w:val="·"/>
      <w:lvlJc w:val="left"/>
      <w:pPr>
        <w:tabs>
          <w:tab w:val="num" w:pos="62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C0DB0C">
      <w:start w:val="1"/>
      <w:numFmt w:val="bullet"/>
      <w:lvlText w:val="o"/>
      <w:lvlJc w:val="left"/>
      <w:pPr>
        <w:tabs>
          <w:tab w:val="num" w:pos="1248"/>
        </w:tabs>
        <w:ind w:left="134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8F440">
      <w:start w:val="1"/>
      <w:numFmt w:val="bullet"/>
      <w:lvlText w:val="▪"/>
      <w:lvlJc w:val="left"/>
      <w:pPr>
        <w:tabs>
          <w:tab w:val="num" w:pos="2160"/>
        </w:tabs>
        <w:ind w:left="2256" w:hanging="45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362444">
      <w:start w:val="1"/>
      <w:numFmt w:val="bullet"/>
      <w:lvlText w:val="·"/>
      <w:lvlJc w:val="left"/>
      <w:pPr>
        <w:tabs>
          <w:tab w:val="num" w:pos="2880"/>
        </w:tabs>
        <w:ind w:left="2976" w:hanging="45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D48A0A">
      <w:start w:val="1"/>
      <w:numFmt w:val="bullet"/>
      <w:lvlText w:val="o"/>
      <w:lvlJc w:val="left"/>
      <w:pPr>
        <w:tabs>
          <w:tab w:val="num" w:pos="3600"/>
        </w:tabs>
        <w:ind w:left="3696" w:hanging="45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24867C">
      <w:start w:val="1"/>
      <w:numFmt w:val="bullet"/>
      <w:lvlText w:val="▪"/>
      <w:lvlJc w:val="left"/>
      <w:pPr>
        <w:tabs>
          <w:tab w:val="num" w:pos="4320"/>
        </w:tabs>
        <w:ind w:left="4416" w:hanging="45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F437F0">
      <w:start w:val="1"/>
      <w:numFmt w:val="bullet"/>
      <w:lvlText w:val="·"/>
      <w:lvlJc w:val="left"/>
      <w:pPr>
        <w:tabs>
          <w:tab w:val="num" w:pos="4992"/>
        </w:tabs>
        <w:ind w:left="5088" w:hanging="40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EE38B4">
      <w:start w:val="1"/>
      <w:numFmt w:val="bullet"/>
      <w:lvlText w:val="o"/>
      <w:lvlJc w:val="left"/>
      <w:pPr>
        <w:tabs>
          <w:tab w:val="num" w:pos="5616"/>
        </w:tabs>
        <w:ind w:left="571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30B730">
      <w:start w:val="1"/>
      <w:numFmt w:val="bullet"/>
      <w:suff w:val="nothing"/>
      <w:lvlText w:val="▪"/>
      <w:lvlJc w:val="left"/>
      <w:pPr>
        <w:ind w:left="6336" w:hanging="2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A29259A"/>
    <w:multiLevelType w:val="hybridMultilevel"/>
    <w:tmpl w:val="5E52CFB8"/>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CE5CC8"/>
    <w:multiLevelType w:val="multilevel"/>
    <w:tmpl w:val="107840E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sz w:val="30"/>
        <w:szCs w:val="30"/>
        <w:lang w:val="en-U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2AD15714"/>
    <w:multiLevelType w:val="hybridMultilevel"/>
    <w:tmpl w:val="B4942B52"/>
    <w:lvl w:ilvl="0" w:tplc="3AE49CB6">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2B754FF8"/>
    <w:multiLevelType w:val="hybridMultilevel"/>
    <w:tmpl w:val="DAC0820C"/>
    <w:lvl w:ilvl="0" w:tplc="9A46E4E4">
      <w:start w:val="1"/>
      <w:numFmt w:val="bullet"/>
      <w:pStyle w:val="USAID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C5E5150"/>
    <w:multiLevelType w:val="hybridMultilevel"/>
    <w:tmpl w:val="0B9CB3F8"/>
    <w:lvl w:ilvl="0" w:tplc="9F5632E0">
      <w:start w:val="1"/>
      <w:numFmt w:val="lowerRoman"/>
      <w:lvlText w:val="(%1)"/>
      <w:lvlJc w:val="right"/>
      <w:pPr>
        <w:tabs>
          <w:tab w:val="num" w:pos="1440"/>
        </w:tabs>
        <w:ind w:left="1440" w:hanging="360"/>
      </w:pPr>
      <w:rPr>
        <w:rFonts w:hint="default"/>
        <w:sz w:val="20"/>
        <w:szCs w:val="2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2D9E451C"/>
    <w:multiLevelType w:val="hybridMultilevel"/>
    <w:tmpl w:val="24DA1B02"/>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DA26D74"/>
    <w:multiLevelType w:val="multilevel"/>
    <w:tmpl w:val="DF9E728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784D26"/>
    <w:multiLevelType w:val="hybridMultilevel"/>
    <w:tmpl w:val="D272DE68"/>
    <w:styleLink w:val="Importovanstyl5"/>
    <w:lvl w:ilvl="0" w:tplc="B9B8812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C4052E">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840DB0">
      <w:start w:val="1"/>
      <w:numFmt w:val="lowerLetter"/>
      <w:lvlText w:val="(%3)"/>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D40880">
      <w:start w:val="1"/>
      <w:numFmt w:val="lowerLetter"/>
      <w:lvlText w:val="(%4)"/>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EC687A">
      <w:start w:val="1"/>
      <w:numFmt w:val="lowerLetter"/>
      <w:lvlText w:val="(%5)"/>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DCD0CE">
      <w:start w:val="1"/>
      <w:numFmt w:val="lowerLetter"/>
      <w:lvlText w:val="(%6)"/>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80D972">
      <w:start w:val="1"/>
      <w:numFmt w:val="lowerLetter"/>
      <w:lvlText w:val="(%7)"/>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0027DE">
      <w:start w:val="1"/>
      <w:numFmt w:val="lowerLetter"/>
      <w:lvlText w:val="(%8)"/>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5687B0">
      <w:start w:val="1"/>
      <w:numFmt w:val="lowerLetter"/>
      <w:lvlText w:val="(%9)"/>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2FAF08EB"/>
    <w:multiLevelType w:val="multilevel"/>
    <w:tmpl w:val="101EB49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1BB13F9"/>
    <w:multiLevelType w:val="multilevel"/>
    <w:tmpl w:val="066EF0C4"/>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31D20600"/>
    <w:multiLevelType w:val="multilevel"/>
    <w:tmpl w:val="931618F8"/>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2D77C3"/>
    <w:multiLevelType w:val="hybridMultilevel"/>
    <w:tmpl w:val="08D88F1C"/>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342526C0"/>
    <w:multiLevelType w:val="multilevel"/>
    <w:tmpl w:val="A58A2E2E"/>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8514DC"/>
    <w:multiLevelType w:val="hybridMultilevel"/>
    <w:tmpl w:val="6AB40570"/>
    <w:lvl w:ilvl="0" w:tplc="12709F54">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4945A16"/>
    <w:multiLevelType w:val="hybridMultilevel"/>
    <w:tmpl w:val="A0EE5B70"/>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4DE7855"/>
    <w:multiLevelType w:val="multilevel"/>
    <w:tmpl w:val="4452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DA3B77"/>
    <w:multiLevelType w:val="hybridMultilevel"/>
    <w:tmpl w:val="E0D04BB0"/>
    <w:lvl w:ilvl="0" w:tplc="99A612AE">
      <w:start w:val="1"/>
      <w:numFmt w:val="lowerLetter"/>
      <w:lvlText w:val="(%1)"/>
      <w:lvlJc w:val="left"/>
      <w:pPr>
        <w:ind w:left="720" w:hanging="360"/>
      </w:pPr>
      <w:rPr>
        <w:rFonts w:hint="default"/>
        <w:b w:val="0"/>
        <w:bCs w:val="0"/>
      </w:rPr>
    </w:lvl>
    <w:lvl w:ilvl="1" w:tplc="3328056E">
      <w:start w:val="1"/>
      <w:numFmt w:val="lowerRoman"/>
      <w:lvlText w:val="(%2)"/>
      <w:lvlJc w:val="righ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6A4644F"/>
    <w:multiLevelType w:val="hybridMultilevel"/>
    <w:tmpl w:val="F5FC893E"/>
    <w:styleLink w:val="Importovanstyl14"/>
    <w:lvl w:ilvl="0" w:tplc="85FC7E5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046A2">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F64EE0">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DA8D32">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7439B8">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EC09AC">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70EF60">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B8232A">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0C52E6">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7CC3B68"/>
    <w:multiLevelType w:val="multilevel"/>
    <w:tmpl w:val="8092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FA4385"/>
    <w:multiLevelType w:val="multilevel"/>
    <w:tmpl w:val="E8C6BC5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9D143F1"/>
    <w:multiLevelType w:val="multilevel"/>
    <w:tmpl w:val="A44099BA"/>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A5466B6"/>
    <w:multiLevelType w:val="hybridMultilevel"/>
    <w:tmpl w:val="46A0F386"/>
    <w:styleLink w:val="Importovanstyl12"/>
    <w:lvl w:ilvl="0" w:tplc="E8A82728">
      <w:start w:val="1"/>
      <w:numFmt w:val="bullet"/>
      <w:lvlText w:val="●"/>
      <w:lvlJc w:val="left"/>
      <w:pPr>
        <w:tabs>
          <w:tab w:val="left" w:pos="1247"/>
        </w:tabs>
        <w:ind w:left="68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366134">
      <w:start w:val="1"/>
      <w:numFmt w:val="bullet"/>
      <w:lvlText w:val="○"/>
      <w:lvlJc w:val="left"/>
      <w:pPr>
        <w:tabs>
          <w:tab w:val="left" w:pos="1247"/>
        </w:tabs>
        <w:ind w:left="1232" w:hanging="152"/>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62E9CC">
      <w:start w:val="1"/>
      <w:numFmt w:val="bullet"/>
      <w:lvlText w:val="■"/>
      <w:lvlJc w:val="left"/>
      <w:pPr>
        <w:tabs>
          <w:tab w:val="left" w:pos="1247"/>
        </w:tabs>
        <w:ind w:left="212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885006">
      <w:start w:val="1"/>
      <w:numFmt w:val="bullet"/>
      <w:lvlText w:val="●"/>
      <w:lvlJc w:val="left"/>
      <w:pPr>
        <w:tabs>
          <w:tab w:val="left" w:pos="1247"/>
        </w:tabs>
        <w:ind w:left="284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22A70">
      <w:start w:val="1"/>
      <w:numFmt w:val="bullet"/>
      <w:lvlText w:val="○"/>
      <w:lvlJc w:val="left"/>
      <w:pPr>
        <w:tabs>
          <w:tab w:val="left" w:pos="1247"/>
        </w:tabs>
        <w:ind w:left="356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D2D4BA">
      <w:start w:val="1"/>
      <w:numFmt w:val="bullet"/>
      <w:lvlText w:val="■"/>
      <w:lvlJc w:val="left"/>
      <w:pPr>
        <w:tabs>
          <w:tab w:val="left" w:pos="1247"/>
        </w:tabs>
        <w:ind w:left="428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DCD940">
      <w:start w:val="1"/>
      <w:numFmt w:val="bullet"/>
      <w:lvlText w:val="●"/>
      <w:lvlJc w:val="left"/>
      <w:pPr>
        <w:tabs>
          <w:tab w:val="left" w:pos="1247"/>
        </w:tabs>
        <w:ind w:left="500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F68254">
      <w:start w:val="1"/>
      <w:numFmt w:val="bullet"/>
      <w:lvlText w:val="○"/>
      <w:lvlJc w:val="left"/>
      <w:pPr>
        <w:tabs>
          <w:tab w:val="left" w:pos="1247"/>
        </w:tabs>
        <w:ind w:left="572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5A5876">
      <w:start w:val="1"/>
      <w:numFmt w:val="bullet"/>
      <w:lvlText w:val="■"/>
      <w:lvlJc w:val="left"/>
      <w:pPr>
        <w:tabs>
          <w:tab w:val="left" w:pos="1247"/>
        </w:tabs>
        <w:ind w:left="644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3D3677F1"/>
    <w:multiLevelType w:val="multilevel"/>
    <w:tmpl w:val="E7CE6564"/>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E5639B0"/>
    <w:multiLevelType w:val="hybridMultilevel"/>
    <w:tmpl w:val="9744B408"/>
    <w:styleLink w:val="Importovanstyl11"/>
    <w:lvl w:ilvl="0" w:tplc="43DE0480">
      <w:start w:val="1"/>
      <w:numFmt w:val="bullet"/>
      <w:lvlText w:val="●"/>
      <w:lvlJc w:val="left"/>
      <w:pPr>
        <w:tabs>
          <w:tab w:val="left" w:pos="1247"/>
        </w:tabs>
        <w:ind w:left="687" w:hanging="32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E0FC2E">
      <w:start w:val="1"/>
      <w:numFmt w:val="bullet"/>
      <w:lvlText w:val="○"/>
      <w:lvlJc w:val="left"/>
      <w:pPr>
        <w:tabs>
          <w:tab w:val="num" w:pos="1232"/>
          <w:tab w:val="left" w:pos="1247"/>
        </w:tabs>
        <w:ind w:left="1425" w:hanging="345"/>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B63D44">
      <w:start w:val="1"/>
      <w:numFmt w:val="bullet"/>
      <w:lvlText w:val="■"/>
      <w:lvlJc w:val="left"/>
      <w:pPr>
        <w:tabs>
          <w:tab w:val="left" w:pos="1247"/>
          <w:tab w:val="num" w:pos="2127"/>
        </w:tabs>
        <w:ind w:left="2320" w:hanging="52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F0494E">
      <w:start w:val="1"/>
      <w:numFmt w:val="bullet"/>
      <w:lvlText w:val="●"/>
      <w:lvlJc w:val="left"/>
      <w:pPr>
        <w:tabs>
          <w:tab w:val="left" w:pos="1247"/>
          <w:tab w:val="num" w:pos="2847"/>
        </w:tabs>
        <w:ind w:left="3040" w:hanging="52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102BC8">
      <w:start w:val="1"/>
      <w:numFmt w:val="bullet"/>
      <w:lvlText w:val="○"/>
      <w:lvlJc w:val="left"/>
      <w:pPr>
        <w:tabs>
          <w:tab w:val="left" w:pos="1247"/>
          <w:tab w:val="num" w:pos="3567"/>
        </w:tabs>
        <w:ind w:left="3760" w:hanging="52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9A0CC0">
      <w:start w:val="1"/>
      <w:numFmt w:val="bullet"/>
      <w:lvlText w:val="■"/>
      <w:lvlJc w:val="left"/>
      <w:pPr>
        <w:tabs>
          <w:tab w:val="left" w:pos="1247"/>
          <w:tab w:val="num" w:pos="4287"/>
        </w:tabs>
        <w:ind w:left="4480" w:hanging="52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DE2964">
      <w:start w:val="1"/>
      <w:numFmt w:val="bullet"/>
      <w:lvlText w:val="●"/>
      <w:lvlJc w:val="left"/>
      <w:pPr>
        <w:tabs>
          <w:tab w:val="left" w:pos="1247"/>
          <w:tab w:val="num" w:pos="5007"/>
        </w:tabs>
        <w:ind w:left="5200" w:hanging="52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606BE6">
      <w:start w:val="1"/>
      <w:numFmt w:val="bullet"/>
      <w:lvlText w:val="○"/>
      <w:lvlJc w:val="left"/>
      <w:pPr>
        <w:tabs>
          <w:tab w:val="left" w:pos="1247"/>
          <w:tab w:val="num" w:pos="5727"/>
        </w:tabs>
        <w:ind w:left="5920" w:hanging="52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0E179A">
      <w:start w:val="1"/>
      <w:numFmt w:val="bullet"/>
      <w:lvlText w:val="■"/>
      <w:lvlJc w:val="left"/>
      <w:pPr>
        <w:tabs>
          <w:tab w:val="left" w:pos="1247"/>
          <w:tab w:val="num" w:pos="6447"/>
        </w:tabs>
        <w:ind w:left="6640" w:hanging="52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E9C2A87"/>
    <w:multiLevelType w:val="hybridMultilevel"/>
    <w:tmpl w:val="AF1E8BE6"/>
    <w:lvl w:ilvl="0" w:tplc="6D98EEAA">
      <w:start w:val="1"/>
      <w:numFmt w:val="lowerRoman"/>
      <w:lvlText w:val="(%1)"/>
      <w:lvlJc w:val="right"/>
      <w:pPr>
        <w:ind w:left="1440" w:hanging="360"/>
      </w:pPr>
      <w:rPr>
        <w:rFonts w:hint="default"/>
        <w:i w:val="0"/>
        <w:i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2" w15:restartNumberingAfterBreak="0">
    <w:nsid w:val="40135155"/>
    <w:multiLevelType w:val="hybridMultilevel"/>
    <w:tmpl w:val="F6FA7628"/>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41104FBE"/>
    <w:multiLevelType w:val="hybridMultilevel"/>
    <w:tmpl w:val="8EDCFA1E"/>
    <w:lvl w:ilvl="0" w:tplc="EFB22C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A627AC"/>
    <w:multiLevelType w:val="multilevel"/>
    <w:tmpl w:val="7ABCDA60"/>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2E341C0"/>
    <w:multiLevelType w:val="multilevel"/>
    <w:tmpl w:val="6F8A8EF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34B5481"/>
    <w:multiLevelType w:val="hybridMultilevel"/>
    <w:tmpl w:val="94B8EF10"/>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448C68D4"/>
    <w:multiLevelType w:val="hybridMultilevel"/>
    <w:tmpl w:val="8FA88A5E"/>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B15347"/>
    <w:multiLevelType w:val="hybridMultilevel"/>
    <w:tmpl w:val="0EBA43DA"/>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653A97"/>
    <w:multiLevelType w:val="hybridMultilevel"/>
    <w:tmpl w:val="D696D742"/>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210857"/>
    <w:multiLevelType w:val="multilevel"/>
    <w:tmpl w:val="5B9CE508"/>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B6D6B08"/>
    <w:multiLevelType w:val="hybridMultilevel"/>
    <w:tmpl w:val="7DB85D52"/>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BB34589"/>
    <w:multiLevelType w:val="multilevel"/>
    <w:tmpl w:val="A032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C2152E0"/>
    <w:multiLevelType w:val="multilevel"/>
    <w:tmpl w:val="6D1E990C"/>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C9D607F"/>
    <w:multiLevelType w:val="multilevel"/>
    <w:tmpl w:val="A2006DBA"/>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D2F4CC3"/>
    <w:multiLevelType w:val="hybridMultilevel"/>
    <w:tmpl w:val="2A42B314"/>
    <w:lvl w:ilvl="0" w:tplc="04090019">
      <w:start w:val="1"/>
      <w:numFmt w:val="lowerLetter"/>
      <w:lvlText w:val="%1."/>
      <w:lvlJc w:val="left"/>
      <w:pPr>
        <w:ind w:left="1699" w:hanging="360"/>
      </w:p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86" w15:restartNumberingAfterBreak="0">
    <w:nsid w:val="4D7C45B2"/>
    <w:multiLevelType w:val="multilevel"/>
    <w:tmpl w:val="F0907AD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EEB4AA1"/>
    <w:multiLevelType w:val="hybridMultilevel"/>
    <w:tmpl w:val="B54A4CC2"/>
    <w:lvl w:ilvl="0" w:tplc="3AE49CB6">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8" w15:restartNumberingAfterBreak="0">
    <w:nsid w:val="4F105401"/>
    <w:multiLevelType w:val="multilevel"/>
    <w:tmpl w:val="C10E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F8F6B98"/>
    <w:multiLevelType w:val="multilevel"/>
    <w:tmpl w:val="F7BC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FA9461E"/>
    <w:multiLevelType w:val="hybridMultilevel"/>
    <w:tmpl w:val="9430A058"/>
    <w:lvl w:ilvl="0" w:tplc="FFFFFFFF">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FD324C9"/>
    <w:multiLevelType w:val="hybridMultilevel"/>
    <w:tmpl w:val="44A4DCA0"/>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514C15D1"/>
    <w:multiLevelType w:val="multilevel"/>
    <w:tmpl w:val="C326396E"/>
    <w:styleLink w:val="Importovanstyl1"/>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5227583F"/>
    <w:multiLevelType w:val="hybridMultilevel"/>
    <w:tmpl w:val="66BE222C"/>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26C42BC"/>
    <w:multiLevelType w:val="multilevel"/>
    <w:tmpl w:val="A350CD3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29329C1"/>
    <w:multiLevelType w:val="hybridMultilevel"/>
    <w:tmpl w:val="8110DD2E"/>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97" w15:restartNumberingAfterBreak="0">
    <w:nsid w:val="54057A7E"/>
    <w:multiLevelType w:val="hybridMultilevel"/>
    <w:tmpl w:val="2A206002"/>
    <w:lvl w:ilvl="0" w:tplc="FFFFFFFF">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49CB6">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5031CBB"/>
    <w:multiLevelType w:val="multilevel"/>
    <w:tmpl w:val="E75E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5892C90"/>
    <w:multiLevelType w:val="multilevel"/>
    <w:tmpl w:val="A844BB16"/>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0" w15:restartNumberingAfterBreak="0">
    <w:nsid w:val="562F0271"/>
    <w:multiLevelType w:val="multilevel"/>
    <w:tmpl w:val="96B2B58E"/>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911209"/>
    <w:multiLevelType w:val="multilevel"/>
    <w:tmpl w:val="272AC97E"/>
    <w:lvl w:ilvl="0">
      <w:start w:val="1"/>
      <w:numFmt w:val="lowerLetter"/>
      <w:lvlText w:val="(%1)"/>
      <w:lvlJc w:val="left"/>
      <w:pPr>
        <w:tabs>
          <w:tab w:val="num" w:pos="720"/>
        </w:tabs>
        <w:ind w:left="720" w:hanging="360"/>
      </w:pPr>
      <w:rPr>
        <w:rFonts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9B9475E"/>
    <w:multiLevelType w:val="multilevel"/>
    <w:tmpl w:val="2DB4BB84"/>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3" w15:restartNumberingAfterBreak="0">
    <w:nsid w:val="59F96195"/>
    <w:multiLevelType w:val="hybridMultilevel"/>
    <w:tmpl w:val="D61438FA"/>
    <w:styleLink w:val="Importovanstyl6"/>
    <w:lvl w:ilvl="0" w:tplc="31700E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9A7A7E">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CAFF80">
      <w:start w:val="1"/>
      <w:numFmt w:val="lowerLetter"/>
      <w:lvlText w:val="(%3)"/>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44EB0A">
      <w:start w:val="1"/>
      <w:numFmt w:val="lowerLetter"/>
      <w:lvlText w:val="(%4)"/>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F06DCE">
      <w:start w:val="1"/>
      <w:numFmt w:val="lowerLetter"/>
      <w:lvlText w:val="(%5)"/>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02C86E">
      <w:start w:val="1"/>
      <w:numFmt w:val="lowerLetter"/>
      <w:lvlText w:val="(%6)"/>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8A9BEA">
      <w:start w:val="1"/>
      <w:numFmt w:val="lowerLetter"/>
      <w:lvlText w:val="(%7)"/>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30B21C">
      <w:start w:val="1"/>
      <w:numFmt w:val="lowerLetter"/>
      <w:lvlText w:val="(%8)"/>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C0C046">
      <w:start w:val="1"/>
      <w:numFmt w:val="lowerLetter"/>
      <w:lvlText w:val="(%9)"/>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5CFC7747"/>
    <w:multiLevelType w:val="hybridMultilevel"/>
    <w:tmpl w:val="2F565EC2"/>
    <w:lvl w:ilvl="0" w:tplc="3AE49CB6">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15:restartNumberingAfterBreak="0">
    <w:nsid w:val="5D01415D"/>
    <w:multiLevelType w:val="hybridMultilevel"/>
    <w:tmpl w:val="129E7DA6"/>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D7772CE"/>
    <w:multiLevelType w:val="hybridMultilevel"/>
    <w:tmpl w:val="699AD6FA"/>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D815E18"/>
    <w:multiLevelType w:val="multilevel"/>
    <w:tmpl w:val="29EA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DCE7E81"/>
    <w:multiLevelType w:val="hybridMultilevel"/>
    <w:tmpl w:val="F8BC0E44"/>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F255C2E"/>
    <w:multiLevelType w:val="multilevel"/>
    <w:tmpl w:val="A978FD6E"/>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0B306FD"/>
    <w:multiLevelType w:val="multilevel"/>
    <w:tmpl w:val="E1E26028"/>
    <w:lvl w:ilvl="0">
      <w:start w:val="1"/>
      <w:numFmt w:val="lowerLetter"/>
      <w:lvlText w:val="(%1)"/>
      <w:lvlJc w:val="left"/>
      <w:pPr>
        <w:tabs>
          <w:tab w:val="num" w:pos="720"/>
        </w:tabs>
        <w:ind w:left="720" w:hanging="360"/>
      </w:pPr>
      <w:rPr>
        <w:rFonts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14C733B"/>
    <w:multiLevelType w:val="multilevel"/>
    <w:tmpl w:val="11C04CE4"/>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17D4465"/>
    <w:multiLevelType w:val="multilevel"/>
    <w:tmpl w:val="C61EE79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200763F"/>
    <w:multiLevelType w:val="multilevel"/>
    <w:tmpl w:val="FB323CE6"/>
    <w:lvl w:ilvl="0">
      <w:start w:val="1"/>
      <w:numFmt w:val="lowerRoman"/>
      <w:lvlText w:val="(%1)"/>
      <w:lvlJc w:val="right"/>
      <w:pPr>
        <w:tabs>
          <w:tab w:val="num" w:pos="1440"/>
        </w:tabs>
        <w:ind w:left="1440" w:hanging="360"/>
      </w:pPr>
      <w:rPr>
        <w:rFonts w:hint="default"/>
        <w:sz w:val="20"/>
      </w:rPr>
    </w:lvl>
    <w:lvl w:ilvl="1">
      <w:start w:val="1"/>
      <w:numFmt w:val="lowerLetter"/>
      <w:lvlText w:val="%2."/>
      <w:lvlJc w:val="left"/>
      <w:pPr>
        <w:ind w:left="2160" w:hanging="360"/>
      </w:p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4" w15:restartNumberingAfterBreak="0">
    <w:nsid w:val="62DA7DFB"/>
    <w:multiLevelType w:val="multilevel"/>
    <w:tmpl w:val="BBE6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4486ABC"/>
    <w:multiLevelType w:val="hybridMultilevel"/>
    <w:tmpl w:val="01903B28"/>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506598D"/>
    <w:multiLevelType w:val="hybridMultilevel"/>
    <w:tmpl w:val="8C6A405C"/>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275F7E"/>
    <w:multiLevelType w:val="hybridMultilevel"/>
    <w:tmpl w:val="49247CBE"/>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5780C21"/>
    <w:multiLevelType w:val="hybridMultilevel"/>
    <w:tmpl w:val="21CE3BB4"/>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5DC67B3"/>
    <w:multiLevelType w:val="multilevel"/>
    <w:tmpl w:val="A182A2F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6936C0C"/>
    <w:multiLevelType w:val="multilevel"/>
    <w:tmpl w:val="BB60C1A6"/>
    <w:lvl w:ilvl="0">
      <w:start w:val="1"/>
      <w:numFmt w:val="lowerLetter"/>
      <w:lvlText w:val="(%1)"/>
      <w:lvlJc w:val="left"/>
      <w:pPr>
        <w:tabs>
          <w:tab w:val="num" w:pos="720"/>
        </w:tabs>
        <w:ind w:left="720" w:hanging="360"/>
      </w:pPr>
      <w:rPr>
        <w:rFonts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6B20230"/>
    <w:multiLevelType w:val="hybridMultilevel"/>
    <w:tmpl w:val="1BDAF8E6"/>
    <w:styleLink w:val="Importovanstyl3"/>
    <w:lvl w:ilvl="0" w:tplc="5A10793C">
      <w:start w:val="1"/>
      <w:numFmt w:val="bullet"/>
      <w:lvlText w:val="●"/>
      <w:lvlJc w:val="left"/>
      <w:pPr>
        <w:ind w:left="682" w:hanging="325"/>
      </w:pPr>
      <w:rPr>
        <w:rFonts w:ascii="Helvetica" w:eastAsia="Helvetica" w:hAnsi="Helvetica" w:cs="Helvetic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505BE2">
      <w:start w:val="1"/>
      <w:numFmt w:val="bullet"/>
      <w:lvlText w:val="o"/>
      <w:lvlJc w:val="left"/>
      <w:pPr>
        <w:ind w:left="1402" w:hanging="325"/>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E0E826">
      <w:start w:val="1"/>
      <w:numFmt w:val="bullet"/>
      <w:lvlText w:val="▪"/>
      <w:lvlJc w:val="left"/>
      <w:pPr>
        <w:ind w:left="2122" w:hanging="3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D464D6">
      <w:start w:val="1"/>
      <w:numFmt w:val="bullet"/>
      <w:lvlText w:val="●"/>
      <w:lvlJc w:val="left"/>
      <w:pPr>
        <w:ind w:left="2842" w:hanging="325"/>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5E9948">
      <w:start w:val="1"/>
      <w:numFmt w:val="bullet"/>
      <w:lvlText w:val="o"/>
      <w:lvlJc w:val="left"/>
      <w:pPr>
        <w:ind w:left="3562" w:hanging="325"/>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643BC">
      <w:start w:val="1"/>
      <w:numFmt w:val="bullet"/>
      <w:lvlText w:val="▪"/>
      <w:lvlJc w:val="left"/>
      <w:pPr>
        <w:ind w:left="4282" w:hanging="3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A677E6">
      <w:start w:val="1"/>
      <w:numFmt w:val="bullet"/>
      <w:lvlText w:val="●"/>
      <w:lvlJc w:val="left"/>
      <w:pPr>
        <w:ind w:left="5002" w:hanging="325"/>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3C49AA">
      <w:start w:val="1"/>
      <w:numFmt w:val="bullet"/>
      <w:lvlText w:val="o"/>
      <w:lvlJc w:val="left"/>
      <w:pPr>
        <w:ind w:left="5722" w:hanging="325"/>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DABE5C">
      <w:start w:val="1"/>
      <w:numFmt w:val="bullet"/>
      <w:lvlText w:val="▪"/>
      <w:lvlJc w:val="left"/>
      <w:pPr>
        <w:ind w:left="6442" w:hanging="3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66F1026C"/>
    <w:multiLevelType w:val="hybridMultilevel"/>
    <w:tmpl w:val="A44805AE"/>
    <w:lvl w:ilvl="0" w:tplc="43FC7ADE">
      <w:start w:val="1"/>
      <w:numFmt w:val="lowerRoman"/>
      <w:lvlText w:val="(%1)"/>
      <w:lvlJc w:val="right"/>
      <w:pPr>
        <w:ind w:left="1339" w:hanging="360"/>
      </w:pPr>
      <w:rPr>
        <w:rFonts w:hint="default"/>
        <w:b w:val="0"/>
        <w:bCs/>
      </w:r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123" w15:restartNumberingAfterBreak="0">
    <w:nsid w:val="67C94D8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4" w15:restartNumberingAfterBreak="0">
    <w:nsid w:val="691046D0"/>
    <w:multiLevelType w:val="hybridMultilevel"/>
    <w:tmpl w:val="2EACD1BE"/>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692F7B93"/>
    <w:multiLevelType w:val="hybridMultilevel"/>
    <w:tmpl w:val="18803EF0"/>
    <w:lvl w:ilvl="0" w:tplc="3AE49CB6">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6A923070"/>
    <w:multiLevelType w:val="multilevel"/>
    <w:tmpl w:val="4E9E7E84"/>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7" w15:restartNumberingAfterBreak="0">
    <w:nsid w:val="6BA30A87"/>
    <w:multiLevelType w:val="multilevel"/>
    <w:tmpl w:val="BEE8459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037ABC"/>
    <w:multiLevelType w:val="hybridMultilevel"/>
    <w:tmpl w:val="6D329956"/>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C0C5D13"/>
    <w:multiLevelType w:val="multilevel"/>
    <w:tmpl w:val="646CF814"/>
    <w:lvl w:ilvl="0">
      <w:start w:val="1"/>
      <w:numFmt w:val="lowerLetter"/>
      <w:lvlText w:val="(%1)"/>
      <w:lvlJc w:val="left"/>
      <w:pPr>
        <w:tabs>
          <w:tab w:val="num" w:pos="720"/>
        </w:tabs>
        <w:ind w:left="720" w:hanging="360"/>
      </w:pPr>
      <w:rPr>
        <w:rFonts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D202C24"/>
    <w:multiLevelType w:val="hybridMultilevel"/>
    <w:tmpl w:val="1910CD54"/>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EBA2556"/>
    <w:multiLevelType w:val="hybridMultilevel"/>
    <w:tmpl w:val="12767D16"/>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FA147E5"/>
    <w:multiLevelType w:val="multilevel"/>
    <w:tmpl w:val="1E921E88"/>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0802DEC"/>
    <w:multiLevelType w:val="hybridMultilevel"/>
    <w:tmpl w:val="F8A6B136"/>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719073AF"/>
    <w:multiLevelType w:val="hybridMultilevel"/>
    <w:tmpl w:val="A4DC24A4"/>
    <w:lvl w:ilvl="0" w:tplc="FFFFFFFF">
      <w:start w:val="1"/>
      <w:numFmt w:val="lowerLetter"/>
      <w:lvlText w:val="(%1)"/>
      <w:lvlJc w:val="left"/>
      <w:pPr>
        <w:ind w:left="720" w:hanging="360"/>
      </w:pPr>
      <w:rPr>
        <w:rFonts w:hint="default"/>
      </w:rPr>
    </w:lvl>
    <w:lvl w:ilvl="1" w:tplc="3AE49CB6">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194152D"/>
    <w:multiLevelType w:val="hybridMultilevel"/>
    <w:tmpl w:val="B3F0A9AC"/>
    <w:lvl w:ilvl="0" w:tplc="B8ECC76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0D5CA4"/>
    <w:multiLevelType w:val="hybridMultilevel"/>
    <w:tmpl w:val="A32A2D18"/>
    <w:lvl w:ilvl="0" w:tplc="19A892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405685"/>
    <w:multiLevelType w:val="multilevel"/>
    <w:tmpl w:val="BC049A9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5F03E71"/>
    <w:multiLevelType w:val="multilevel"/>
    <w:tmpl w:val="C5D2C40C"/>
    <w:styleLink w:val="Importovanstyl2"/>
    <w:lvl w:ilvl="0">
      <w:start w:val="1"/>
      <w:numFmt w:val="decimal"/>
      <w:lvlText w:val="%1."/>
      <w:lvlJc w:val="left"/>
      <w:pPr>
        <w:tabs>
          <w:tab w:val="left" w:pos="1247"/>
          <w:tab w:val="left" w:pos="1814"/>
        </w:tabs>
        <w:ind w:left="28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384" w:hanging="3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480" w:hanging="48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576" w:hanging="576"/>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672" w:hanging="67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768" w:hanging="768"/>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864" w:hanging="864"/>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960" w:hanging="9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056" w:hanging="1056"/>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763D4BA7"/>
    <w:multiLevelType w:val="multilevel"/>
    <w:tmpl w:val="F0441CAC"/>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6823027"/>
    <w:multiLevelType w:val="multilevel"/>
    <w:tmpl w:val="7D0CBE1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6CD5C44"/>
    <w:multiLevelType w:val="multilevel"/>
    <w:tmpl w:val="BBC878A0"/>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77D390F"/>
    <w:multiLevelType w:val="hybridMultilevel"/>
    <w:tmpl w:val="97844286"/>
    <w:lvl w:ilvl="0" w:tplc="3AE49CB6">
      <w:start w:val="1"/>
      <w:numFmt w:val="lowerRoman"/>
      <w:lvlText w:val="(%1)"/>
      <w:lvlJc w:val="right"/>
      <w:pPr>
        <w:ind w:left="1598" w:hanging="360"/>
      </w:pPr>
      <w:rPr>
        <w:rFonts w:hint="default"/>
      </w:rPr>
    </w:lvl>
    <w:lvl w:ilvl="1" w:tplc="FFFFFFFF" w:tentative="1">
      <w:start w:val="1"/>
      <w:numFmt w:val="bullet"/>
      <w:lvlText w:val="o"/>
      <w:lvlJc w:val="left"/>
      <w:pPr>
        <w:ind w:left="2318" w:hanging="360"/>
      </w:pPr>
      <w:rPr>
        <w:rFonts w:ascii="Courier New" w:hAnsi="Courier New" w:cs="Courier New" w:hint="default"/>
      </w:rPr>
    </w:lvl>
    <w:lvl w:ilvl="2" w:tplc="FFFFFFFF" w:tentative="1">
      <w:start w:val="1"/>
      <w:numFmt w:val="bullet"/>
      <w:lvlText w:val=""/>
      <w:lvlJc w:val="left"/>
      <w:pPr>
        <w:ind w:left="3038" w:hanging="360"/>
      </w:pPr>
      <w:rPr>
        <w:rFonts w:ascii="Wingdings" w:hAnsi="Wingdings" w:hint="default"/>
      </w:rPr>
    </w:lvl>
    <w:lvl w:ilvl="3" w:tplc="FFFFFFFF" w:tentative="1">
      <w:start w:val="1"/>
      <w:numFmt w:val="bullet"/>
      <w:lvlText w:val=""/>
      <w:lvlJc w:val="left"/>
      <w:pPr>
        <w:ind w:left="3758" w:hanging="360"/>
      </w:pPr>
      <w:rPr>
        <w:rFonts w:ascii="Symbol" w:hAnsi="Symbol" w:hint="default"/>
      </w:rPr>
    </w:lvl>
    <w:lvl w:ilvl="4" w:tplc="FFFFFFFF" w:tentative="1">
      <w:start w:val="1"/>
      <w:numFmt w:val="bullet"/>
      <w:lvlText w:val="o"/>
      <w:lvlJc w:val="left"/>
      <w:pPr>
        <w:ind w:left="4478" w:hanging="360"/>
      </w:pPr>
      <w:rPr>
        <w:rFonts w:ascii="Courier New" w:hAnsi="Courier New" w:cs="Courier New" w:hint="default"/>
      </w:rPr>
    </w:lvl>
    <w:lvl w:ilvl="5" w:tplc="FFFFFFFF" w:tentative="1">
      <w:start w:val="1"/>
      <w:numFmt w:val="bullet"/>
      <w:lvlText w:val=""/>
      <w:lvlJc w:val="left"/>
      <w:pPr>
        <w:ind w:left="5198" w:hanging="360"/>
      </w:pPr>
      <w:rPr>
        <w:rFonts w:ascii="Wingdings" w:hAnsi="Wingdings" w:hint="default"/>
      </w:rPr>
    </w:lvl>
    <w:lvl w:ilvl="6" w:tplc="FFFFFFFF" w:tentative="1">
      <w:start w:val="1"/>
      <w:numFmt w:val="bullet"/>
      <w:lvlText w:val=""/>
      <w:lvlJc w:val="left"/>
      <w:pPr>
        <w:ind w:left="5918" w:hanging="360"/>
      </w:pPr>
      <w:rPr>
        <w:rFonts w:ascii="Symbol" w:hAnsi="Symbol" w:hint="default"/>
      </w:rPr>
    </w:lvl>
    <w:lvl w:ilvl="7" w:tplc="FFFFFFFF" w:tentative="1">
      <w:start w:val="1"/>
      <w:numFmt w:val="bullet"/>
      <w:lvlText w:val="o"/>
      <w:lvlJc w:val="left"/>
      <w:pPr>
        <w:ind w:left="6638" w:hanging="360"/>
      </w:pPr>
      <w:rPr>
        <w:rFonts w:ascii="Courier New" w:hAnsi="Courier New" w:cs="Courier New" w:hint="default"/>
      </w:rPr>
    </w:lvl>
    <w:lvl w:ilvl="8" w:tplc="FFFFFFFF" w:tentative="1">
      <w:start w:val="1"/>
      <w:numFmt w:val="bullet"/>
      <w:lvlText w:val=""/>
      <w:lvlJc w:val="left"/>
      <w:pPr>
        <w:ind w:left="7358" w:hanging="360"/>
      </w:pPr>
      <w:rPr>
        <w:rFonts w:ascii="Wingdings" w:hAnsi="Wingdings" w:hint="default"/>
      </w:rPr>
    </w:lvl>
  </w:abstractNum>
  <w:abstractNum w:abstractNumId="143" w15:restartNumberingAfterBreak="0">
    <w:nsid w:val="77D90890"/>
    <w:multiLevelType w:val="hybridMultilevel"/>
    <w:tmpl w:val="36DC135E"/>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83C781A"/>
    <w:multiLevelType w:val="multilevel"/>
    <w:tmpl w:val="8AB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791307"/>
    <w:multiLevelType w:val="multilevel"/>
    <w:tmpl w:val="3DB481CA"/>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6" w15:restartNumberingAfterBreak="0">
    <w:nsid w:val="790513F0"/>
    <w:multiLevelType w:val="multilevel"/>
    <w:tmpl w:val="F080E39E"/>
    <w:lvl w:ilvl="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A630577"/>
    <w:multiLevelType w:val="hybridMultilevel"/>
    <w:tmpl w:val="278A4E62"/>
    <w:lvl w:ilvl="0" w:tplc="FE1AE120">
      <w:start w:val="1"/>
      <w:numFmt w:val="lowerLetter"/>
      <w:lvlText w:val="(%1)"/>
      <w:lvlJc w:val="left"/>
      <w:pPr>
        <w:tabs>
          <w:tab w:val="num" w:pos="720"/>
        </w:tabs>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AE5766A"/>
    <w:multiLevelType w:val="hybridMultilevel"/>
    <w:tmpl w:val="9542761C"/>
    <w:lvl w:ilvl="0" w:tplc="3AE49CB6">
      <w:start w:val="1"/>
      <w:numFmt w:val="lowerRoman"/>
      <w:lvlText w:val="(%1)"/>
      <w:lvlJc w:val="right"/>
      <w:pPr>
        <w:ind w:left="144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9" w15:restartNumberingAfterBreak="0">
    <w:nsid w:val="7E0B4A59"/>
    <w:multiLevelType w:val="hybridMultilevel"/>
    <w:tmpl w:val="E884AC80"/>
    <w:lvl w:ilvl="0" w:tplc="FE1AE120">
      <w:start w:val="1"/>
      <w:numFmt w:val="lowerLetter"/>
      <w:lvlText w:val="(%1)"/>
      <w:lvlJc w:val="left"/>
      <w:pPr>
        <w:ind w:left="720" w:hanging="360"/>
      </w:pPr>
      <w:rPr>
        <w:rFont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5310988">
    <w:abstractNumId w:val="96"/>
  </w:num>
  <w:num w:numId="2" w16cid:durableId="1906649157">
    <w:abstractNumId w:val="35"/>
  </w:num>
  <w:num w:numId="3" w16cid:durableId="1596212413">
    <w:abstractNumId w:val="41"/>
  </w:num>
  <w:num w:numId="4" w16cid:durableId="1390879826">
    <w:abstractNumId w:val="123"/>
  </w:num>
  <w:num w:numId="5" w16cid:durableId="1999645983">
    <w:abstractNumId w:val="39"/>
  </w:num>
  <w:num w:numId="6" w16cid:durableId="1521819802">
    <w:abstractNumId w:val="48"/>
  </w:num>
  <w:num w:numId="7" w16cid:durableId="669064537">
    <w:abstractNumId w:val="0"/>
  </w:num>
  <w:num w:numId="8" w16cid:durableId="508329197">
    <w:abstractNumId w:val="50"/>
  </w:num>
  <w:num w:numId="9" w16cid:durableId="1555506170">
    <w:abstractNumId w:val="138"/>
  </w:num>
  <w:num w:numId="10" w16cid:durableId="1577517621">
    <w:abstractNumId w:val="121"/>
  </w:num>
  <w:num w:numId="11" w16cid:durableId="999193876">
    <w:abstractNumId w:val="70"/>
  </w:num>
  <w:num w:numId="12" w16cid:durableId="1701314871">
    <w:abstractNumId w:val="68"/>
  </w:num>
  <w:num w:numId="13" w16cid:durableId="447628950">
    <w:abstractNumId w:val="34"/>
  </w:num>
  <w:num w:numId="14" w16cid:durableId="19597631">
    <w:abstractNumId w:val="64"/>
  </w:num>
  <w:num w:numId="15" w16cid:durableId="1837066978">
    <w:abstractNumId w:val="92"/>
  </w:num>
  <w:num w:numId="16" w16cid:durableId="835538806">
    <w:abstractNumId w:val="21"/>
  </w:num>
  <w:num w:numId="17" w16cid:durableId="1064371057">
    <w:abstractNumId w:val="46"/>
  </w:num>
  <w:num w:numId="18" w16cid:durableId="1701970200">
    <w:abstractNumId w:val="44"/>
  </w:num>
  <w:num w:numId="19" w16cid:durableId="67390548">
    <w:abstractNumId w:val="133"/>
  </w:num>
  <w:num w:numId="20" w16cid:durableId="274600977">
    <w:abstractNumId w:val="73"/>
  </w:num>
  <w:num w:numId="21" w16cid:durableId="905456294">
    <w:abstractNumId w:val="110"/>
  </w:num>
  <w:num w:numId="22" w16cid:durableId="598489967">
    <w:abstractNumId w:val="136"/>
  </w:num>
  <w:num w:numId="23" w16cid:durableId="660429749">
    <w:abstractNumId w:val="113"/>
  </w:num>
  <w:num w:numId="24" w16cid:durableId="1618636513">
    <w:abstractNumId w:val="33"/>
  </w:num>
  <w:num w:numId="25" w16cid:durableId="1987975575">
    <w:abstractNumId w:val="86"/>
  </w:num>
  <w:num w:numId="26" w16cid:durableId="296573646">
    <w:abstractNumId w:val="119"/>
  </w:num>
  <w:num w:numId="27" w16cid:durableId="1983776898">
    <w:abstractNumId w:val="37"/>
  </w:num>
  <w:num w:numId="28" w16cid:durableId="1440878004">
    <w:abstractNumId w:val="135"/>
  </w:num>
  <w:num w:numId="29" w16cid:durableId="528684797">
    <w:abstractNumId w:val="104"/>
  </w:num>
  <w:num w:numId="30" w16cid:durableId="1761178538">
    <w:abstractNumId w:val="56"/>
  </w:num>
  <w:num w:numId="31" w16cid:durableId="69693214">
    <w:abstractNumId w:val="126"/>
  </w:num>
  <w:num w:numId="32" w16cid:durableId="1400597074">
    <w:abstractNumId w:val="25"/>
  </w:num>
  <w:num w:numId="33" w16cid:durableId="400098337">
    <w:abstractNumId w:val="7"/>
  </w:num>
  <w:num w:numId="34" w16cid:durableId="841043830">
    <w:abstractNumId w:val="145"/>
  </w:num>
  <w:num w:numId="35" w16cid:durableId="1877501300">
    <w:abstractNumId w:val="94"/>
  </w:num>
  <w:num w:numId="36" w16cid:durableId="256133896">
    <w:abstractNumId w:val="60"/>
  </w:num>
  <w:num w:numId="37" w16cid:durableId="1101536746">
    <w:abstractNumId w:val="134"/>
  </w:num>
  <w:num w:numId="38" w16cid:durableId="681012185">
    <w:abstractNumId w:val="80"/>
  </w:num>
  <w:num w:numId="39" w16cid:durableId="1377848607">
    <w:abstractNumId w:val="18"/>
  </w:num>
  <w:num w:numId="40" w16cid:durableId="1786383195">
    <w:abstractNumId w:val="141"/>
  </w:num>
  <w:num w:numId="41" w16cid:durableId="1603144676">
    <w:abstractNumId w:val="120"/>
  </w:num>
  <w:num w:numId="42" w16cid:durableId="352220884">
    <w:abstractNumId w:val="66"/>
  </w:num>
  <w:num w:numId="43" w16cid:durableId="364411626">
    <w:abstractNumId w:val="63"/>
  </w:num>
  <w:num w:numId="44" w16cid:durableId="874850713">
    <w:abstractNumId w:val="132"/>
  </w:num>
  <w:num w:numId="45" w16cid:durableId="14312100">
    <w:abstractNumId w:val="125"/>
  </w:num>
  <w:num w:numId="46" w16cid:durableId="937833541">
    <w:abstractNumId w:val="12"/>
  </w:num>
  <w:num w:numId="47" w16cid:durableId="966200108">
    <w:abstractNumId w:val="87"/>
  </w:num>
  <w:num w:numId="48" w16cid:durableId="1879391211">
    <w:abstractNumId w:val="49"/>
  </w:num>
  <w:num w:numId="49" w16cid:durableId="1778285769">
    <w:abstractNumId w:val="43"/>
  </w:num>
  <w:num w:numId="50" w16cid:durableId="658772213">
    <w:abstractNumId w:val="71"/>
  </w:num>
  <w:num w:numId="51" w16cid:durableId="1315060177">
    <w:abstractNumId w:val="99"/>
  </w:num>
  <w:num w:numId="52" w16cid:durableId="576330240">
    <w:abstractNumId w:val="102"/>
  </w:num>
  <w:num w:numId="53" w16cid:durableId="441535287">
    <w:abstractNumId w:val="74"/>
  </w:num>
  <w:num w:numId="54" w16cid:durableId="1450584801">
    <w:abstractNumId w:val="77"/>
  </w:num>
  <w:num w:numId="55" w16cid:durableId="1674649845">
    <w:abstractNumId w:val="22"/>
  </w:num>
  <w:num w:numId="56" w16cid:durableId="2028868458">
    <w:abstractNumId w:val="111"/>
  </w:num>
  <w:num w:numId="57" w16cid:durableId="1772311059">
    <w:abstractNumId w:val="117"/>
  </w:num>
  <w:num w:numId="58" w16cid:durableId="1288897405">
    <w:abstractNumId w:val="45"/>
  </w:num>
  <w:num w:numId="59" w16cid:durableId="281885065">
    <w:abstractNumId w:val="19"/>
  </w:num>
  <w:num w:numId="60" w16cid:durableId="1593856548">
    <w:abstractNumId w:val="149"/>
  </w:num>
  <w:num w:numId="61" w16cid:durableId="1247154422">
    <w:abstractNumId w:val="116"/>
  </w:num>
  <w:num w:numId="62" w16cid:durableId="1325549720">
    <w:abstractNumId w:val="15"/>
  </w:num>
  <w:num w:numId="63" w16cid:durableId="233786371">
    <w:abstractNumId w:val="79"/>
  </w:num>
  <w:num w:numId="64" w16cid:durableId="1274246804">
    <w:abstractNumId w:val="100"/>
  </w:num>
  <w:num w:numId="65" w16cid:durableId="1939213927">
    <w:abstractNumId w:val="9"/>
  </w:num>
  <w:num w:numId="66" w16cid:durableId="559874333">
    <w:abstractNumId w:val="27"/>
  </w:num>
  <w:num w:numId="67" w16cid:durableId="1087458484">
    <w:abstractNumId w:val="59"/>
  </w:num>
  <w:num w:numId="68" w16cid:durableId="53745135">
    <w:abstractNumId w:val="40"/>
  </w:num>
  <w:num w:numId="69" w16cid:durableId="1915360186">
    <w:abstractNumId w:val="20"/>
  </w:num>
  <w:num w:numId="70" w16cid:durableId="1191651493">
    <w:abstractNumId w:val="58"/>
  </w:num>
  <w:num w:numId="71" w16cid:durableId="855146343">
    <w:abstractNumId w:val="122"/>
  </w:num>
  <w:num w:numId="72" w16cid:durableId="1338926770">
    <w:abstractNumId w:val="32"/>
  </w:num>
  <w:num w:numId="73" w16cid:durableId="574555087">
    <w:abstractNumId w:val="85"/>
  </w:num>
  <w:num w:numId="74" w16cid:durableId="944265693">
    <w:abstractNumId w:val="30"/>
  </w:num>
  <w:num w:numId="75" w16cid:durableId="988707582">
    <w:abstractNumId w:val="90"/>
  </w:num>
  <w:num w:numId="76" w16cid:durableId="797534732">
    <w:abstractNumId w:val="143"/>
  </w:num>
  <w:num w:numId="77" w16cid:durableId="1161507980">
    <w:abstractNumId w:val="147"/>
  </w:num>
  <w:num w:numId="78" w16cid:durableId="111704814">
    <w:abstractNumId w:val="95"/>
  </w:num>
  <w:num w:numId="79" w16cid:durableId="198706419">
    <w:abstractNumId w:val="52"/>
  </w:num>
  <w:num w:numId="80" w16cid:durableId="2044285104">
    <w:abstractNumId w:val="78"/>
  </w:num>
  <w:num w:numId="81" w16cid:durableId="1968244856">
    <w:abstractNumId w:val="29"/>
  </w:num>
  <w:num w:numId="82" w16cid:durableId="1876230318">
    <w:abstractNumId w:val="81"/>
  </w:num>
  <w:num w:numId="83" w16cid:durableId="905265468">
    <w:abstractNumId w:val="130"/>
  </w:num>
  <w:num w:numId="84" w16cid:durableId="383021458">
    <w:abstractNumId w:val="148"/>
  </w:num>
  <w:num w:numId="85" w16cid:durableId="1091313753">
    <w:abstractNumId w:val="47"/>
  </w:num>
  <w:num w:numId="86" w16cid:durableId="1670018600">
    <w:abstractNumId w:val="91"/>
  </w:num>
  <w:num w:numId="87" w16cid:durableId="1015111288">
    <w:abstractNumId w:val="14"/>
  </w:num>
  <w:num w:numId="88" w16cid:durableId="1896626124">
    <w:abstractNumId w:val="108"/>
  </w:num>
  <w:num w:numId="89" w16cid:durableId="529684554">
    <w:abstractNumId w:val="36"/>
  </w:num>
  <w:num w:numId="90" w16cid:durableId="469791721">
    <w:abstractNumId w:val="131"/>
  </w:num>
  <w:num w:numId="91" w16cid:durableId="2020305467">
    <w:abstractNumId w:val="61"/>
  </w:num>
  <w:num w:numId="92" w16cid:durableId="1580870704">
    <w:abstractNumId w:val="72"/>
  </w:num>
  <w:num w:numId="93" w16cid:durableId="1761245929">
    <w:abstractNumId w:val="124"/>
  </w:num>
  <w:num w:numId="94" w16cid:durableId="1624650954">
    <w:abstractNumId w:val="118"/>
  </w:num>
  <w:num w:numId="95" w16cid:durableId="1205170940">
    <w:abstractNumId w:val="38"/>
  </w:num>
  <w:num w:numId="96" w16cid:durableId="376709060">
    <w:abstractNumId w:val="76"/>
  </w:num>
  <w:num w:numId="97" w16cid:durableId="1973633501">
    <w:abstractNumId w:val="115"/>
  </w:num>
  <w:num w:numId="98" w16cid:durableId="1415863025">
    <w:abstractNumId w:val="105"/>
  </w:num>
  <w:num w:numId="99" w16cid:durableId="1652052611">
    <w:abstractNumId w:val="13"/>
  </w:num>
  <w:num w:numId="100" w16cid:durableId="25520142">
    <w:abstractNumId w:val="28"/>
  </w:num>
  <w:num w:numId="101" w16cid:durableId="1165435576">
    <w:abstractNumId w:val="128"/>
  </w:num>
  <w:num w:numId="102" w16cid:durableId="577791948">
    <w:abstractNumId w:val="142"/>
  </w:num>
  <w:num w:numId="103" w16cid:durableId="733357696">
    <w:abstractNumId w:val="106"/>
  </w:num>
  <w:num w:numId="104" w16cid:durableId="830873537">
    <w:abstractNumId w:val="51"/>
  </w:num>
  <w:num w:numId="105" w16cid:durableId="1541019237">
    <w:abstractNumId w:val="93"/>
  </w:num>
  <w:num w:numId="106" w16cid:durableId="1132791252">
    <w:abstractNumId w:val="16"/>
  </w:num>
  <w:num w:numId="107" w16cid:durableId="716203581">
    <w:abstractNumId w:val="17"/>
  </w:num>
  <w:num w:numId="108" w16cid:durableId="52240022">
    <w:abstractNumId w:val="97"/>
  </w:num>
  <w:num w:numId="109" w16cid:durableId="457187569">
    <w:abstractNumId w:val="69"/>
  </w:num>
  <w:num w:numId="110" w16cid:durableId="498695615">
    <w:abstractNumId w:val="31"/>
  </w:num>
  <w:num w:numId="111" w16cid:durableId="861476989">
    <w:abstractNumId w:val="83"/>
  </w:num>
  <w:num w:numId="112" w16cid:durableId="657422180">
    <w:abstractNumId w:val="11"/>
  </w:num>
  <w:num w:numId="113" w16cid:durableId="1909730648">
    <w:abstractNumId w:val="65"/>
  </w:num>
  <w:num w:numId="114" w16cid:durableId="1204252313">
    <w:abstractNumId w:val="89"/>
  </w:num>
  <w:num w:numId="115" w16cid:durableId="23024023">
    <w:abstractNumId w:val="24"/>
  </w:num>
  <w:num w:numId="116" w16cid:durableId="146626755">
    <w:abstractNumId w:val="139"/>
  </w:num>
  <w:num w:numId="117" w16cid:durableId="764423723">
    <w:abstractNumId w:val="67"/>
  </w:num>
  <w:num w:numId="118" w16cid:durableId="310448410">
    <w:abstractNumId w:val="109"/>
  </w:num>
  <w:num w:numId="119" w16cid:durableId="909466418">
    <w:abstractNumId w:val="84"/>
  </w:num>
  <w:num w:numId="120" w16cid:durableId="258218642">
    <w:abstractNumId w:val="146"/>
  </w:num>
  <w:num w:numId="121" w16cid:durableId="2122217515">
    <w:abstractNumId w:val="127"/>
  </w:num>
  <w:num w:numId="122" w16cid:durableId="1878198754">
    <w:abstractNumId w:val="57"/>
  </w:num>
  <w:num w:numId="123" w16cid:durableId="1560702592">
    <w:abstractNumId w:val="53"/>
  </w:num>
  <w:num w:numId="124" w16cid:durableId="569969874">
    <w:abstractNumId w:val="101"/>
  </w:num>
  <w:num w:numId="125" w16cid:durableId="1827043170">
    <w:abstractNumId w:val="129"/>
  </w:num>
  <w:num w:numId="126" w16cid:durableId="377903719">
    <w:abstractNumId w:val="112"/>
  </w:num>
  <w:num w:numId="127" w16cid:durableId="139539738">
    <w:abstractNumId w:val="23"/>
  </w:num>
  <w:num w:numId="128" w16cid:durableId="1136291437">
    <w:abstractNumId w:val="55"/>
  </w:num>
  <w:num w:numId="129" w16cid:durableId="478692454">
    <w:abstractNumId w:val="75"/>
  </w:num>
  <w:num w:numId="130" w16cid:durableId="228348531">
    <w:abstractNumId w:val="140"/>
  </w:num>
  <w:num w:numId="131" w16cid:durableId="493036262">
    <w:abstractNumId w:val="8"/>
  </w:num>
  <w:num w:numId="132" w16cid:durableId="752161558">
    <w:abstractNumId w:val="82"/>
  </w:num>
  <w:num w:numId="133" w16cid:durableId="442380368">
    <w:abstractNumId w:val="114"/>
  </w:num>
  <w:num w:numId="134" w16cid:durableId="1705717584">
    <w:abstractNumId w:val="10"/>
  </w:num>
  <w:num w:numId="135" w16cid:durableId="1840580912">
    <w:abstractNumId w:val="88"/>
  </w:num>
  <w:num w:numId="136" w16cid:durableId="2092268539">
    <w:abstractNumId w:val="98"/>
  </w:num>
  <w:num w:numId="137" w16cid:durableId="2107965515">
    <w:abstractNumId w:val="26"/>
  </w:num>
  <w:num w:numId="138" w16cid:durableId="1815292333">
    <w:abstractNumId w:val="144"/>
  </w:num>
  <w:num w:numId="139" w16cid:durableId="1141113505">
    <w:abstractNumId w:val="62"/>
  </w:num>
  <w:num w:numId="140" w16cid:durableId="1508711495">
    <w:abstractNumId w:val="42"/>
  </w:num>
  <w:num w:numId="141" w16cid:durableId="343047812">
    <w:abstractNumId w:val="107"/>
  </w:num>
  <w:num w:numId="142" w16cid:durableId="1869024502">
    <w:abstractNumId w:val="137"/>
  </w:num>
  <w:num w:numId="143" w16cid:durableId="788399701">
    <w:abstractNumId w:val="54"/>
  </w:num>
  <w:num w:numId="144" w16cid:durableId="304891593">
    <w:abstractNumId w:val="10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CA" w:vendorID="64" w:dllVersion="0" w:nlCheck="1" w:checkStyle="0"/>
  <w:activeWritingStyle w:appName="MSWord" w:lang="es-AR" w:vendorID="64" w:dllVersion="0" w:nlCheck="1" w:checkStyle="0"/>
  <w:activeWritingStyle w:appName="MSWord" w:lang="de-CH" w:vendorID="64" w:dllVersion="0" w:nlCheck="1" w:checkStyle="0"/>
  <w:activeWritingStyle w:appName="MSWord" w:lang="nl-NL"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19"/>
  <w:hyphenationZone w:val="425"/>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65"/>
    <w:rsid w:val="00001E4E"/>
    <w:rsid w:val="00002B29"/>
    <w:rsid w:val="00004F7F"/>
    <w:rsid w:val="0000572C"/>
    <w:rsid w:val="00006DC8"/>
    <w:rsid w:val="00013B06"/>
    <w:rsid w:val="00013BE2"/>
    <w:rsid w:val="000149E6"/>
    <w:rsid w:val="00015BF8"/>
    <w:rsid w:val="000173CF"/>
    <w:rsid w:val="000179B6"/>
    <w:rsid w:val="00017BD4"/>
    <w:rsid w:val="00021FA3"/>
    <w:rsid w:val="000231B9"/>
    <w:rsid w:val="000247B0"/>
    <w:rsid w:val="00026997"/>
    <w:rsid w:val="00027A2A"/>
    <w:rsid w:val="00030EB7"/>
    <w:rsid w:val="00031A37"/>
    <w:rsid w:val="00033AB5"/>
    <w:rsid w:val="00033E0B"/>
    <w:rsid w:val="00035EDE"/>
    <w:rsid w:val="000424D7"/>
    <w:rsid w:val="000431ED"/>
    <w:rsid w:val="00045F7A"/>
    <w:rsid w:val="000463DE"/>
    <w:rsid w:val="000509B4"/>
    <w:rsid w:val="00050CF3"/>
    <w:rsid w:val="0005192F"/>
    <w:rsid w:val="000521C9"/>
    <w:rsid w:val="0005545E"/>
    <w:rsid w:val="00055A28"/>
    <w:rsid w:val="00057AD3"/>
    <w:rsid w:val="00061781"/>
    <w:rsid w:val="00061D32"/>
    <w:rsid w:val="000657A0"/>
    <w:rsid w:val="00071886"/>
    <w:rsid w:val="000742BC"/>
    <w:rsid w:val="000757F7"/>
    <w:rsid w:val="0007780B"/>
    <w:rsid w:val="00080C29"/>
    <w:rsid w:val="0008262E"/>
    <w:rsid w:val="00082A0C"/>
    <w:rsid w:val="00086048"/>
    <w:rsid w:val="000909BA"/>
    <w:rsid w:val="0009361D"/>
    <w:rsid w:val="0009469A"/>
    <w:rsid w:val="0009640C"/>
    <w:rsid w:val="000A3BFD"/>
    <w:rsid w:val="000B22C4"/>
    <w:rsid w:val="000B5D3E"/>
    <w:rsid w:val="000C1560"/>
    <w:rsid w:val="000C1C06"/>
    <w:rsid w:val="000C3CA8"/>
    <w:rsid w:val="000C6335"/>
    <w:rsid w:val="000D0D60"/>
    <w:rsid w:val="000D211F"/>
    <w:rsid w:val="000D33C0"/>
    <w:rsid w:val="000D6A54"/>
    <w:rsid w:val="000D7B08"/>
    <w:rsid w:val="000D7BE2"/>
    <w:rsid w:val="000E054F"/>
    <w:rsid w:val="000E07ED"/>
    <w:rsid w:val="000E25B2"/>
    <w:rsid w:val="000E5E39"/>
    <w:rsid w:val="000F2741"/>
    <w:rsid w:val="000F2780"/>
    <w:rsid w:val="000F2B0A"/>
    <w:rsid w:val="000F32F0"/>
    <w:rsid w:val="000F4986"/>
    <w:rsid w:val="000F54C1"/>
    <w:rsid w:val="000F5A61"/>
    <w:rsid w:val="000F6234"/>
    <w:rsid w:val="000F6523"/>
    <w:rsid w:val="000F6D52"/>
    <w:rsid w:val="00106F13"/>
    <w:rsid w:val="001166B6"/>
    <w:rsid w:val="001175A0"/>
    <w:rsid w:val="001202E3"/>
    <w:rsid w:val="0012079E"/>
    <w:rsid w:val="00126301"/>
    <w:rsid w:val="00126E02"/>
    <w:rsid w:val="00127AB2"/>
    <w:rsid w:val="0013059D"/>
    <w:rsid w:val="00133943"/>
    <w:rsid w:val="00134A12"/>
    <w:rsid w:val="00141A55"/>
    <w:rsid w:val="001425DD"/>
    <w:rsid w:val="0014440E"/>
    <w:rsid w:val="001454BC"/>
    <w:rsid w:val="001479A5"/>
    <w:rsid w:val="00152C17"/>
    <w:rsid w:val="00153585"/>
    <w:rsid w:val="00153FF8"/>
    <w:rsid w:val="00155A8C"/>
    <w:rsid w:val="00160635"/>
    <w:rsid w:val="0016212E"/>
    <w:rsid w:val="00163B60"/>
    <w:rsid w:val="00164103"/>
    <w:rsid w:val="001657B8"/>
    <w:rsid w:val="00165823"/>
    <w:rsid w:val="001718BF"/>
    <w:rsid w:val="00180DAF"/>
    <w:rsid w:val="00181967"/>
    <w:rsid w:val="00181EC8"/>
    <w:rsid w:val="00182A00"/>
    <w:rsid w:val="00182CFD"/>
    <w:rsid w:val="00184349"/>
    <w:rsid w:val="00190BCA"/>
    <w:rsid w:val="00191C8D"/>
    <w:rsid w:val="00192CEA"/>
    <w:rsid w:val="00192D27"/>
    <w:rsid w:val="00193D61"/>
    <w:rsid w:val="001A0360"/>
    <w:rsid w:val="001A144B"/>
    <w:rsid w:val="001A62F5"/>
    <w:rsid w:val="001A7924"/>
    <w:rsid w:val="001B69A1"/>
    <w:rsid w:val="001C0C65"/>
    <w:rsid w:val="001C1294"/>
    <w:rsid w:val="001C43E1"/>
    <w:rsid w:val="001D15EB"/>
    <w:rsid w:val="001D3874"/>
    <w:rsid w:val="001D7B05"/>
    <w:rsid w:val="001D7E75"/>
    <w:rsid w:val="001E0753"/>
    <w:rsid w:val="001E07DD"/>
    <w:rsid w:val="001E366B"/>
    <w:rsid w:val="001E5393"/>
    <w:rsid w:val="001E56D2"/>
    <w:rsid w:val="001E625A"/>
    <w:rsid w:val="001E7535"/>
    <w:rsid w:val="001E7D56"/>
    <w:rsid w:val="001F14B3"/>
    <w:rsid w:val="001F38CC"/>
    <w:rsid w:val="001F411C"/>
    <w:rsid w:val="001F665D"/>
    <w:rsid w:val="001F75DE"/>
    <w:rsid w:val="00200432"/>
    <w:rsid w:val="00200D58"/>
    <w:rsid w:val="002013BE"/>
    <w:rsid w:val="0020350F"/>
    <w:rsid w:val="0020413A"/>
    <w:rsid w:val="00205291"/>
    <w:rsid w:val="002063A4"/>
    <w:rsid w:val="002076F3"/>
    <w:rsid w:val="0021145B"/>
    <w:rsid w:val="002123A8"/>
    <w:rsid w:val="00214179"/>
    <w:rsid w:val="0021457B"/>
    <w:rsid w:val="0021649C"/>
    <w:rsid w:val="00220D51"/>
    <w:rsid w:val="002229B8"/>
    <w:rsid w:val="002255B0"/>
    <w:rsid w:val="0023432F"/>
    <w:rsid w:val="002347A1"/>
    <w:rsid w:val="00237618"/>
    <w:rsid w:val="00241007"/>
    <w:rsid w:val="00244204"/>
    <w:rsid w:val="0024757B"/>
    <w:rsid w:val="00247707"/>
    <w:rsid w:val="002517EB"/>
    <w:rsid w:val="00251B73"/>
    <w:rsid w:val="00254825"/>
    <w:rsid w:val="00256671"/>
    <w:rsid w:val="00256C7B"/>
    <w:rsid w:val="00257F4A"/>
    <w:rsid w:val="00260057"/>
    <w:rsid w:val="0026080B"/>
    <w:rsid w:val="00260DF5"/>
    <w:rsid w:val="00262CBB"/>
    <w:rsid w:val="00264F54"/>
    <w:rsid w:val="002654DF"/>
    <w:rsid w:val="00273D93"/>
    <w:rsid w:val="00274139"/>
    <w:rsid w:val="00274445"/>
    <w:rsid w:val="0027449C"/>
    <w:rsid w:val="00274A8B"/>
    <w:rsid w:val="00274B15"/>
    <w:rsid w:val="00275284"/>
    <w:rsid w:val="0027572A"/>
    <w:rsid w:val="00275FB4"/>
    <w:rsid w:val="0028129A"/>
    <w:rsid w:val="00283145"/>
    <w:rsid w:val="0028349A"/>
    <w:rsid w:val="0028510D"/>
    <w:rsid w:val="00286581"/>
    <w:rsid w:val="00286740"/>
    <w:rsid w:val="0028784A"/>
    <w:rsid w:val="00287A10"/>
    <w:rsid w:val="002918F3"/>
    <w:rsid w:val="002929D8"/>
    <w:rsid w:val="00293C25"/>
    <w:rsid w:val="00294CC7"/>
    <w:rsid w:val="002A04E0"/>
    <w:rsid w:val="002A19A0"/>
    <w:rsid w:val="002A237D"/>
    <w:rsid w:val="002A23FE"/>
    <w:rsid w:val="002A39ED"/>
    <w:rsid w:val="002A4C53"/>
    <w:rsid w:val="002A6C51"/>
    <w:rsid w:val="002A6D39"/>
    <w:rsid w:val="002A7F0C"/>
    <w:rsid w:val="002B320B"/>
    <w:rsid w:val="002B3272"/>
    <w:rsid w:val="002B3A62"/>
    <w:rsid w:val="002B59AB"/>
    <w:rsid w:val="002B65D8"/>
    <w:rsid w:val="002B66D6"/>
    <w:rsid w:val="002B6BDE"/>
    <w:rsid w:val="002C0F1C"/>
    <w:rsid w:val="002C145D"/>
    <w:rsid w:val="002C1C50"/>
    <w:rsid w:val="002C2028"/>
    <w:rsid w:val="002C2C3E"/>
    <w:rsid w:val="002C3EEE"/>
    <w:rsid w:val="002C533E"/>
    <w:rsid w:val="002C6940"/>
    <w:rsid w:val="002C72E5"/>
    <w:rsid w:val="002D027F"/>
    <w:rsid w:val="002D1965"/>
    <w:rsid w:val="002D4ACB"/>
    <w:rsid w:val="002D7B60"/>
    <w:rsid w:val="002E657E"/>
    <w:rsid w:val="002E6DB8"/>
    <w:rsid w:val="002F013F"/>
    <w:rsid w:val="002F01F8"/>
    <w:rsid w:val="002F4761"/>
    <w:rsid w:val="002F518F"/>
    <w:rsid w:val="002F63AC"/>
    <w:rsid w:val="002F7364"/>
    <w:rsid w:val="00304DCB"/>
    <w:rsid w:val="00311CBF"/>
    <w:rsid w:val="00313051"/>
    <w:rsid w:val="0031381C"/>
    <w:rsid w:val="00313AD3"/>
    <w:rsid w:val="0031413F"/>
    <w:rsid w:val="00314CB8"/>
    <w:rsid w:val="003163A6"/>
    <w:rsid w:val="003179F0"/>
    <w:rsid w:val="003237C1"/>
    <w:rsid w:val="00326BED"/>
    <w:rsid w:val="003276DB"/>
    <w:rsid w:val="003301F2"/>
    <w:rsid w:val="00330A64"/>
    <w:rsid w:val="00330B03"/>
    <w:rsid w:val="00331758"/>
    <w:rsid w:val="00333D9E"/>
    <w:rsid w:val="0033666A"/>
    <w:rsid w:val="0034452B"/>
    <w:rsid w:val="00345C2D"/>
    <w:rsid w:val="00345D7A"/>
    <w:rsid w:val="003477A6"/>
    <w:rsid w:val="003523BF"/>
    <w:rsid w:val="00354E1E"/>
    <w:rsid w:val="00355DB0"/>
    <w:rsid w:val="00355EA9"/>
    <w:rsid w:val="00357485"/>
    <w:rsid w:val="00362F5F"/>
    <w:rsid w:val="00363CF8"/>
    <w:rsid w:val="003654EB"/>
    <w:rsid w:val="00365739"/>
    <w:rsid w:val="00366021"/>
    <w:rsid w:val="00366AEE"/>
    <w:rsid w:val="00370C9B"/>
    <w:rsid w:val="00371380"/>
    <w:rsid w:val="00380048"/>
    <w:rsid w:val="00381BA3"/>
    <w:rsid w:val="00381FA7"/>
    <w:rsid w:val="0038468B"/>
    <w:rsid w:val="00385825"/>
    <w:rsid w:val="0038781D"/>
    <w:rsid w:val="003916DE"/>
    <w:rsid w:val="00392C0F"/>
    <w:rsid w:val="00396257"/>
    <w:rsid w:val="0039634C"/>
    <w:rsid w:val="00397EB8"/>
    <w:rsid w:val="003A00DD"/>
    <w:rsid w:val="003A1DBE"/>
    <w:rsid w:val="003A4FD0"/>
    <w:rsid w:val="003A66AB"/>
    <w:rsid w:val="003A69D1"/>
    <w:rsid w:val="003B1545"/>
    <w:rsid w:val="003B1B65"/>
    <w:rsid w:val="003B36ED"/>
    <w:rsid w:val="003B4BCD"/>
    <w:rsid w:val="003C2CA2"/>
    <w:rsid w:val="003C362B"/>
    <w:rsid w:val="003C409D"/>
    <w:rsid w:val="003C7868"/>
    <w:rsid w:val="003D0233"/>
    <w:rsid w:val="003D14E0"/>
    <w:rsid w:val="003D2510"/>
    <w:rsid w:val="003D4702"/>
    <w:rsid w:val="003D48B5"/>
    <w:rsid w:val="003D6944"/>
    <w:rsid w:val="003D70B1"/>
    <w:rsid w:val="003E2F3D"/>
    <w:rsid w:val="003F05A0"/>
    <w:rsid w:val="003F0E4D"/>
    <w:rsid w:val="003F0E85"/>
    <w:rsid w:val="003F27FA"/>
    <w:rsid w:val="003F2C0A"/>
    <w:rsid w:val="003F50B4"/>
    <w:rsid w:val="003F50DB"/>
    <w:rsid w:val="003F5FAD"/>
    <w:rsid w:val="003F6BDE"/>
    <w:rsid w:val="003F7A3E"/>
    <w:rsid w:val="00401E3D"/>
    <w:rsid w:val="00407659"/>
    <w:rsid w:val="00407825"/>
    <w:rsid w:val="00410C55"/>
    <w:rsid w:val="004126DE"/>
    <w:rsid w:val="00412DFA"/>
    <w:rsid w:val="00413F15"/>
    <w:rsid w:val="0041703E"/>
    <w:rsid w:val="004173B9"/>
    <w:rsid w:val="00417725"/>
    <w:rsid w:val="004232E0"/>
    <w:rsid w:val="004245F2"/>
    <w:rsid w:val="004272A0"/>
    <w:rsid w:val="004273AD"/>
    <w:rsid w:val="004309AD"/>
    <w:rsid w:val="00431632"/>
    <w:rsid w:val="0043167F"/>
    <w:rsid w:val="00433D95"/>
    <w:rsid w:val="00434F25"/>
    <w:rsid w:val="00437F26"/>
    <w:rsid w:val="004418DB"/>
    <w:rsid w:val="00442DC1"/>
    <w:rsid w:val="00442F97"/>
    <w:rsid w:val="004435CD"/>
    <w:rsid w:val="0045350D"/>
    <w:rsid w:val="00454769"/>
    <w:rsid w:val="00457FA0"/>
    <w:rsid w:val="004639DA"/>
    <w:rsid w:val="004641BF"/>
    <w:rsid w:val="00466991"/>
    <w:rsid w:val="0046732C"/>
    <w:rsid w:val="0047001F"/>
    <w:rsid w:val="0047064C"/>
    <w:rsid w:val="00473BE4"/>
    <w:rsid w:val="00474928"/>
    <w:rsid w:val="00475471"/>
    <w:rsid w:val="00476879"/>
    <w:rsid w:val="00483628"/>
    <w:rsid w:val="00486176"/>
    <w:rsid w:val="004865B6"/>
    <w:rsid w:val="00487928"/>
    <w:rsid w:val="00487A07"/>
    <w:rsid w:val="0049031C"/>
    <w:rsid w:val="00493C5D"/>
    <w:rsid w:val="004940D1"/>
    <w:rsid w:val="0049471A"/>
    <w:rsid w:val="00495ADB"/>
    <w:rsid w:val="004A56E9"/>
    <w:rsid w:val="004A6D5E"/>
    <w:rsid w:val="004B1D77"/>
    <w:rsid w:val="004B42CC"/>
    <w:rsid w:val="004B62AA"/>
    <w:rsid w:val="004C5C96"/>
    <w:rsid w:val="004D06A4"/>
    <w:rsid w:val="004D0BDE"/>
    <w:rsid w:val="004D57D5"/>
    <w:rsid w:val="004D771B"/>
    <w:rsid w:val="004E043C"/>
    <w:rsid w:val="004E541C"/>
    <w:rsid w:val="004E54D7"/>
    <w:rsid w:val="004E72FA"/>
    <w:rsid w:val="004F1A81"/>
    <w:rsid w:val="004F346E"/>
    <w:rsid w:val="004F4358"/>
    <w:rsid w:val="00500136"/>
    <w:rsid w:val="00500B9C"/>
    <w:rsid w:val="005057EF"/>
    <w:rsid w:val="00514E0D"/>
    <w:rsid w:val="0051584B"/>
    <w:rsid w:val="005174C9"/>
    <w:rsid w:val="0052047B"/>
    <w:rsid w:val="005218D9"/>
    <w:rsid w:val="00523E5D"/>
    <w:rsid w:val="00524CD7"/>
    <w:rsid w:val="00525E6D"/>
    <w:rsid w:val="00526070"/>
    <w:rsid w:val="00532135"/>
    <w:rsid w:val="005342DE"/>
    <w:rsid w:val="00534B86"/>
    <w:rsid w:val="00535B31"/>
    <w:rsid w:val="00535F65"/>
    <w:rsid w:val="00536186"/>
    <w:rsid w:val="005416BE"/>
    <w:rsid w:val="00541D5C"/>
    <w:rsid w:val="0054264B"/>
    <w:rsid w:val="00545B9D"/>
    <w:rsid w:val="00546EE3"/>
    <w:rsid w:val="00546F41"/>
    <w:rsid w:val="00550C5E"/>
    <w:rsid w:val="0055165A"/>
    <w:rsid w:val="005531E6"/>
    <w:rsid w:val="00553256"/>
    <w:rsid w:val="00554478"/>
    <w:rsid w:val="005546D3"/>
    <w:rsid w:val="00554888"/>
    <w:rsid w:val="00557298"/>
    <w:rsid w:val="00560F4B"/>
    <w:rsid w:val="0056345B"/>
    <w:rsid w:val="00563D26"/>
    <w:rsid w:val="00564241"/>
    <w:rsid w:val="00564885"/>
    <w:rsid w:val="00567C1A"/>
    <w:rsid w:val="00570C89"/>
    <w:rsid w:val="0057315F"/>
    <w:rsid w:val="005748BC"/>
    <w:rsid w:val="00577066"/>
    <w:rsid w:val="00577A72"/>
    <w:rsid w:val="0058045B"/>
    <w:rsid w:val="00586292"/>
    <w:rsid w:val="00591E1F"/>
    <w:rsid w:val="00593F27"/>
    <w:rsid w:val="00594445"/>
    <w:rsid w:val="00595F88"/>
    <w:rsid w:val="00597881"/>
    <w:rsid w:val="00597D77"/>
    <w:rsid w:val="005A6CBA"/>
    <w:rsid w:val="005B0848"/>
    <w:rsid w:val="005B14DC"/>
    <w:rsid w:val="005B1BE1"/>
    <w:rsid w:val="005B1E5C"/>
    <w:rsid w:val="005B63FA"/>
    <w:rsid w:val="005C2D53"/>
    <w:rsid w:val="005C2E3A"/>
    <w:rsid w:val="005C429F"/>
    <w:rsid w:val="005C4E39"/>
    <w:rsid w:val="005C6203"/>
    <w:rsid w:val="005C67C8"/>
    <w:rsid w:val="005C7D90"/>
    <w:rsid w:val="005C7F4D"/>
    <w:rsid w:val="005D0249"/>
    <w:rsid w:val="005D039C"/>
    <w:rsid w:val="005D07E9"/>
    <w:rsid w:val="005E0F12"/>
    <w:rsid w:val="005E1339"/>
    <w:rsid w:val="005E2ECC"/>
    <w:rsid w:val="005E6D30"/>
    <w:rsid w:val="005F100C"/>
    <w:rsid w:val="005F1060"/>
    <w:rsid w:val="005F297B"/>
    <w:rsid w:val="005F407C"/>
    <w:rsid w:val="005F464B"/>
    <w:rsid w:val="00602A5B"/>
    <w:rsid w:val="0060329C"/>
    <w:rsid w:val="00603C67"/>
    <w:rsid w:val="0060600C"/>
    <w:rsid w:val="00606AD5"/>
    <w:rsid w:val="00606AE8"/>
    <w:rsid w:val="00607425"/>
    <w:rsid w:val="00612F74"/>
    <w:rsid w:val="00614783"/>
    <w:rsid w:val="006206A0"/>
    <w:rsid w:val="00620D28"/>
    <w:rsid w:val="00621C23"/>
    <w:rsid w:val="006224BC"/>
    <w:rsid w:val="00625515"/>
    <w:rsid w:val="00625A83"/>
    <w:rsid w:val="006303B4"/>
    <w:rsid w:val="00631BC5"/>
    <w:rsid w:val="00632C83"/>
    <w:rsid w:val="00633679"/>
    <w:rsid w:val="006353D2"/>
    <w:rsid w:val="00640C43"/>
    <w:rsid w:val="00641465"/>
    <w:rsid w:val="00641703"/>
    <w:rsid w:val="006431A6"/>
    <w:rsid w:val="00644564"/>
    <w:rsid w:val="00644708"/>
    <w:rsid w:val="0064659B"/>
    <w:rsid w:val="00646AA3"/>
    <w:rsid w:val="006501AD"/>
    <w:rsid w:val="006506EF"/>
    <w:rsid w:val="006509A1"/>
    <w:rsid w:val="00651BFA"/>
    <w:rsid w:val="00651D61"/>
    <w:rsid w:val="00660284"/>
    <w:rsid w:val="006623A9"/>
    <w:rsid w:val="00663255"/>
    <w:rsid w:val="0068106A"/>
    <w:rsid w:val="00681D3C"/>
    <w:rsid w:val="0068417E"/>
    <w:rsid w:val="00684738"/>
    <w:rsid w:val="00685575"/>
    <w:rsid w:val="0068648C"/>
    <w:rsid w:val="00686B21"/>
    <w:rsid w:val="00692E2A"/>
    <w:rsid w:val="00694157"/>
    <w:rsid w:val="00694BB4"/>
    <w:rsid w:val="00697CA3"/>
    <w:rsid w:val="006A01D9"/>
    <w:rsid w:val="006A2A86"/>
    <w:rsid w:val="006A366A"/>
    <w:rsid w:val="006A4F7A"/>
    <w:rsid w:val="006A76F2"/>
    <w:rsid w:val="006B057A"/>
    <w:rsid w:val="006B1FE4"/>
    <w:rsid w:val="006B3BC0"/>
    <w:rsid w:val="006B5E4C"/>
    <w:rsid w:val="006C2EB4"/>
    <w:rsid w:val="006C5831"/>
    <w:rsid w:val="006D058E"/>
    <w:rsid w:val="006D346E"/>
    <w:rsid w:val="006D4178"/>
    <w:rsid w:val="006D5860"/>
    <w:rsid w:val="006D5CE9"/>
    <w:rsid w:val="006E014E"/>
    <w:rsid w:val="006E024F"/>
    <w:rsid w:val="006E13D4"/>
    <w:rsid w:val="006E3249"/>
    <w:rsid w:val="006E41E8"/>
    <w:rsid w:val="006E6291"/>
    <w:rsid w:val="006E6722"/>
    <w:rsid w:val="006E6CBF"/>
    <w:rsid w:val="006E70A7"/>
    <w:rsid w:val="006F0869"/>
    <w:rsid w:val="006F0910"/>
    <w:rsid w:val="006F15A2"/>
    <w:rsid w:val="006F363E"/>
    <w:rsid w:val="006F3875"/>
    <w:rsid w:val="006F3A26"/>
    <w:rsid w:val="006F5576"/>
    <w:rsid w:val="006F76F7"/>
    <w:rsid w:val="007027B9"/>
    <w:rsid w:val="00704571"/>
    <w:rsid w:val="00705530"/>
    <w:rsid w:val="00707657"/>
    <w:rsid w:val="0071071A"/>
    <w:rsid w:val="00710D0B"/>
    <w:rsid w:val="00711520"/>
    <w:rsid w:val="00711D04"/>
    <w:rsid w:val="00715E88"/>
    <w:rsid w:val="007179F2"/>
    <w:rsid w:val="00721BD3"/>
    <w:rsid w:val="00723CB0"/>
    <w:rsid w:val="0073371A"/>
    <w:rsid w:val="00734CAA"/>
    <w:rsid w:val="00735969"/>
    <w:rsid w:val="00735BAF"/>
    <w:rsid w:val="0074150D"/>
    <w:rsid w:val="0074174A"/>
    <w:rsid w:val="00741DF8"/>
    <w:rsid w:val="007458CF"/>
    <w:rsid w:val="00746D6F"/>
    <w:rsid w:val="007528DE"/>
    <w:rsid w:val="00755345"/>
    <w:rsid w:val="00757581"/>
    <w:rsid w:val="007616B7"/>
    <w:rsid w:val="00764258"/>
    <w:rsid w:val="00766B8F"/>
    <w:rsid w:val="00766D08"/>
    <w:rsid w:val="00770127"/>
    <w:rsid w:val="00772096"/>
    <w:rsid w:val="007742BF"/>
    <w:rsid w:val="00777DDD"/>
    <w:rsid w:val="00781D6A"/>
    <w:rsid w:val="0078552B"/>
    <w:rsid w:val="00786158"/>
    <w:rsid w:val="00787647"/>
    <w:rsid w:val="007902DD"/>
    <w:rsid w:val="00792A32"/>
    <w:rsid w:val="007954FB"/>
    <w:rsid w:val="007A108B"/>
    <w:rsid w:val="007A2A44"/>
    <w:rsid w:val="007A3CE4"/>
    <w:rsid w:val="007A5C12"/>
    <w:rsid w:val="007C338F"/>
    <w:rsid w:val="007C45B2"/>
    <w:rsid w:val="007C6054"/>
    <w:rsid w:val="007C72C0"/>
    <w:rsid w:val="007C7638"/>
    <w:rsid w:val="007D2ABE"/>
    <w:rsid w:val="007E003F"/>
    <w:rsid w:val="007E29EC"/>
    <w:rsid w:val="007E49D5"/>
    <w:rsid w:val="007E4E32"/>
    <w:rsid w:val="007E658A"/>
    <w:rsid w:val="007F1523"/>
    <w:rsid w:val="007F1F6E"/>
    <w:rsid w:val="007F253C"/>
    <w:rsid w:val="007F663D"/>
    <w:rsid w:val="0080033D"/>
    <w:rsid w:val="008068E4"/>
    <w:rsid w:val="00807DD2"/>
    <w:rsid w:val="00810C34"/>
    <w:rsid w:val="00814181"/>
    <w:rsid w:val="008148BB"/>
    <w:rsid w:val="0081578F"/>
    <w:rsid w:val="00815B1D"/>
    <w:rsid w:val="00817D9F"/>
    <w:rsid w:val="00820AEF"/>
    <w:rsid w:val="0082199F"/>
    <w:rsid w:val="0082257C"/>
    <w:rsid w:val="008239F9"/>
    <w:rsid w:val="00823A10"/>
    <w:rsid w:val="00824FEA"/>
    <w:rsid w:val="00826442"/>
    <w:rsid w:val="008265FA"/>
    <w:rsid w:val="0083008E"/>
    <w:rsid w:val="008304C9"/>
    <w:rsid w:val="0083077F"/>
    <w:rsid w:val="00830E26"/>
    <w:rsid w:val="00832E6B"/>
    <w:rsid w:val="00834716"/>
    <w:rsid w:val="00834B95"/>
    <w:rsid w:val="00834CB5"/>
    <w:rsid w:val="00836B2C"/>
    <w:rsid w:val="00841A01"/>
    <w:rsid w:val="00843576"/>
    <w:rsid w:val="00843B64"/>
    <w:rsid w:val="0084452D"/>
    <w:rsid w:val="008456A4"/>
    <w:rsid w:val="00845DA3"/>
    <w:rsid w:val="00845E59"/>
    <w:rsid w:val="00851959"/>
    <w:rsid w:val="00851B95"/>
    <w:rsid w:val="00852F36"/>
    <w:rsid w:val="0085333B"/>
    <w:rsid w:val="00856E5A"/>
    <w:rsid w:val="008576EF"/>
    <w:rsid w:val="00857F7A"/>
    <w:rsid w:val="008608A3"/>
    <w:rsid w:val="008620EB"/>
    <w:rsid w:val="00864FE9"/>
    <w:rsid w:val="00867BFF"/>
    <w:rsid w:val="00872C25"/>
    <w:rsid w:val="00874453"/>
    <w:rsid w:val="00875699"/>
    <w:rsid w:val="008819D2"/>
    <w:rsid w:val="008836F1"/>
    <w:rsid w:val="0088480A"/>
    <w:rsid w:val="00890545"/>
    <w:rsid w:val="00890EB7"/>
    <w:rsid w:val="00894AEA"/>
    <w:rsid w:val="008957DD"/>
    <w:rsid w:val="00897D98"/>
    <w:rsid w:val="008A44D1"/>
    <w:rsid w:val="008A6DF2"/>
    <w:rsid w:val="008A7317"/>
    <w:rsid w:val="008B1FC2"/>
    <w:rsid w:val="008B3984"/>
    <w:rsid w:val="008B4AAC"/>
    <w:rsid w:val="008C0E83"/>
    <w:rsid w:val="008C2245"/>
    <w:rsid w:val="008C312B"/>
    <w:rsid w:val="008C4F24"/>
    <w:rsid w:val="008C6CD2"/>
    <w:rsid w:val="008C7FFE"/>
    <w:rsid w:val="008D4950"/>
    <w:rsid w:val="008D7C99"/>
    <w:rsid w:val="008E02BE"/>
    <w:rsid w:val="008E0FCB"/>
    <w:rsid w:val="008E13D3"/>
    <w:rsid w:val="008E298D"/>
    <w:rsid w:val="008E573A"/>
    <w:rsid w:val="008F17AE"/>
    <w:rsid w:val="008F660A"/>
    <w:rsid w:val="008F69F0"/>
    <w:rsid w:val="008F74AD"/>
    <w:rsid w:val="00900B35"/>
    <w:rsid w:val="009078FD"/>
    <w:rsid w:val="00907E1D"/>
    <w:rsid w:val="009105CB"/>
    <w:rsid w:val="009106E4"/>
    <w:rsid w:val="00911A89"/>
    <w:rsid w:val="00911C93"/>
    <w:rsid w:val="00912DF2"/>
    <w:rsid w:val="0091321D"/>
    <w:rsid w:val="00913AE6"/>
    <w:rsid w:val="00917511"/>
    <w:rsid w:val="00921553"/>
    <w:rsid w:val="0092178C"/>
    <w:rsid w:val="00921D19"/>
    <w:rsid w:val="009255DF"/>
    <w:rsid w:val="0092602C"/>
    <w:rsid w:val="00931D6F"/>
    <w:rsid w:val="009322C4"/>
    <w:rsid w:val="00932B42"/>
    <w:rsid w:val="009356BD"/>
    <w:rsid w:val="0093693B"/>
    <w:rsid w:val="00940746"/>
    <w:rsid w:val="0094179A"/>
    <w:rsid w:val="009425D0"/>
    <w:rsid w:val="009433DF"/>
    <w:rsid w:val="0094362C"/>
    <w:rsid w:val="0094459E"/>
    <w:rsid w:val="00944DBC"/>
    <w:rsid w:val="00947C6D"/>
    <w:rsid w:val="00950977"/>
    <w:rsid w:val="0095251A"/>
    <w:rsid w:val="00952CDE"/>
    <w:rsid w:val="00955A25"/>
    <w:rsid w:val="00955C7A"/>
    <w:rsid w:val="009564A6"/>
    <w:rsid w:val="0096376E"/>
    <w:rsid w:val="00964111"/>
    <w:rsid w:val="00964CF9"/>
    <w:rsid w:val="00965418"/>
    <w:rsid w:val="009753AF"/>
    <w:rsid w:val="009755CA"/>
    <w:rsid w:val="0098016E"/>
    <w:rsid w:val="0098149C"/>
    <w:rsid w:val="009834C2"/>
    <w:rsid w:val="00985E5D"/>
    <w:rsid w:val="0099617E"/>
    <w:rsid w:val="00996811"/>
    <w:rsid w:val="009971D9"/>
    <w:rsid w:val="009A7875"/>
    <w:rsid w:val="009B1EFC"/>
    <w:rsid w:val="009B4A0F"/>
    <w:rsid w:val="009B62C2"/>
    <w:rsid w:val="009C1F9B"/>
    <w:rsid w:val="009C240D"/>
    <w:rsid w:val="009C51C6"/>
    <w:rsid w:val="009C5AC8"/>
    <w:rsid w:val="009C6EC7"/>
    <w:rsid w:val="009C7F35"/>
    <w:rsid w:val="009D0545"/>
    <w:rsid w:val="009D0B63"/>
    <w:rsid w:val="009D12C4"/>
    <w:rsid w:val="009E0E6C"/>
    <w:rsid w:val="009E34B8"/>
    <w:rsid w:val="009E686D"/>
    <w:rsid w:val="009F04ED"/>
    <w:rsid w:val="009F29E0"/>
    <w:rsid w:val="009F7A3B"/>
    <w:rsid w:val="00A0028E"/>
    <w:rsid w:val="00A00534"/>
    <w:rsid w:val="00A0365C"/>
    <w:rsid w:val="00A054E9"/>
    <w:rsid w:val="00A061C7"/>
    <w:rsid w:val="00A0701F"/>
    <w:rsid w:val="00A0722A"/>
    <w:rsid w:val="00A07373"/>
    <w:rsid w:val="00A10965"/>
    <w:rsid w:val="00A1348D"/>
    <w:rsid w:val="00A17224"/>
    <w:rsid w:val="00A1795D"/>
    <w:rsid w:val="00A179FE"/>
    <w:rsid w:val="00A20462"/>
    <w:rsid w:val="00A232EE"/>
    <w:rsid w:val="00A26D54"/>
    <w:rsid w:val="00A37DA3"/>
    <w:rsid w:val="00A37F92"/>
    <w:rsid w:val="00A40ACD"/>
    <w:rsid w:val="00A40F3F"/>
    <w:rsid w:val="00A41632"/>
    <w:rsid w:val="00A4272B"/>
    <w:rsid w:val="00A44411"/>
    <w:rsid w:val="00A44801"/>
    <w:rsid w:val="00A4528D"/>
    <w:rsid w:val="00A46744"/>
    <w:rsid w:val="00A469FA"/>
    <w:rsid w:val="00A47EB7"/>
    <w:rsid w:val="00A536B8"/>
    <w:rsid w:val="00A53D1F"/>
    <w:rsid w:val="00A55B01"/>
    <w:rsid w:val="00A56B5B"/>
    <w:rsid w:val="00A57E55"/>
    <w:rsid w:val="00A60915"/>
    <w:rsid w:val="00A657DD"/>
    <w:rsid w:val="00A65E15"/>
    <w:rsid w:val="00A666A6"/>
    <w:rsid w:val="00A733FE"/>
    <w:rsid w:val="00A7361E"/>
    <w:rsid w:val="00A74C42"/>
    <w:rsid w:val="00A75CFA"/>
    <w:rsid w:val="00A80611"/>
    <w:rsid w:val="00A81219"/>
    <w:rsid w:val="00A82C84"/>
    <w:rsid w:val="00A9070D"/>
    <w:rsid w:val="00A913FE"/>
    <w:rsid w:val="00A947AD"/>
    <w:rsid w:val="00A94C9A"/>
    <w:rsid w:val="00A9788D"/>
    <w:rsid w:val="00AB0F3B"/>
    <w:rsid w:val="00AB16D7"/>
    <w:rsid w:val="00AB28C7"/>
    <w:rsid w:val="00AB33EF"/>
    <w:rsid w:val="00AB4AF4"/>
    <w:rsid w:val="00AB5340"/>
    <w:rsid w:val="00AC6292"/>
    <w:rsid w:val="00AC706A"/>
    <w:rsid w:val="00AC7C96"/>
    <w:rsid w:val="00AC7E65"/>
    <w:rsid w:val="00AD16FB"/>
    <w:rsid w:val="00AD38C9"/>
    <w:rsid w:val="00AD3FF6"/>
    <w:rsid w:val="00AD429C"/>
    <w:rsid w:val="00AD5C63"/>
    <w:rsid w:val="00AD7FEB"/>
    <w:rsid w:val="00AE1B58"/>
    <w:rsid w:val="00AE237D"/>
    <w:rsid w:val="00AE2951"/>
    <w:rsid w:val="00AE2BD7"/>
    <w:rsid w:val="00AF2FF1"/>
    <w:rsid w:val="00AF4A1F"/>
    <w:rsid w:val="00AF7C07"/>
    <w:rsid w:val="00B00373"/>
    <w:rsid w:val="00B006C5"/>
    <w:rsid w:val="00B008E3"/>
    <w:rsid w:val="00B00F15"/>
    <w:rsid w:val="00B01572"/>
    <w:rsid w:val="00B02F39"/>
    <w:rsid w:val="00B05C50"/>
    <w:rsid w:val="00B10501"/>
    <w:rsid w:val="00B11E13"/>
    <w:rsid w:val="00B163FC"/>
    <w:rsid w:val="00B16AC1"/>
    <w:rsid w:val="00B2472C"/>
    <w:rsid w:val="00B25CD5"/>
    <w:rsid w:val="00B30B1C"/>
    <w:rsid w:val="00B3246B"/>
    <w:rsid w:val="00B32D2C"/>
    <w:rsid w:val="00B356BF"/>
    <w:rsid w:val="00B405B7"/>
    <w:rsid w:val="00B53585"/>
    <w:rsid w:val="00B568F5"/>
    <w:rsid w:val="00B56A81"/>
    <w:rsid w:val="00B57817"/>
    <w:rsid w:val="00B57D0C"/>
    <w:rsid w:val="00B601DB"/>
    <w:rsid w:val="00B615FD"/>
    <w:rsid w:val="00B628A5"/>
    <w:rsid w:val="00B66901"/>
    <w:rsid w:val="00B71E6D"/>
    <w:rsid w:val="00B72070"/>
    <w:rsid w:val="00B75519"/>
    <w:rsid w:val="00B779E1"/>
    <w:rsid w:val="00B77A4D"/>
    <w:rsid w:val="00B8035D"/>
    <w:rsid w:val="00B812A3"/>
    <w:rsid w:val="00B81392"/>
    <w:rsid w:val="00B82313"/>
    <w:rsid w:val="00B83D0C"/>
    <w:rsid w:val="00B852AD"/>
    <w:rsid w:val="00B86084"/>
    <w:rsid w:val="00B8694D"/>
    <w:rsid w:val="00B90B60"/>
    <w:rsid w:val="00B95B23"/>
    <w:rsid w:val="00B95C13"/>
    <w:rsid w:val="00BA1A67"/>
    <w:rsid w:val="00BA1AFB"/>
    <w:rsid w:val="00BA1CB1"/>
    <w:rsid w:val="00BB1442"/>
    <w:rsid w:val="00BB2F99"/>
    <w:rsid w:val="00BB3414"/>
    <w:rsid w:val="00BB4832"/>
    <w:rsid w:val="00BB5CA0"/>
    <w:rsid w:val="00BB7E34"/>
    <w:rsid w:val="00BC34C2"/>
    <w:rsid w:val="00BD058A"/>
    <w:rsid w:val="00BD23E8"/>
    <w:rsid w:val="00BD469B"/>
    <w:rsid w:val="00BD4831"/>
    <w:rsid w:val="00BD5074"/>
    <w:rsid w:val="00BD537C"/>
    <w:rsid w:val="00BE1BD4"/>
    <w:rsid w:val="00BE21A1"/>
    <w:rsid w:val="00BE2AD7"/>
    <w:rsid w:val="00BE35D7"/>
    <w:rsid w:val="00BE42EE"/>
    <w:rsid w:val="00BE4F21"/>
    <w:rsid w:val="00BE51B2"/>
    <w:rsid w:val="00BE52B1"/>
    <w:rsid w:val="00BE5FE6"/>
    <w:rsid w:val="00BF0E2F"/>
    <w:rsid w:val="00BF0F21"/>
    <w:rsid w:val="00BF6B9C"/>
    <w:rsid w:val="00C0232D"/>
    <w:rsid w:val="00C023B2"/>
    <w:rsid w:val="00C02533"/>
    <w:rsid w:val="00C02A15"/>
    <w:rsid w:val="00C03D7A"/>
    <w:rsid w:val="00C04A92"/>
    <w:rsid w:val="00C05EA7"/>
    <w:rsid w:val="00C26674"/>
    <w:rsid w:val="00C30C63"/>
    <w:rsid w:val="00C3222E"/>
    <w:rsid w:val="00C338CB"/>
    <w:rsid w:val="00C36C20"/>
    <w:rsid w:val="00C371E1"/>
    <w:rsid w:val="00C4315A"/>
    <w:rsid w:val="00C45102"/>
    <w:rsid w:val="00C4544F"/>
    <w:rsid w:val="00C45C33"/>
    <w:rsid w:val="00C46C27"/>
    <w:rsid w:val="00C47764"/>
    <w:rsid w:val="00C47D09"/>
    <w:rsid w:val="00C5196D"/>
    <w:rsid w:val="00C528D3"/>
    <w:rsid w:val="00C5545D"/>
    <w:rsid w:val="00C558DA"/>
    <w:rsid w:val="00C56FBD"/>
    <w:rsid w:val="00C61730"/>
    <w:rsid w:val="00C6200F"/>
    <w:rsid w:val="00C62CC5"/>
    <w:rsid w:val="00C66B87"/>
    <w:rsid w:val="00C66C85"/>
    <w:rsid w:val="00C70BCF"/>
    <w:rsid w:val="00C71C9A"/>
    <w:rsid w:val="00C75CAD"/>
    <w:rsid w:val="00C8201D"/>
    <w:rsid w:val="00C84759"/>
    <w:rsid w:val="00C8517B"/>
    <w:rsid w:val="00C85C14"/>
    <w:rsid w:val="00C87B52"/>
    <w:rsid w:val="00C922FE"/>
    <w:rsid w:val="00C931F7"/>
    <w:rsid w:val="00C93727"/>
    <w:rsid w:val="00C9517D"/>
    <w:rsid w:val="00C96212"/>
    <w:rsid w:val="00C96F65"/>
    <w:rsid w:val="00CA1AB2"/>
    <w:rsid w:val="00CA2236"/>
    <w:rsid w:val="00CA2B85"/>
    <w:rsid w:val="00CA6C7F"/>
    <w:rsid w:val="00CA71FC"/>
    <w:rsid w:val="00CA7287"/>
    <w:rsid w:val="00CB006A"/>
    <w:rsid w:val="00CB3DCB"/>
    <w:rsid w:val="00CB4188"/>
    <w:rsid w:val="00CB5412"/>
    <w:rsid w:val="00CC10A6"/>
    <w:rsid w:val="00CC2BD8"/>
    <w:rsid w:val="00CC3BB9"/>
    <w:rsid w:val="00CC4A1F"/>
    <w:rsid w:val="00CC5114"/>
    <w:rsid w:val="00CC6280"/>
    <w:rsid w:val="00CD0C2D"/>
    <w:rsid w:val="00CD176D"/>
    <w:rsid w:val="00CD6F5C"/>
    <w:rsid w:val="00CD7044"/>
    <w:rsid w:val="00CE0F82"/>
    <w:rsid w:val="00CE150E"/>
    <w:rsid w:val="00CE1A27"/>
    <w:rsid w:val="00CE417D"/>
    <w:rsid w:val="00CE524C"/>
    <w:rsid w:val="00CE6222"/>
    <w:rsid w:val="00CF0BCE"/>
    <w:rsid w:val="00CF141F"/>
    <w:rsid w:val="00CF2775"/>
    <w:rsid w:val="00CF4777"/>
    <w:rsid w:val="00D0225B"/>
    <w:rsid w:val="00D04893"/>
    <w:rsid w:val="00D0557A"/>
    <w:rsid w:val="00D05EA7"/>
    <w:rsid w:val="00D07795"/>
    <w:rsid w:val="00D10582"/>
    <w:rsid w:val="00D10A28"/>
    <w:rsid w:val="00D11455"/>
    <w:rsid w:val="00D11A8C"/>
    <w:rsid w:val="00D1314A"/>
    <w:rsid w:val="00D13AC1"/>
    <w:rsid w:val="00D169AF"/>
    <w:rsid w:val="00D20414"/>
    <w:rsid w:val="00D21A8C"/>
    <w:rsid w:val="00D244B2"/>
    <w:rsid w:val="00D25249"/>
    <w:rsid w:val="00D25A55"/>
    <w:rsid w:val="00D338A1"/>
    <w:rsid w:val="00D37262"/>
    <w:rsid w:val="00D37548"/>
    <w:rsid w:val="00D40BC4"/>
    <w:rsid w:val="00D412B2"/>
    <w:rsid w:val="00D41E6C"/>
    <w:rsid w:val="00D44172"/>
    <w:rsid w:val="00D44280"/>
    <w:rsid w:val="00D447D2"/>
    <w:rsid w:val="00D4505E"/>
    <w:rsid w:val="00D45162"/>
    <w:rsid w:val="00D4697D"/>
    <w:rsid w:val="00D50665"/>
    <w:rsid w:val="00D5306E"/>
    <w:rsid w:val="00D53805"/>
    <w:rsid w:val="00D55745"/>
    <w:rsid w:val="00D5650C"/>
    <w:rsid w:val="00D568F3"/>
    <w:rsid w:val="00D56D38"/>
    <w:rsid w:val="00D57E89"/>
    <w:rsid w:val="00D57E94"/>
    <w:rsid w:val="00D63483"/>
    <w:rsid w:val="00D63B8C"/>
    <w:rsid w:val="00D64354"/>
    <w:rsid w:val="00D65482"/>
    <w:rsid w:val="00D66BAA"/>
    <w:rsid w:val="00D67FF3"/>
    <w:rsid w:val="00D739CC"/>
    <w:rsid w:val="00D75CD1"/>
    <w:rsid w:val="00D76072"/>
    <w:rsid w:val="00D77D15"/>
    <w:rsid w:val="00D808F1"/>
    <w:rsid w:val="00D8093D"/>
    <w:rsid w:val="00D80F4D"/>
    <w:rsid w:val="00D8108C"/>
    <w:rsid w:val="00D835EA"/>
    <w:rsid w:val="00D842AE"/>
    <w:rsid w:val="00D860C5"/>
    <w:rsid w:val="00D919A0"/>
    <w:rsid w:val="00D9211C"/>
    <w:rsid w:val="00D93150"/>
    <w:rsid w:val="00D94074"/>
    <w:rsid w:val="00D9500C"/>
    <w:rsid w:val="00D96C0F"/>
    <w:rsid w:val="00D97BB9"/>
    <w:rsid w:val="00DA1303"/>
    <w:rsid w:val="00DA1BCA"/>
    <w:rsid w:val="00DA5AAB"/>
    <w:rsid w:val="00DA7AAA"/>
    <w:rsid w:val="00DB265D"/>
    <w:rsid w:val="00DB7B8A"/>
    <w:rsid w:val="00DC1EEC"/>
    <w:rsid w:val="00DC3A7D"/>
    <w:rsid w:val="00DC4185"/>
    <w:rsid w:val="00DC46FF"/>
    <w:rsid w:val="00DC7872"/>
    <w:rsid w:val="00DD15F1"/>
    <w:rsid w:val="00DD1A4F"/>
    <w:rsid w:val="00DD332A"/>
    <w:rsid w:val="00DD75FB"/>
    <w:rsid w:val="00DD7887"/>
    <w:rsid w:val="00DD7897"/>
    <w:rsid w:val="00DD7B8E"/>
    <w:rsid w:val="00DD7C2C"/>
    <w:rsid w:val="00DE3C4B"/>
    <w:rsid w:val="00DE3C92"/>
    <w:rsid w:val="00DE5032"/>
    <w:rsid w:val="00DE5FFE"/>
    <w:rsid w:val="00DE6B29"/>
    <w:rsid w:val="00DF39B4"/>
    <w:rsid w:val="00DF68A8"/>
    <w:rsid w:val="00DF6D8E"/>
    <w:rsid w:val="00E020FF"/>
    <w:rsid w:val="00E02176"/>
    <w:rsid w:val="00E040AA"/>
    <w:rsid w:val="00E052B2"/>
    <w:rsid w:val="00E059D6"/>
    <w:rsid w:val="00E05A71"/>
    <w:rsid w:val="00E06797"/>
    <w:rsid w:val="00E10FA1"/>
    <w:rsid w:val="00E11F90"/>
    <w:rsid w:val="00E1202D"/>
    <w:rsid w:val="00E123A6"/>
    <w:rsid w:val="00E1502E"/>
    <w:rsid w:val="00E1608A"/>
    <w:rsid w:val="00E16672"/>
    <w:rsid w:val="00E20AA5"/>
    <w:rsid w:val="00E21C83"/>
    <w:rsid w:val="00E23D30"/>
    <w:rsid w:val="00E27B27"/>
    <w:rsid w:val="00E3112D"/>
    <w:rsid w:val="00E31E30"/>
    <w:rsid w:val="00E34A10"/>
    <w:rsid w:val="00E37641"/>
    <w:rsid w:val="00E422FB"/>
    <w:rsid w:val="00E44F25"/>
    <w:rsid w:val="00E4561F"/>
    <w:rsid w:val="00E4594E"/>
    <w:rsid w:val="00E46054"/>
    <w:rsid w:val="00E46D9A"/>
    <w:rsid w:val="00E47365"/>
    <w:rsid w:val="00E547B8"/>
    <w:rsid w:val="00E565FF"/>
    <w:rsid w:val="00E64E45"/>
    <w:rsid w:val="00E65388"/>
    <w:rsid w:val="00E67A49"/>
    <w:rsid w:val="00E838BB"/>
    <w:rsid w:val="00E84205"/>
    <w:rsid w:val="00E85B7D"/>
    <w:rsid w:val="00E9121B"/>
    <w:rsid w:val="00E942CB"/>
    <w:rsid w:val="00E942ED"/>
    <w:rsid w:val="00EA06CF"/>
    <w:rsid w:val="00EA1639"/>
    <w:rsid w:val="00EA39E5"/>
    <w:rsid w:val="00EA62C3"/>
    <w:rsid w:val="00EA671C"/>
    <w:rsid w:val="00EA76F8"/>
    <w:rsid w:val="00EB1F51"/>
    <w:rsid w:val="00EB3197"/>
    <w:rsid w:val="00EC5A46"/>
    <w:rsid w:val="00EC63E2"/>
    <w:rsid w:val="00EC6C83"/>
    <w:rsid w:val="00ED152C"/>
    <w:rsid w:val="00ED3544"/>
    <w:rsid w:val="00ED473B"/>
    <w:rsid w:val="00EE04B9"/>
    <w:rsid w:val="00EE554A"/>
    <w:rsid w:val="00EE5EC8"/>
    <w:rsid w:val="00EF021F"/>
    <w:rsid w:val="00EF1251"/>
    <w:rsid w:val="00EF22B3"/>
    <w:rsid w:val="00EF352E"/>
    <w:rsid w:val="00F0009E"/>
    <w:rsid w:val="00F006B1"/>
    <w:rsid w:val="00F00F21"/>
    <w:rsid w:val="00F0172A"/>
    <w:rsid w:val="00F02D7B"/>
    <w:rsid w:val="00F03085"/>
    <w:rsid w:val="00F033B0"/>
    <w:rsid w:val="00F048F5"/>
    <w:rsid w:val="00F05CA4"/>
    <w:rsid w:val="00F06B9D"/>
    <w:rsid w:val="00F07019"/>
    <w:rsid w:val="00F10022"/>
    <w:rsid w:val="00F11264"/>
    <w:rsid w:val="00F113DA"/>
    <w:rsid w:val="00F12FA5"/>
    <w:rsid w:val="00F14970"/>
    <w:rsid w:val="00F16DB6"/>
    <w:rsid w:val="00F17288"/>
    <w:rsid w:val="00F2090B"/>
    <w:rsid w:val="00F22015"/>
    <w:rsid w:val="00F2247A"/>
    <w:rsid w:val="00F22DFA"/>
    <w:rsid w:val="00F24481"/>
    <w:rsid w:val="00F24816"/>
    <w:rsid w:val="00F2577B"/>
    <w:rsid w:val="00F30EB7"/>
    <w:rsid w:val="00F32A25"/>
    <w:rsid w:val="00F3536C"/>
    <w:rsid w:val="00F36417"/>
    <w:rsid w:val="00F377E6"/>
    <w:rsid w:val="00F37DC8"/>
    <w:rsid w:val="00F41D32"/>
    <w:rsid w:val="00F44CFC"/>
    <w:rsid w:val="00F52FD4"/>
    <w:rsid w:val="00F650C3"/>
    <w:rsid w:val="00F65C14"/>
    <w:rsid w:val="00F7115F"/>
    <w:rsid w:val="00F761C6"/>
    <w:rsid w:val="00F763B4"/>
    <w:rsid w:val="00F80776"/>
    <w:rsid w:val="00F8091E"/>
    <w:rsid w:val="00F80B8B"/>
    <w:rsid w:val="00F81B64"/>
    <w:rsid w:val="00F82B3D"/>
    <w:rsid w:val="00F82C16"/>
    <w:rsid w:val="00F8615C"/>
    <w:rsid w:val="00F87CE0"/>
    <w:rsid w:val="00F900B6"/>
    <w:rsid w:val="00F94D7A"/>
    <w:rsid w:val="00F955DF"/>
    <w:rsid w:val="00F95AC5"/>
    <w:rsid w:val="00F96D67"/>
    <w:rsid w:val="00FB141F"/>
    <w:rsid w:val="00FB2E2E"/>
    <w:rsid w:val="00FB5803"/>
    <w:rsid w:val="00FB586D"/>
    <w:rsid w:val="00FC21FB"/>
    <w:rsid w:val="00FD034C"/>
    <w:rsid w:val="00FD2AD4"/>
    <w:rsid w:val="00FD3210"/>
    <w:rsid w:val="00FD5860"/>
    <w:rsid w:val="00FD59B8"/>
    <w:rsid w:val="00FD6533"/>
    <w:rsid w:val="00FE0604"/>
    <w:rsid w:val="00FE1D1A"/>
    <w:rsid w:val="00FE2221"/>
    <w:rsid w:val="00FE352D"/>
    <w:rsid w:val="00FE3EBA"/>
    <w:rsid w:val="00FE601A"/>
    <w:rsid w:val="00FE7544"/>
    <w:rsid w:val="00FE7653"/>
    <w:rsid w:val="00FE7D62"/>
    <w:rsid w:val="00FF2AF1"/>
    <w:rsid w:val="00FF4E01"/>
    <w:rsid w:val="00FF6874"/>
    <w:rsid w:val="1E3DB9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0B223A"/>
  <w15:docId w15:val="{3A2B2099-9961-4C6F-B125-89B12898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end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832"/>
    <w:pPr>
      <w:snapToGrid w:val="0"/>
      <w:spacing w:after="120"/>
    </w:pPr>
    <w:rPr>
      <w:lang w:val="en-GB"/>
    </w:rPr>
  </w:style>
  <w:style w:type="paragraph" w:styleId="Heading1">
    <w:name w:val="heading 1"/>
    <w:aliases w:val="new page/chapter"/>
    <w:basedOn w:val="Normal"/>
    <w:next w:val="Normalnumber"/>
    <w:link w:val="Heading1Char"/>
    <w:qFormat/>
    <w:rsid w:val="00B405B7"/>
    <w:pPr>
      <w:keepNext/>
      <w:tabs>
        <w:tab w:val="left" w:pos="1247"/>
        <w:tab w:val="left" w:pos="1814"/>
      </w:tabs>
      <w:spacing w:before="240"/>
      <w:ind w:left="1247" w:hanging="680"/>
      <w:outlineLvl w:val="0"/>
    </w:pPr>
    <w:rPr>
      <w:b/>
      <w:sz w:val="28"/>
      <w:lang w:eastAsia="x-none"/>
    </w:rPr>
  </w:style>
  <w:style w:type="paragraph" w:styleId="Heading2">
    <w:name w:val="heading 2"/>
    <w:aliases w:val="Heading 2 (old)"/>
    <w:basedOn w:val="Normal"/>
    <w:next w:val="Normalnumber"/>
    <w:link w:val="Heading2Char"/>
    <w:rsid w:val="00B405B7"/>
    <w:pPr>
      <w:keepNext/>
      <w:spacing w:before="240"/>
      <w:ind w:left="1247" w:hanging="680"/>
      <w:outlineLvl w:val="1"/>
    </w:pPr>
    <w:rPr>
      <w:b/>
      <w:szCs w:val="24"/>
      <w:lang w:eastAsia="x-none"/>
    </w:rPr>
  </w:style>
  <w:style w:type="paragraph" w:styleId="Heading3">
    <w:name w:val="heading 3"/>
    <w:basedOn w:val="Normal"/>
    <w:next w:val="Normalnumber"/>
    <w:autoRedefine/>
    <w:qFormat/>
    <w:rsid w:val="00817D9F"/>
    <w:pPr>
      <w:keepNext/>
      <w:tabs>
        <w:tab w:val="left" w:pos="720"/>
      </w:tabs>
      <w:spacing w:before="240"/>
      <w:jc w:val="both"/>
      <w:outlineLvl w:val="2"/>
    </w:pPr>
    <w:rPr>
      <w:rFonts w:ascii="Times New Roman Bold" w:hAnsi="Times New Roman Bold" w:cs="Arial"/>
      <w:b/>
      <w:bCs/>
      <w:sz w:val="24"/>
      <w:szCs w:val="28"/>
      <w:lang w:val="en-US"/>
    </w:rPr>
  </w:style>
  <w:style w:type="paragraph" w:styleId="Heading4">
    <w:name w:val="heading 4"/>
    <w:basedOn w:val="Heading3"/>
    <w:next w:val="Normalnumber"/>
    <w:qFormat/>
    <w:rsid w:val="007C6054"/>
    <w:pPr>
      <w:outlineLvl w:val="3"/>
    </w:pPr>
    <w:rPr>
      <w:sz w:val="20"/>
    </w:rPr>
  </w:style>
  <w:style w:type="paragraph" w:styleId="Heading5">
    <w:name w:val="heading 5"/>
    <w:basedOn w:val="Normal"/>
    <w:next w:val="Normal"/>
    <w:qFormat/>
    <w:rsid w:val="00247707"/>
    <w:pPr>
      <w:keepNext/>
      <w:numPr>
        <w:ilvl w:val="4"/>
        <w:numId w:val="6"/>
      </w:numPr>
      <w:outlineLvl w:val="4"/>
    </w:pPr>
    <w:rPr>
      <w:rFonts w:ascii="Univers" w:hAnsi="Univers"/>
      <w:b/>
    </w:rPr>
  </w:style>
  <w:style w:type="paragraph" w:styleId="Heading6">
    <w:name w:val="heading 6"/>
    <w:basedOn w:val="Normal"/>
    <w:next w:val="Normal"/>
    <w:qFormat/>
    <w:rsid w:val="00247707"/>
    <w:pPr>
      <w:keepNext/>
      <w:numPr>
        <w:ilvl w:val="5"/>
        <w:numId w:val="6"/>
      </w:numPr>
      <w:outlineLvl w:val="5"/>
    </w:pPr>
    <w:rPr>
      <w:b/>
      <w:bCs/>
    </w:rPr>
  </w:style>
  <w:style w:type="paragraph" w:styleId="Heading7">
    <w:name w:val="heading 7"/>
    <w:basedOn w:val="Normal"/>
    <w:next w:val="Normal"/>
    <w:qFormat/>
    <w:rsid w:val="00247707"/>
    <w:pPr>
      <w:keepNext/>
      <w:widowControl w:val="0"/>
      <w:numPr>
        <w:ilvl w:val="6"/>
        <w:numId w:val="6"/>
      </w:numPr>
      <w:jc w:val="center"/>
      <w:outlineLvl w:val="6"/>
    </w:pPr>
    <w:rPr>
      <w:snapToGrid w:val="0"/>
      <w:u w:val="single"/>
      <w:lang w:val="en-US"/>
    </w:rPr>
  </w:style>
  <w:style w:type="paragraph" w:styleId="Heading8">
    <w:name w:val="heading 8"/>
    <w:basedOn w:val="Normal"/>
    <w:next w:val="Normal"/>
    <w:qFormat/>
    <w:rsid w:val="00247707"/>
    <w:pPr>
      <w:keepNext/>
      <w:widowControl w:val="0"/>
      <w:numPr>
        <w:ilvl w:val="7"/>
        <w:numId w:val="6"/>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247707"/>
    <w:pPr>
      <w:keepNext/>
      <w:widowControl w:val="0"/>
      <w:numPr>
        <w:ilvl w:val="8"/>
        <w:numId w:val="6"/>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B5340"/>
    <w:rPr>
      <w:rFonts w:ascii="Times New Roman" w:hAnsi="Times New Roman"/>
      <w:b/>
      <w:sz w:val="18"/>
    </w:rPr>
  </w:style>
  <w:style w:type="table" w:customStyle="1" w:styleId="Tabledocright">
    <w:name w:val="Table_doc_right"/>
    <w:basedOn w:val="TableNormal"/>
    <w:rsid w:val="00E21C83"/>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2C2C3E"/>
    <w:pPr>
      <w:ind w:left="1000"/>
    </w:pPr>
    <w:rPr>
      <w:sz w:val="18"/>
      <w:szCs w:val="18"/>
    </w:rPr>
  </w:style>
  <w:style w:type="paragraph" w:styleId="TOC7">
    <w:name w:val="toc 7"/>
    <w:basedOn w:val="Normal"/>
    <w:next w:val="Normal"/>
    <w:autoRedefine/>
    <w:uiPriority w:val="39"/>
    <w:rsid w:val="002C2C3E"/>
    <w:pPr>
      <w:ind w:left="1200"/>
    </w:pPr>
    <w:rPr>
      <w:sz w:val="18"/>
      <w:szCs w:val="18"/>
    </w:rPr>
  </w:style>
  <w:style w:type="paragraph" w:styleId="TOC8">
    <w:name w:val="toc 8"/>
    <w:basedOn w:val="Normal"/>
    <w:next w:val="Normal"/>
    <w:autoRedefine/>
    <w:uiPriority w:val="39"/>
    <w:rsid w:val="002C2C3E"/>
    <w:pPr>
      <w:ind w:left="1400"/>
    </w:pPr>
    <w:rPr>
      <w:sz w:val="18"/>
      <w:szCs w:val="18"/>
    </w:rPr>
  </w:style>
  <w:style w:type="paragraph" w:styleId="TOC9">
    <w:name w:val="toc 9"/>
    <w:basedOn w:val="Normal"/>
    <w:next w:val="Normal"/>
    <w:autoRedefine/>
    <w:uiPriority w:val="39"/>
    <w:rsid w:val="002C2C3E"/>
    <w:pPr>
      <w:ind w:left="1600"/>
    </w:pPr>
    <w:rPr>
      <w:sz w:val="18"/>
      <w:szCs w:val="18"/>
    </w:rPr>
  </w:style>
  <w:style w:type="paragraph" w:customStyle="1" w:styleId="Titlefigure">
    <w:name w:val="Title_figure"/>
    <w:basedOn w:val="Titletable"/>
    <w:next w:val="NormalNonumber"/>
    <w:rsid w:val="000247B0"/>
    <w:rPr>
      <w:bCs w:val="0"/>
    </w:rPr>
  </w:style>
  <w:style w:type="paragraph" w:styleId="TableofFigures">
    <w:name w:val="table of figures"/>
    <w:basedOn w:val="Normal"/>
    <w:next w:val="Normal"/>
    <w:autoRedefine/>
    <w:rsid w:val="002A237D"/>
    <w:pPr>
      <w:ind w:left="1814" w:hanging="567"/>
    </w:pPr>
  </w:style>
  <w:style w:type="paragraph" w:customStyle="1" w:styleId="CH1">
    <w:name w:val="CH1"/>
    <w:basedOn w:val="Normal"/>
    <w:next w:val="CH2"/>
    <w:rsid w:val="006303B4"/>
    <w:pPr>
      <w:keepNext/>
      <w:keepLines/>
      <w:tabs>
        <w:tab w:val="right" w:pos="851"/>
        <w:tab w:val="left" w:pos="1247"/>
      </w:tabs>
      <w:suppressAutoHyphens/>
      <w:spacing w:before="240"/>
      <w:ind w:left="1247" w:right="284" w:hanging="1247"/>
    </w:pPr>
    <w:rPr>
      <w:b/>
      <w:sz w:val="28"/>
      <w:szCs w:val="28"/>
    </w:rPr>
  </w:style>
  <w:style w:type="paragraph" w:customStyle="1" w:styleId="CH2">
    <w:name w:val="CH2"/>
    <w:basedOn w:val="Normal"/>
    <w:next w:val="Normalnumber"/>
    <w:link w:val="CH2Char"/>
    <w:qFormat/>
    <w:rsid w:val="00CE524C"/>
    <w:pPr>
      <w:keepNext/>
      <w:keepLines/>
      <w:tabs>
        <w:tab w:val="right" w:pos="851"/>
        <w:tab w:val="left" w:pos="1247"/>
      </w:tabs>
      <w:suppressAutoHyphens/>
      <w:spacing w:before="80"/>
      <w:ind w:left="1247" w:right="284" w:hanging="1247"/>
    </w:pPr>
    <w:rPr>
      <w:b/>
      <w:szCs w:val="24"/>
    </w:rPr>
  </w:style>
  <w:style w:type="paragraph" w:customStyle="1" w:styleId="CH3">
    <w:name w:val="CH3"/>
    <w:basedOn w:val="Normal"/>
    <w:next w:val="Normalnumber"/>
    <w:rsid w:val="006303B4"/>
    <w:pPr>
      <w:keepNext/>
      <w:keepLines/>
      <w:tabs>
        <w:tab w:val="right" w:pos="851"/>
        <w:tab w:val="left" w:pos="1247"/>
      </w:tabs>
      <w:suppressAutoHyphens/>
      <w:ind w:left="1247" w:right="284" w:hanging="1247"/>
    </w:pPr>
    <w:rPr>
      <w:b/>
    </w:rPr>
  </w:style>
  <w:style w:type="paragraph" w:customStyle="1" w:styleId="CH4">
    <w:name w:val="CH4"/>
    <w:basedOn w:val="Normal"/>
    <w:next w:val="Normalnumber"/>
    <w:rsid w:val="004C5C96"/>
    <w:pPr>
      <w:keepNext/>
      <w:keepLines/>
      <w:tabs>
        <w:tab w:val="right" w:pos="851"/>
        <w:tab w:val="left" w:pos="1247"/>
      </w:tabs>
      <w:suppressAutoHyphens/>
      <w:ind w:left="1247" w:right="284" w:hanging="1247"/>
    </w:pPr>
    <w:rPr>
      <w:b/>
    </w:rPr>
  </w:style>
  <w:style w:type="table" w:customStyle="1" w:styleId="Footertable">
    <w:name w:val="Footer_table"/>
    <w:basedOn w:val="TableNormal"/>
    <w:semiHidden/>
    <w:rsid w:val="001F75DE"/>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D8108C"/>
    <w:pPr>
      <w:keepNext/>
      <w:keepLines/>
      <w:tabs>
        <w:tab w:val="right" w:pos="851"/>
        <w:tab w:val="left" w:pos="1247"/>
      </w:tabs>
      <w:suppressAutoHyphens/>
      <w:ind w:left="1247" w:right="284" w:hanging="1247"/>
    </w:pPr>
    <w:rPr>
      <w:b/>
    </w:rPr>
  </w:style>
  <w:style w:type="paragraph" w:styleId="Caption">
    <w:name w:val="caption"/>
    <w:basedOn w:val="Normal"/>
    <w:next w:val="Normal"/>
    <w:qFormat/>
    <w:rsid w:val="00F17288"/>
    <w:pPr>
      <w:widowControl w:val="0"/>
    </w:pPr>
    <w:rPr>
      <w:snapToGrid w:val="0"/>
    </w:rPr>
  </w:style>
  <w:style w:type="paragraph" w:customStyle="1" w:styleId="main">
    <w:name w:val="main"/>
    <w:basedOn w:val="Normal"/>
    <w:autoRedefine/>
    <w:rsid w:val="00F17288"/>
    <w:rPr>
      <w:b/>
    </w:rPr>
  </w:style>
  <w:style w:type="paragraph" w:styleId="Title">
    <w:name w:val="Title"/>
    <w:basedOn w:val="Normal"/>
    <w:link w:val="TitleChar"/>
    <w:autoRedefine/>
    <w:qFormat/>
    <w:rsid w:val="00F17288"/>
    <w:pPr>
      <w:spacing w:before="360" w:after="240"/>
      <w:ind w:left="1247"/>
      <w:outlineLvl w:val="0"/>
    </w:pPr>
    <w:rPr>
      <w:rFonts w:cs="Arial"/>
      <w:b/>
      <w:bCs/>
      <w:kern w:val="28"/>
      <w:sz w:val="28"/>
      <w:szCs w:val="28"/>
    </w:rPr>
  </w:style>
  <w:style w:type="paragraph" w:styleId="BodyText">
    <w:name w:val="Body Text"/>
    <w:basedOn w:val="Normal"/>
    <w:link w:val="BodyTextChar"/>
    <w:autoRedefine/>
    <w:rsid w:val="0023432F"/>
    <w:pPr>
      <w:widowControl w:val="0"/>
      <w:autoSpaceDE w:val="0"/>
      <w:autoSpaceDN w:val="0"/>
      <w:adjustRightInd w:val="0"/>
    </w:pPr>
    <w:rPr>
      <w:color w:val="000000"/>
      <w:lang w:val="en-US" w:eastAsia="zh-CN"/>
    </w:rPr>
  </w:style>
  <w:style w:type="paragraph" w:customStyle="1" w:styleId="Default">
    <w:name w:val="Default"/>
    <w:rsid w:val="002D1965"/>
    <w:pPr>
      <w:autoSpaceDE w:val="0"/>
      <w:autoSpaceDN w:val="0"/>
      <w:adjustRightInd w:val="0"/>
    </w:pPr>
    <w:rPr>
      <w:color w:val="000000"/>
      <w:sz w:val="24"/>
      <w:szCs w:val="24"/>
    </w:rPr>
  </w:style>
  <w:style w:type="paragraph" w:styleId="BodyTextIndent">
    <w:name w:val="Body Text Indent"/>
    <w:basedOn w:val="Normal"/>
    <w:rsid w:val="002D1965"/>
    <w:pPr>
      <w:ind w:left="720"/>
    </w:pPr>
    <w:rPr>
      <w:sz w:val="22"/>
      <w:szCs w:val="24"/>
      <w:lang w:val="en-US"/>
    </w:rPr>
  </w:style>
  <w:style w:type="character" w:styleId="FootnoteReference">
    <w:name w:val="footnote reference"/>
    <w:aliases w:val="16 Point,Superscript 6 Point,ftref,(Ref. de nota al pie),number,SUPERS,Footnote Reference Superscript,Footnote Reference1,Ref,de nota al pie,註腳內容,de nota al pie + (Asian) MS Mincho,11 pt,Ref. de nota de rodapé1,stylish,Footnote symbol"/>
    <w:link w:val="BVIfnrCharCharCharChar"/>
    <w:uiPriority w:val="99"/>
    <w:qFormat/>
    <w:rsid w:val="009B4A0F"/>
    <w:rPr>
      <w:rFonts w:ascii="Times New Roman" w:hAnsi="Times New Roman"/>
      <w:color w:val="auto"/>
      <w:sz w:val="20"/>
      <w:szCs w:val="18"/>
      <w:vertAlign w:val="superscript"/>
    </w:rPr>
  </w:style>
  <w:style w:type="paragraph" w:styleId="FootnoteText">
    <w:name w:val="footnote text"/>
    <w:aliases w:val="Geneva 9,Font: Geneva 9,Boston 10,f,DNV-FT,93,single space,Footnote Text Rail EIS,ft,footnote3,Footnotes,Footnote ak,fn cafc,Footnotes Char Char,Footnote Text Char Char,fn Char Char,Footnote Text Char Char Char Char,Geneva,92,Ch,9"/>
    <w:basedOn w:val="Normal"/>
    <w:link w:val="FootnoteTextChar"/>
    <w:qFormat/>
    <w:rsid w:val="00247707"/>
    <w:pPr>
      <w:spacing w:before="20" w:after="40"/>
      <w:ind w:left="1247"/>
    </w:pPr>
    <w:rPr>
      <w:sz w:val="18"/>
      <w:lang w:eastAsia="x-none"/>
    </w:rPr>
  </w:style>
  <w:style w:type="paragraph" w:styleId="BalloonText">
    <w:name w:val="Balloon Text"/>
    <w:basedOn w:val="Normal"/>
    <w:link w:val="BalloonTextChar"/>
    <w:rsid w:val="002D1965"/>
    <w:rPr>
      <w:rFonts w:ascii="Tahoma" w:hAnsi="Tahoma"/>
      <w:sz w:val="16"/>
      <w:szCs w:val="16"/>
      <w:lang w:val="x-none" w:eastAsia="x-none"/>
    </w:rPr>
  </w:style>
  <w:style w:type="character" w:styleId="FollowedHyperlink">
    <w:name w:val="FollowedHyperlink"/>
    <w:uiPriority w:val="99"/>
    <w:rsid w:val="002D1965"/>
    <w:rPr>
      <w:color w:val="800080"/>
      <w:u w:val="single"/>
    </w:rPr>
  </w:style>
  <w:style w:type="character" w:customStyle="1" w:styleId="Katarina">
    <w:name w:val="Katarina"/>
    <w:rsid w:val="002D1965"/>
    <w:rPr>
      <w:rFonts w:ascii="Arial" w:hAnsi="Arial" w:cs="Arial"/>
      <w:color w:val="auto"/>
      <w:sz w:val="20"/>
      <w:szCs w:val="20"/>
    </w:rPr>
  </w:style>
  <w:style w:type="paragraph" w:styleId="DocumentMap">
    <w:name w:val="Document Map"/>
    <w:basedOn w:val="Normal"/>
    <w:rsid w:val="002D1965"/>
    <w:pPr>
      <w:shd w:val="clear" w:color="auto" w:fill="000080"/>
    </w:pPr>
    <w:rPr>
      <w:rFonts w:ascii="Tahoma" w:hAnsi="Tahoma" w:cs="Tahoma"/>
      <w:lang w:val="en-US"/>
    </w:rPr>
  </w:style>
  <w:style w:type="paragraph" w:customStyle="1" w:styleId="GMPHeading1">
    <w:name w:val="GMP Heading 1"/>
    <w:basedOn w:val="Heading1"/>
    <w:autoRedefine/>
    <w:qFormat/>
    <w:rsid w:val="002A04E0"/>
    <w:pPr>
      <w:tabs>
        <w:tab w:val="clear" w:pos="1247"/>
        <w:tab w:val="clear" w:pos="1814"/>
        <w:tab w:val="left" w:pos="720"/>
      </w:tabs>
      <w:ind w:left="0" w:firstLine="0"/>
    </w:pPr>
    <w:rPr>
      <w:rFonts w:ascii="Times New Roman Bold" w:hAnsi="Times New Roman Bold"/>
      <w:bCs/>
      <w:snapToGrid w:val="0"/>
      <w:szCs w:val="28"/>
      <w:lang w:val="en-US"/>
    </w:rPr>
  </w:style>
  <w:style w:type="paragraph" w:styleId="BodyText3">
    <w:name w:val="Body Text 3"/>
    <w:basedOn w:val="Normal"/>
    <w:rsid w:val="002D1965"/>
    <w:rPr>
      <w:sz w:val="16"/>
      <w:szCs w:val="16"/>
      <w:lang w:val="en-US"/>
    </w:rPr>
  </w:style>
  <w:style w:type="paragraph" w:styleId="BodyText2">
    <w:name w:val="Body Text 2"/>
    <w:basedOn w:val="Normal"/>
    <w:rsid w:val="002D1965"/>
    <w:pPr>
      <w:spacing w:line="480" w:lineRule="auto"/>
    </w:pPr>
    <w:rPr>
      <w:szCs w:val="24"/>
      <w:lang w:val="en-US"/>
    </w:rPr>
  </w:style>
  <w:style w:type="paragraph" w:customStyle="1" w:styleId="GMPHeading2">
    <w:name w:val="GMP Heading 2"/>
    <w:basedOn w:val="Heading2"/>
    <w:autoRedefine/>
    <w:qFormat/>
    <w:rsid w:val="00817D9F"/>
    <w:pPr>
      <w:tabs>
        <w:tab w:val="left" w:pos="360"/>
        <w:tab w:val="left" w:pos="450"/>
        <w:tab w:val="left" w:pos="540"/>
        <w:tab w:val="left" w:pos="630"/>
      </w:tabs>
      <w:ind w:left="720" w:hanging="720"/>
    </w:pPr>
    <w:rPr>
      <w:rFonts w:ascii="Times New Roman Bold" w:hAnsi="Times New Roman Bold"/>
      <w:bCs/>
      <w:kern w:val="32"/>
      <w:sz w:val="28"/>
      <w:szCs w:val="28"/>
      <w:lang w:val="en-US"/>
    </w:rPr>
  </w:style>
  <w:style w:type="character" w:customStyle="1" w:styleId="text">
    <w:name w:val="text"/>
    <w:basedOn w:val="DefaultParagraphFont"/>
    <w:rsid w:val="002D1965"/>
  </w:style>
  <w:style w:type="paragraph" w:customStyle="1" w:styleId="Heading31">
    <w:name w:val="Heading 31"/>
    <w:basedOn w:val="Heading2"/>
    <w:autoRedefine/>
    <w:rsid w:val="002D1965"/>
    <w:pPr>
      <w:spacing w:after="240"/>
      <w:ind w:left="0" w:firstLine="0"/>
      <w:outlineLvl w:val="2"/>
    </w:pPr>
    <w:rPr>
      <w:rFonts w:ascii="Times New Roman Bold" w:hAnsi="Times New Roman Bold"/>
      <w:bCs/>
      <w:iCs/>
      <w:sz w:val="27"/>
      <w:szCs w:val="27"/>
    </w:rPr>
  </w:style>
  <w:style w:type="paragraph" w:customStyle="1" w:styleId="Heading41">
    <w:name w:val="Heading 41"/>
    <w:basedOn w:val="Heading3"/>
    <w:autoRedefine/>
    <w:rsid w:val="002D1965"/>
    <w:pPr>
      <w:autoSpaceDE w:val="0"/>
      <w:autoSpaceDN w:val="0"/>
      <w:adjustRightInd w:val="0"/>
      <w:spacing w:before="360" w:after="180"/>
      <w:ind w:left="900" w:hanging="900"/>
    </w:pPr>
    <w:rPr>
      <w:rFonts w:ascii="TimesNewRoman,Bold" w:hAnsi="TimesNewRoman,Bold" w:cs="TimesNewRoman,Bold"/>
      <w:color w:val="000000"/>
      <w:szCs w:val="24"/>
    </w:rPr>
  </w:style>
  <w:style w:type="paragraph" w:customStyle="1" w:styleId="withoutheading">
    <w:name w:val="without heading"/>
    <w:basedOn w:val="Heading41"/>
    <w:autoRedefine/>
    <w:rsid w:val="00C36C20"/>
    <w:pPr>
      <w:keepLines/>
      <w:spacing w:before="120" w:after="0"/>
      <w:ind w:left="0" w:firstLine="0"/>
    </w:pPr>
    <w:rPr>
      <w:rFonts w:ascii="Times New Roman" w:hAnsi="Times New Roman" w:cs="Times New Roman"/>
      <w:iCs/>
      <w:sz w:val="22"/>
      <w:szCs w:val="22"/>
    </w:rPr>
  </w:style>
  <w:style w:type="table" w:styleId="TableGrid">
    <w:name w:val="Table Grid"/>
    <w:basedOn w:val="TableNormal"/>
    <w:uiPriority w:val="39"/>
    <w:rsid w:val="002D1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2D1965"/>
    <w:pPr>
      <w:numPr>
        <w:numId w:val="3"/>
      </w:numPr>
    </w:pPr>
  </w:style>
  <w:style w:type="numbering" w:styleId="111111">
    <w:name w:val="Outline List 2"/>
    <w:basedOn w:val="NoList"/>
    <w:rsid w:val="002D1965"/>
    <w:pPr>
      <w:numPr>
        <w:numId w:val="4"/>
      </w:numPr>
    </w:pPr>
  </w:style>
  <w:style w:type="paragraph" w:customStyle="1" w:styleId="StyleHeading2TimesNewRomanNotItalicAfter6ptLeft">
    <w:name w:val="Style Heading 2 + Times New Roman Not Italic After:  6 pt + Left:  ..."/>
    <w:basedOn w:val="GMPHeading2"/>
    <w:autoRedefine/>
    <w:rsid w:val="002D1965"/>
    <w:rPr>
      <w:szCs w:val="20"/>
    </w:rPr>
  </w:style>
  <w:style w:type="paragraph" w:customStyle="1" w:styleId="StyleBodyTextBold">
    <w:name w:val="Style Body Text + Bold"/>
    <w:basedOn w:val="BodyText"/>
    <w:link w:val="StyleBodyTextBoldChar"/>
    <w:rsid w:val="002D1965"/>
    <w:rPr>
      <w:b/>
      <w:bCs/>
    </w:rPr>
  </w:style>
  <w:style w:type="character" w:customStyle="1" w:styleId="BodyTextChar">
    <w:name w:val="Body Text Char"/>
    <w:link w:val="BodyText"/>
    <w:rsid w:val="0023432F"/>
    <w:rPr>
      <w:color w:val="000000"/>
      <w:lang w:eastAsia="zh-CN"/>
    </w:rPr>
  </w:style>
  <w:style w:type="character" w:customStyle="1" w:styleId="StyleBodyTextBoldChar">
    <w:name w:val="Style Body Text + Bold Char"/>
    <w:link w:val="StyleBodyTextBold"/>
    <w:rsid w:val="002D1965"/>
    <w:rPr>
      <w:b/>
      <w:bCs/>
      <w:color w:val="000000"/>
      <w:sz w:val="22"/>
      <w:szCs w:val="22"/>
    </w:rPr>
  </w:style>
  <w:style w:type="paragraph" w:customStyle="1" w:styleId="StyleHeading2TimesNewRomanNotItalicAfter6ptLeft1">
    <w:name w:val="Style Heading 2 + Times New Roman Not Italic After:  6 pt + Left:  ...1"/>
    <w:basedOn w:val="GMPHeading2"/>
    <w:autoRedefine/>
    <w:rsid w:val="002D1965"/>
    <w:pPr>
      <w:ind w:left="0"/>
    </w:pPr>
    <w:rPr>
      <w:smallCaps/>
    </w:rPr>
  </w:style>
  <w:style w:type="paragraph" w:styleId="NormalWeb">
    <w:name w:val="Normal (Web)"/>
    <w:basedOn w:val="Normal"/>
    <w:uiPriority w:val="99"/>
    <w:rsid w:val="002D1965"/>
    <w:pPr>
      <w:spacing w:before="100" w:beforeAutospacing="1" w:after="100" w:afterAutospacing="1"/>
    </w:pPr>
    <w:rPr>
      <w:rFonts w:eastAsia="SimSun"/>
      <w:szCs w:val="24"/>
      <w:lang w:val="en-US"/>
    </w:rPr>
  </w:style>
  <w:style w:type="character" w:styleId="Emphasis">
    <w:name w:val="Emphasis"/>
    <w:qFormat/>
    <w:rsid w:val="002D1965"/>
    <w:rPr>
      <w:i/>
      <w:iCs/>
    </w:rPr>
  </w:style>
  <w:style w:type="paragraph" w:customStyle="1" w:styleId="Char">
    <w:name w:val="Char"/>
    <w:basedOn w:val="Normal"/>
    <w:rsid w:val="002D1965"/>
    <w:pPr>
      <w:spacing w:after="160" w:line="240" w:lineRule="exact"/>
    </w:pPr>
    <w:rPr>
      <w:rFonts w:ascii="Tahoma" w:hAnsi="Tahoma"/>
      <w:lang w:val="en-US"/>
    </w:rPr>
  </w:style>
  <w:style w:type="character" w:styleId="CommentReference">
    <w:name w:val="annotation reference"/>
    <w:uiPriority w:val="99"/>
    <w:rsid w:val="002D1965"/>
    <w:rPr>
      <w:sz w:val="16"/>
      <w:szCs w:val="16"/>
    </w:rPr>
  </w:style>
  <w:style w:type="paragraph" w:styleId="CommentText">
    <w:name w:val="annotation text"/>
    <w:basedOn w:val="Normal"/>
    <w:link w:val="CommentTextChar"/>
    <w:uiPriority w:val="99"/>
    <w:rsid w:val="002D1965"/>
    <w:rPr>
      <w:rFonts w:eastAsia="SimSun"/>
      <w:lang w:val="en-US"/>
    </w:rPr>
  </w:style>
  <w:style w:type="paragraph" w:customStyle="1" w:styleId="Paralevel1">
    <w:name w:val="Para level1"/>
    <w:basedOn w:val="Normal"/>
    <w:rsid w:val="002D1965"/>
    <w:pPr>
      <w:numPr>
        <w:numId w:val="5"/>
      </w:numPr>
      <w:suppressAutoHyphens/>
    </w:pPr>
    <w:rPr>
      <w:lang w:val="en-US"/>
    </w:rPr>
  </w:style>
  <w:style w:type="paragraph" w:customStyle="1" w:styleId="CharCharCharCharCharCharCharCharCharCharCharCharChar">
    <w:name w:val="Char Char Char Char Char Char Char Char Char Char Char Char Char"/>
    <w:basedOn w:val="Normal"/>
    <w:rsid w:val="002D1965"/>
    <w:pPr>
      <w:spacing w:after="160" w:line="240" w:lineRule="exact"/>
    </w:pPr>
    <w:rPr>
      <w:rFonts w:ascii="Tahoma" w:hAnsi="Tahoma"/>
      <w:lang w:val="en-US"/>
    </w:rPr>
  </w:style>
  <w:style w:type="paragraph" w:styleId="CommentSubject">
    <w:name w:val="annotation subject"/>
    <w:basedOn w:val="CommentText"/>
    <w:next w:val="CommentText"/>
    <w:link w:val="CommentSubjectChar"/>
    <w:rsid w:val="002D1965"/>
    <w:rPr>
      <w:b/>
      <w:bCs/>
    </w:rPr>
  </w:style>
  <w:style w:type="character" w:customStyle="1" w:styleId="CommentTextChar">
    <w:name w:val="Comment Text Char"/>
    <w:link w:val="CommentText"/>
    <w:uiPriority w:val="99"/>
    <w:rsid w:val="002D1965"/>
    <w:rPr>
      <w:rFonts w:eastAsia="SimSun"/>
      <w:lang w:val="en-US" w:eastAsia="en-US" w:bidi="ar-SA"/>
    </w:rPr>
  </w:style>
  <w:style w:type="character" w:customStyle="1" w:styleId="CommentSubjectChar">
    <w:name w:val="Comment Subject Char"/>
    <w:link w:val="CommentSubject"/>
    <w:rsid w:val="002D1965"/>
    <w:rPr>
      <w:rFonts w:eastAsia="SimSun"/>
      <w:b/>
      <w:bCs/>
      <w:lang w:val="en-US" w:eastAsia="en-US" w:bidi="ar-SA"/>
    </w:rPr>
  </w:style>
  <w:style w:type="paragraph" w:styleId="TOCHeading">
    <w:name w:val="TOC Heading"/>
    <w:basedOn w:val="Heading1"/>
    <w:next w:val="Normal"/>
    <w:qFormat/>
    <w:rsid w:val="002D1965"/>
    <w:pPr>
      <w:keepLines/>
      <w:tabs>
        <w:tab w:val="clear" w:pos="1247"/>
        <w:tab w:val="clear" w:pos="1814"/>
      </w:tabs>
      <w:spacing w:before="480" w:after="0" w:line="276" w:lineRule="auto"/>
      <w:ind w:left="0" w:firstLine="0"/>
      <w:outlineLvl w:val="9"/>
    </w:pPr>
    <w:rPr>
      <w:rFonts w:ascii="Cambria" w:hAnsi="Cambria"/>
      <w:bCs/>
      <w:color w:val="365F91"/>
      <w:szCs w:val="28"/>
      <w:lang w:val="en-US"/>
    </w:rPr>
  </w:style>
  <w:style w:type="paragraph" w:styleId="ListParagraph">
    <w:name w:val="List Paragraph"/>
    <w:basedOn w:val="Normal"/>
    <w:qFormat/>
    <w:rsid w:val="002D1965"/>
    <w:pPr>
      <w:ind w:left="720"/>
    </w:pPr>
    <w:rPr>
      <w:szCs w:val="24"/>
      <w:lang w:val="en-US"/>
    </w:rPr>
  </w:style>
  <w:style w:type="character" w:customStyle="1" w:styleId="databold">
    <w:name w:val="data_bold"/>
    <w:basedOn w:val="DefaultParagraphFont"/>
    <w:rsid w:val="002D1965"/>
  </w:style>
  <w:style w:type="character" w:customStyle="1" w:styleId="doilink">
    <w:name w:val="doilink"/>
    <w:basedOn w:val="DefaultParagraphFont"/>
    <w:rsid w:val="002D1965"/>
  </w:style>
  <w:style w:type="character" w:styleId="Strong">
    <w:name w:val="Strong"/>
    <w:uiPriority w:val="22"/>
    <w:qFormat/>
    <w:rsid w:val="002D1965"/>
    <w:rPr>
      <w:b/>
      <w:bCs/>
    </w:rPr>
  </w:style>
  <w:style w:type="paragraph" w:styleId="NoSpacing">
    <w:name w:val="No Spacing"/>
    <w:uiPriority w:val="1"/>
    <w:qFormat/>
    <w:rsid w:val="002D1965"/>
    <w:rPr>
      <w:rFonts w:ascii="Calibri" w:eastAsia="Calibri" w:hAnsi="Calibri"/>
      <w:sz w:val="22"/>
      <w:szCs w:val="22"/>
    </w:rPr>
  </w:style>
  <w:style w:type="table" w:styleId="TableSimple1">
    <w:name w:val="Table Simple 1"/>
    <w:basedOn w:val="TableNormal"/>
    <w:rsid w:val="002D196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h4">
    <w:name w:val="h4"/>
    <w:basedOn w:val="Normal"/>
    <w:rsid w:val="002D1965"/>
    <w:pPr>
      <w:spacing w:before="100" w:beforeAutospacing="1" w:after="100" w:afterAutospacing="1"/>
    </w:pPr>
    <w:rPr>
      <w:szCs w:val="24"/>
      <w:lang w:val="en-US"/>
    </w:rPr>
  </w:style>
  <w:style w:type="paragraph" w:styleId="Revision">
    <w:name w:val="Revision"/>
    <w:hidden/>
    <w:semiHidden/>
    <w:rsid w:val="002D1965"/>
    <w:rPr>
      <w:sz w:val="24"/>
      <w:szCs w:val="24"/>
    </w:rPr>
  </w:style>
  <w:style w:type="character" w:styleId="LineNumber">
    <w:name w:val="line number"/>
    <w:basedOn w:val="DefaultParagraphFont"/>
    <w:rsid w:val="002D1965"/>
  </w:style>
  <w:style w:type="character" w:customStyle="1" w:styleId="FooterChar">
    <w:name w:val="Footer Char"/>
    <w:link w:val="Footer"/>
    <w:uiPriority w:val="99"/>
    <w:rsid w:val="002D1965"/>
    <w:rPr>
      <w:sz w:val="24"/>
      <w:lang w:val="en-GB" w:eastAsia="en-US" w:bidi="ar-SA"/>
    </w:rPr>
  </w:style>
  <w:style w:type="character" w:customStyle="1" w:styleId="TitleChar">
    <w:name w:val="Title Char"/>
    <w:link w:val="Title"/>
    <w:rsid w:val="002D1965"/>
    <w:rPr>
      <w:rFonts w:cs="Arial"/>
      <w:b/>
      <w:bCs/>
      <w:kern w:val="28"/>
      <w:sz w:val="28"/>
      <w:szCs w:val="28"/>
      <w:lang w:val="en-GB" w:eastAsia="en-US" w:bidi="ar-SA"/>
    </w:rPr>
  </w:style>
  <w:style w:type="paragraph" w:customStyle="1" w:styleId="Subtitle1">
    <w:name w:val="Subtitle1"/>
    <w:basedOn w:val="Heading2"/>
    <w:rsid w:val="002D1965"/>
    <w:pPr>
      <w:spacing w:before="0" w:after="0"/>
      <w:ind w:firstLine="0"/>
    </w:pPr>
  </w:style>
  <w:style w:type="character" w:customStyle="1" w:styleId="FootnoteTextChar">
    <w:name w:val="Footnote Text Char"/>
    <w:aliases w:val="Geneva 9 Char,Font: Geneva 9 Char,Boston 10 Char,f Char,DNV-FT Char,93 Char,single space Char,Footnote Text Rail EIS Char,ft Char,footnote3 Char,Footnotes Char,Footnote ak Char,fn cafc Char,Footnotes Char Char Char,fn Char Char Char"/>
    <w:link w:val="FootnoteText"/>
    <w:rsid w:val="00C96F65"/>
    <w:rPr>
      <w:sz w:val="18"/>
      <w:lang w:val="en-GB"/>
    </w:rPr>
  </w:style>
  <w:style w:type="character" w:customStyle="1" w:styleId="HeaderChar">
    <w:name w:val="Header Char"/>
    <w:link w:val="Header"/>
    <w:uiPriority w:val="99"/>
    <w:rsid w:val="00C96F65"/>
    <w:rPr>
      <w:b/>
      <w:sz w:val="18"/>
      <w:lang w:val="en-GB"/>
    </w:rPr>
  </w:style>
  <w:style w:type="paragraph" w:styleId="EndnoteText">
    <w:name w:val="endnote text"/>
    <w:basedOn w:val="Normal"/>
    <w:link w:val="EndnoteTextChar"/>
    <w:unhideWhenUsed/>
    <w:rsid w:val="0055165A"/>
    <w:pPr>
      <w:spacing w:after="200" w:line="276" w:lineRule="auto"/>
      <w:jc w:val="both"/>
    </w:pPr>
    <w:rPr>
      <w:rFonts w:ascii="Calibri" w:eastAsia="Calibri" w:hAnsi="Calibri"/>
      <w:lang w:val="x-none" w:eastAsia="x-none"/>
    </w:rPr>
  </w:style>
  <w:style w:type="character" w:customStyle="1" w:styleId="EndnoteTextChar">
    <w:name w:val="Endnote Text Char"/>
    <w:link w:val="EndnoteText"/>
    <w:rsid w:val="0055165A"/>
    <w:rPr>
      <w:rFonts w:ascii="Calibri" w:eastAsia="Calibri" w:hAnsi="Calibri"/>
      <w:lang w:val="x-none"/>
    </w:rPr>
  </w:style>
  <w:style w:type="character" w:styleId="EndnoteReference">
    <w:name w:val="endnote reference"/>
    <w:uiPriority w:val="99"/>
    <w:unhideWhenUsed/>
    <w:rsid w:val="0055165A"/>
    <w:rPr>
      <w:vertAlign w:val="superscript"/>
    </w:rPr>
  </w:style>
  <w:style w:type="paragraph" w:styleId="ListBullet">
    <w:name w:val="List Bullet"/>
    <w:basedOn w:val="Normal"/>
    <w:unhideWhenUsed/>
    <w:rsid w:val="0055165A"/>
    <w:pPr>
      <w:numPr>
        <w:numId w:val="7"/>
      </w:numPr>
      <w:spacing w:after="200" w:line="276" w:lineRule="auto"/>
      <w:contextualSpacing/>
      <w:jc w:val="both"/>
    </w:pPr>
    <w:rPr>
      <w:rFonts w:eastAsia="Calibri"/>
      <w:szCs w:val="22"/>
      <w:lang w:val="cs-CZ"/>
    </w:rPr>
  </w:style>
  <w:style w:type="character" w:customStyle="1" w:styleId="Heading1Char">
    <w:name w:val="Heading 1 Char"/>
    <w:aliases w:val="new page/chapter Char"/>
    <w:link w:val="Heading1"/>
    <w:rsid w:val="0055165A"/>
    <w:rPr>
      <w:b/>
      <w:sz w:val="28"/>
      <w:lang w:val="en-GB"/>
    </w:rPr>
  </w:style>
  <w:style w:type="character" w:customStyle="1" w:styleId="Heading2Char">
    <w:name w:val="Heading 2 Char"/>
    <w:aliases w:val="Heading 2 (old) Char"/>
    <w:link w:val="Heading2"/>
    <w:rsid w:val="0055165A"/>
    <w:rPr>
      <w:b/>
      <w:sz w:val="24"/>
      <w:szCs w:val="24"/>
      <w:lang w:val="en-GB"/>
    </w:rPr>
  </w:style>
  <w:style w:type="character" w:customStyle="1" w:styleId="hps">
    <w:name w:val="hps"/>
    <w:basedOn w:val="DefaultParagraphFont"/>
    <w:rsid w:val="0055165A"/>
  </w:style>
  <w:style w:type="character" w:customStyle="1" w:styleId="shorttext">
    <w:name w:val="short_text"/>
    <w:basedOn w:val="DefaultParagraphFont"/>
    <w:rsid w:val="0055165A"/>
  </w:style>
  <w:style w:type="character" w:customStyle="1" w:styleId="BalloonTextChar">
    <w:name w:val="Balloon Text Char"/>
    <w:link w:val="BalloonText"/>
    <w:rsid w:val="0055165A"/>
    <w:rPr>
      <w:rFonts w:ascii="Tahoma" w:hAnsi="Tahoma" w:cs="Tahoma"/>
      <w:sz w:val="16"/>
      <w:szCs w:val="16"/>
    </w:rPr>
  </w:style>
  <w:style w:type="paragraph" w:customStyle="1" w:styleId="Normal-pool">
    <w:name w:val="Normal-pool"/>
    <w:link w:val="Normal-poolChar"/>
    <w:qFormat/>
    <w:rsid w:val="008C6CD2"/>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qFormat/>
    <w:rsid w:val="0008262E"/>
    <w:rPr>
      <w:lang w:val="en-GB" w:eastAsia="x-none"/>
    </w:rPr>
  </w:style>
  <w:style w:type="paragraph" w:customStyle="1" w:styleId="USAIDbullet1">
    <w:name w:val="USAID bullet 1"/>
    <w:basedOn w:val="Normal"/>
    <w:rsid w:val="002C6940"/>
    <w:pPr>
      <w:numPr>
        <w:numId w:val="8"/>
      </w:numPr>
    </w:pPr>
  </w:style>
  <w:style w:type="table" w:customStyle="1" w:styleId="AATable">
    <w:name w:val="AA_Table"/>
    <w:basedOn w:val="TableNormal"/>
    <w:rsid w:val="00651BFA"/>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1600" w:afterAutospacing="0"/>
        <w:ind w:rightChars="0" w:right="0"/>
      </w:pPr>
      <w:rPr>
        <w:rFonts w:ascii="Times New Roman" w:hAnsi="Times New Roman"/>
      </w:rPr>
    </w:tblStylePr>
  </w:style>
  <w:style w:type="paragraph" w:customStyle="1" w:styleId="AATitle">
    <w:name w:val="AA_Title"/>
    <w:basedOn w:val="Normal"/>
    <w:qFormat/>
    <w:rsid w:val="00A469FA"/>
    <w:pPr>
      <w:keepNext/>
      <w:keepLines/>
      <w:suppressAutoHyphens/>
      <w:ind w:right="3402"/>
    </w:pPr>
    <w:rPr>
      <w:b/>
    </w:rPr>
  </w:style>
  <w:style w:type="paragraph" w:customStyle="1" w:styleId="AATitle2">
    <w:name w:val="AA_Title2"/>
    <w:basedOn w:val="AATitle"/>
    <w:rsid w:val="006431A6"/>
    <w:pPr>
      <w:spacing w:before="120"/>
      <w:ind w:right="1701"/>
    </w:pPr>
  </w:style>
  <w:style w:type="paragraph" w:customStyle="1" w:styleId="BBTitle">
    <w:name w:val="BB_Title"/>
    <w:basedOn w:val="Normal"/>
    <w:link w:val="BBTitleChar"/>
    <w:qFormat/>
    <w:rsid w:val="0009640C"/>
    <w:pPr>
      <w:keepNext/>
      <w:keepLines/>
      <w:suppressAutoHyphens/>
      <w:spacing w:before="320" w:after="240"/>
      <w:ind w:left="1247" w:right="567"/>
    </w:pPr>
    <w:rPr>
      <w:b/>
      <w:sz w:val="28"/>
      <w:szCs w:val="28"/>
    </w:rPr>
  </w:style>
  <w:style w:type="paragraph" w:styleId="Footer">
    <w:name w:val="footer"/>
    <w:basedOn w:val="Normal"/>
    <w:link w:val="FooterChar"/>
    <w:uiPriority w:val="99"/>
    <w:rsid w:val="00082A0C"/>
    <w:pPr>
      <w:tabs>
        <w:tab w:val="center" w:pos="4320"/>
        <w:tab w:val="right" w:pos="8640"/>
      </w:tabs>
      <w:spacing w:before="60"/>
    </w:pPr>
  </w:style>
  <w:style w:type="paragraph" w:styleId="Header">
    <w:name w:val="header"/>
    <w:basedOn w:val="Normal"/>
    <w:link w:val="HeaderChar"/>
    <w:uiPriority w:val="99"/>
    <w:rsid w:val="00AB5340"/>
    <w:pPr>
      <w:pBdr>
        <w:bottom w:val="single" w:sz="4" w:space="1" w:color="auto"/>
      </w:pBdr>
      <w:tabs>
        <w:tab w:val="center" w:pos="4536"/>
        <w:tab w:val="right" w:pos="9072"/>
      </w:tabs>
    </w:pPr>
    <w:rPr>
      <w:b/>
      <w:sz w:val="18"/>
      <w:lang w:eastAsia="x-none"/>
    </w:rPr>
  </w:style>
  <w:style w:type="character" w:styleId="Hyperlink">
    <w:name w:val="Hyperlink"/>
    <w:uiPriority w:val="99"/>
    <w:rsid w:val="00715E88"/>
    <w:rPr>
      <w:rFonts w:ascii="Times New Roman" w:hAnsi="Times New Roman"/>
      <w:color w:val="auto"/>
      <w:sz w:val="20"/>
      <w:szCs w:val="20"/>
      <w:u w:val="none"/>
      <w:lang w:val="fr-FR"/>
    </w:rPr>
  </w:style>
  <w:style w:type="numbering" w:customStyle="1" w:styleId="Normallist">
    <w:name w:val="Normal_list"/>
    <w:basedOn w:val="NoList"/>
    <w:rsid w:val="00071886"/>
    <w:pPr>
      <w:numPr>
        <w:numId w:val="1"/>
      </w:numPr>
    </w:pPr>
  </w:style>
  <w:style w:type="paragraph" w:customStyle="1" w:styleId="NormalNonumber">
    <w:name w:val="Normal_No_number"/>
    <w:basedOn w:val="Normal"/>
    <w:rsid w:val="004C5C96"/>
    <w:pPr>
      <w:ind w:left="1247"/>
    </w:pPr>
  </w:style>
  <w:style w:type="paragraph" w:customStyle="1" w:styleId="Normalnumber">
    <w:name w:val="Normal_number"/>
    <w:basedOn w:val="Normal"/>
    <w:link w:val="NormalnumberChar"/>
    <w:qFormat/>
    <w:rsid w:val="002D1965"/>
    <w:pPr>
      <w:numPr>
        <w:numId w:val="2"/>
      </w:numPr>
    </w:pPr>
    <w:rPr>
      <w:lang w:eastAsia="x-none"/>
    </w:rPr>
  </w:style>
  <w:style w:type="paragraph" w:customStyle="1" w:styleId="Titletable">
    <w:name w:val="Title_table"/>
    <w:basedOn w:val="Normal"/>
    <w:rsid w:val="000247B0"/>
    <w:pPr>
      <w:keepNext/>
      <w:keepLines/>
      <w:suppressAutoHyphens/>
      <w:spacing w:after="60"/>
      <w:ind w:left="1247"/>
    </w:pPr>
    <w:rPr>
      <w:b/>
      <w:bCs/>
    </w:rPr>
  </w:style>
  <w:style w:type="paragraph" w:styleId="TOC1">
    <w:name w:val="toc 1"/>
    <w:basedOn w:val="Normal"/>
    <w:next w:val="Normal"/>
    <w:uiPriority w:val="39"/>
    <w:rsid w:val="003F0E85"/>
    <w:pPr>
      <w:tabs>
        <w:tab w:val="left" w:pos="1814"/>
        <w:tab w:val="right" w:leader="dot" w:pos="9486"/>
      </w:tabs>
      <w:spacing w:before="120"/>
      <w:ind w:left="1814" w:hanging="567"/>
    </w:pPr>
    <w:rPr>
      <w:bCs/>
    </w:rPr>
  </w:style>
  <w:style w:type="paragraph" w:styleId="TOC2">
    <w:name w:val="toc 2"/>
    <w:basedOn w:val="Normal"/>
    <w:next w:val="Normal"/>
    <w:uiPriority w:val="39"/>
    <w:rsid w:val="002C2C3E"/>
    <w:pPr>
      <w:tabs>
        <w:tab w:val="left" w:pos="2381"/>
        <w:tab w:val="right" w:leader="dot" w:pos="9486"/>
      </w:tabs>
      <w:ind w:left="2381" w:hanging="567"/>
    </w:pPr>
  </w:style>
  <w:style w:type="paragraph" w:styleId="TOC3">
    <w:name w:val="toc 3"/>
    <w:basedOn w:val="Normal"/>
    <w:next w:val="Normal"/>
    <w:uiPriority w:val="39"/>
    <w:rsid w:val="002929D8"/>
    <w:pPr>
      <w:tabs>
        <w:tab w:val="right" w:leader="dot" w:pos="9486"/>
      </w:tabs>
      <w:ind w:left="2948" w:hanging="567"/>
    </w:pPr>
    <w:rPr>
      <w:iCs/>
    </w:rPr>
  </w:style>
  <w:style w:type="paragraph" w:styleId="TOC4">
    <w:name w:val="toc 4"/>
    <w:basedOn w:val="Normal"/>
    <w:next w:val="Normal"/>
    <w:uiPriority w:val="39"/>
    <w:rsid w:val="002929D8"/>
    <w:pPr>
      <w:tabs>
        <w:tab w:val="left" w:pos="1000"/>
        <w:tab w:val="right" w:leader="dot" w:pos="9486"/>
      </w:tabs>
      <w:ind w:left="3515" w:hanging="567"/>
    </w:pPr>
    <w:rPr>
      <w:szCs w:val="18"/>
    </w:rPr>
  </w:style>
  <w:style w:type="paragraph" w:styleId="TOC5">
    <w:name w:val="toc 5"/>
    <w:basedOn w:val="Normal"/>
    <w:next w:val="Normal"/>
    <w:autoRedefine/>
    <w:uiPriority w:val="39"/>
    <w:rsid w:val="00247707"/>
    <w:pPr>
      <w:ind w:left="800"/>
    </w:pPr>
    <w:rPr>
      <w:sz w:val="18"/>
      <w:szCs w:val="18"/>
    </w:rPr>
  </w:style>
  <w:style w:type="paragraph" w:customStyle="1" w:styleId="ZZAnxheader">
    <w:name w:val="ZZ_Anx_header"/>
    <w:basedOn w:val="Normal"/>
    <w:rsid w:val="00715E88"/>
    <w:rPr>
      <w:b/>
      <w:bCs/>
      <w:sz w:val="28"/>
      <w:szCs w:val="22"/>
    </w:rPr>
  </w:style>
  <w:style w:type="paragraph" w:customStyle="1" w:styleId="ZZAnxtitle">
    <w:name w:val="ZZ_Anx_title"/>
    <w:basedOn w:val="Normal"/>
    <w:rsid w:val="00715E88"/>
    <w:pPr>
      <w:spacing w:before="360"/>
      <w:ind w:left="1247"/>
    </w:pPr>
    <w:rPr>
      <w:b/>
      <w:bCs/>
      <w:sz w:val="28"/>
      <w:szCs w:val="26"/>
    </w:rPr>
  </w:style>
  <w:style w:type="paragraph" w:customStyle="1" w:styleId="Heading32">
    <w:name w:val="Heading 32"/>
    <w:basedOn w:val="Heading2"/>
    <w:autoRedefine/>
    <w:rsid w:val="00D57E94"/>
    <w:pPr>
      <w:spacing w:after="240"/>
      <w:ind w:left="0" w:firstLine="0"/>
      <w:outlineLvl w:val="2"/>
    </w:pPr>
    <w:rPr>
      <w:rFonts w:ascii="Times New Roman Bold" w:hAnsi="Times New Roman Bold"/>
      <w:bCs/>
      <w:iCs/>
      <w:sz w:val="27"/>
      <w:szCs w:val="27"/>
    </w:rPr>
  </w:style>
  <w:style w:type="paragraph" w:customStyle="1" w:styleId="Heading42">
    <w:name w:val="Heading 42"/>
    <w:basedOn w:val="Heading3"/>
    <w:autoRedefine/>
    <w:rsid w:val="00D57E94"/>
    <w:pPr>
      <w:autoSpaceDE w:val="0"/>
      <w:autoSpaceDN w:val="0"/>
      <w:adjustRightInd w:val="0"/>
      <w:spacing w:before="360" w:after="180"/>
      <w:ind w:left="900" w:hanging="900"/>
    </w:pPr>
    <w:rPr>
      <w:rFonts w:ascii="TimesNewRoman,Bold" w:hAnsi="TimesNewRoman,Bold" w:cs="TimesNewRoman,Bold"/>
      <w:color w:val="000000"/>
      <w:szCs w:val="24"/>
    </w:rPr>
  </w:style>
  <w:style w:type="paragraph" w:customStyle="1" w:styleId="Char0">
    <w:name w:val="Char0"/>
    <w:basedOn w:val="Normal"/>
    <w:rsid w:val="00D57E94"/>
    <w:pPr>
      <w:spacing w:after="160" w:line="240" w:lineRule="exact"/>
    </w:pPr>
    <w:rPr>
      <w:rFonts w:ascii="Tahoma" w:hAnsi="Tahoma"/>
      <w:lang w:val="en-US"/>
    </w:rPr>
  </w:style>
  <w:style w:type="paragraph" w:customStyle="1" w:styleId="CharCharCharCharCharCharCharCharCharCharCharCharChar0">
    <w:name w:val="Char Char Char Char Char Char Char Char Char Char Char Char Char0"/>
    <w:basedOn w:val="Normal"/>
    <w:rsid w:val="00D57E94"/>
    <w:pPr>
      <w:spacing w:after="160" w:line="240" w:lineRule="exact"/>
    </w:pPr>
    <w:rPr>
      <w:rFonts w:ascii="Tahoma" w:hAnsi="Tahoma"/>
      <w:lang w:val="en-US"/>
    </w:rPr>
  </w:style>
  <w:style w:type="character" w:customStyle="1" w:styleId="WW8Num1z0">
    <w:name w:val="WW8Num1z0"/>
    <w:rsid w:val="00D57E94"/>
    <w:rPr>
      <w:rFonts w:ascii="Symbol" w:hAnsi="Symbol" w:cs="Symbol" w:hint="default"/>
    </w:rPr>
  </w:style>
  <w:style w:type="character" w:customStyle="1" w:styleId="WW8Num2z0">
    <w:name w:val="WW8Num2z0"/>
    <w:rsid w:val="00D57E94"/>
  </w:style>
  <w:style w:type="character" w:customStyle="1" w:styleId="WW8Num3z0">
    <w:name w:val="WW8Num3z0"/>
    <w:rsid w:val="00D57E94"/>
    <w:rPr>
      <w:rFonts w:hint="default"/>
    </w:rPr>
  </w:style>
  <w:style w:type="character" w:customStyle="1" w:styleId="WW8Num3z1">
    <w:name w:val="WW8Num3z1"/>
    <w:rsid w:val="00D57E94"/>
  </w:style>
  <w:style w:type="character" w:customStyle="1" w:styleId="WW8Num3z2">
    <w:name w:val="WW8Num3z2"/>
    <w:rsid w:val="00D57E94"/>
  </w:style>
  <w:style w:type="character" w:customStyle="1" w:styleId="WW8Num3z3">
    <w:name w:val="WW8Num3z3"/>
    <w:rsid w:val="00D57E94"/>
  </w:style>
  <w:style w:type="character" w:customStyle="1" w:styleId="WW8Num3z4">
    <w:name w:val="WW8Num3z4"/>
    <w:rsid w:val="00D57E94"/>
  </w:style>
  <w:style w:type="character" w:customStyle="1" w:styleId="WW8Num3z5">
    <w:name w:val="WW8Num3z5"/>
    <w:rsid w:val="00D57E94"/>
  </w:style>
  <w:style w:type="character" w:customStyle="1" w:styleId="WW8Num3z6">
    <w:name w:val="WW8Num3z6"/>
    <w:rsid w:val="00D57E94"/>
  </w:style>
  <w:style w:type="character" w:customStyle="1" w:styleId="WW8Num3z7">
    <w:name w:val="WW8Num3z7"/>
    <w:rsid w:val="00D57E94"/>
  </w:style>
  <w:style w:type="character" w:customStyle="1" w:styleId="WW8Num3z8">
    <w:name w:val="WW8Num3z8"/>
    <w:rsid w:val="00D57E94"/>
  </w:style>
  <w:style w:type="character" w:customStyle="1" w:styleId="WW8Num4z0">
    <w:name w:val="WW8Num4z0"/>
    <w:rsid w:val="00D57E94"/>
    <w:rPr>
      <w:rFonts w:ascii="TimesNewRoman" w:eastAsia="Times New Roman" w:hAnsi="TimesNewRoman" w:cs="TimesNewRoman" w:hint="default"/>
    </w:rPr>
  </w:style>
  <w:style w:type="character" w:customStyle="1" w:styleId="WW8Num4z1">
    <w:name w:val="WW8Num4z1"/>
    <w:rsid w:val="00D57E94"/>
    <w:rPr>
      <w:rFonts w:ascii="Courier New" w:hAnsi="Courier New" w:cs="Courier New" w:hint="default"/>
    </w:rPr>
  </w:style>
  <w:style w:type="character" w:customStyle="1" w:styleId="WW8Num4z2">
    <w:name w:val="WW8Num4z2"/>
    <w:rsid w:val="00D57E94"/>
    <w:rPr>
      <w:rFonts w:ascii="Wingdings" w:hAnsi="Wingdings" w:cs="Wingdings" w:hint="default"/>
    </w:rPr>
  </w:style>
  <w:style w:type="character" w:customStyle="1" w:styleId="WW8Num4z3">
    <w:name w:val="WW8Num4z3"/>
    <w:rsid w:val="00D57E94"/>
    <w:rPr>
      <w:rFonts w:ascii="Symbol" w:hAnsi="Symbol" w:cs="Symbol" w:hint="default"/>
    </w:rPr>
  </w:style>
  <w:style w:type="character" w:customStyle="1" w:styleId="WW8Num5z0">
    <w:name w:val="WW8Num5z0"/>
    <w:rsid w:val="00D57E94"/>
    <w:rPr>
      <w:rFonts w:ascii="TimesNewRoman" w:eastAsia="Times New Roman" w:hAnsi="TimesNewRoman" w:cs="TimesNewRoman" w:hint="default"/>
    </w:rPr>
  </w:style>
  <w:style w:type="character" w:customStyle="1" w:styleId="WW8Num5z1">
    <w:name w:val="WW8Num5z1"/>
    <w:rsid w:val="00D57E94"/>
    <w:rPr>
      <w:rFonts w:ascii="Courier New" w:hAnsi="Courier New" w:cs="Courier New" w:hint="default"/>
    </w:rPr>
  </w:style>
  <w:style w:type="character" w:customStyle="1" w:styleId="WW8Num5z2">
    <w:name w:val="WW8Num5z2"/>
    <w:rsid w:val="00D57E94"/>
    <w:rPr>
      <w:rFonts w:ascii="Wingdings" w:hAnsi="Wingdings" w:cs="Wingdings" w:hint="default"/>
    </w:rPr>
  </w:style>
  <w:style w:type="character" w:customStyle="1" w:styleId="WW8Num5z3">
    <w:name w:val="WW8Num5z3"/>
    <w:rsid w:val="00D57E94"/>
    <w:rPr>
      <w:rFonts w:ascii="Symbol" w:hAnsi="Symbol" w:cs="Symbol" w:hint="default"/>
    </w:rPr>
  </w:style>
  <w:style w:type="character" w:customStyle="1" w:styleId="WW8Num6z0">
    <w:name w:val="WW8Num6z0"/>
    <w:rsid w:val="00D57E94"/>
    <w:rPr>
      <w:rFonts w:ascii="TimesNewRoman" w:eastAsia="Times New Roman" w:hAnsi="TimesNewRoman" w:cs="TimesNewRoman" w:hint="default"/>
    </w:rPr>
  </w:style>
  <w:style w:type="character" w:customStyle="1" w:styleId="WW8Num6z1">
    <w:name w:val="WW8Num6z1"/>
    <w:rsid w:val="00D57E94"/>
    <w:rPr>
      <w:rFonts w:ascii="Courier New" w:hAnsi="Courier New" w:cs="Courier New" w:hint="default"/>
    </w:rPr>
  </w:style>
  <w:style w:type="character" w:customStyle="1" w:styleId="WW8Num6z2">
    <w:name w:val="WW8Num6z2"/>
    <w:rsid w:val="00D57E94"/>
    <w:rPr>
      <w:rFonts w:ascii="Wingdings" w:hAnsi="Wingdings" w:cs="Wingdings" w:hint="default"/>
    </w:rPr>
  </w:style>
  <w:style w:type="character" w:customStyle="1" w:styleId="WW8Num6z3">
    <w:name w:val="WW8Num6z3"/>
    <w:rsid w:val="00D57E94"/>
    <w:rPr>
      <w:rFonts w:ascii="Symbol" w:hAnsi="Symbol" w:cs="Symbol" w:hint="default"/>
    </w:rPr>
  </w:style>
  <w:style w:type="character" w:customStyle="1" w:styleId="WW8Num7z0">
    <w:name w:val="WW8Num7z0"/>
    <w:rsid w:val="00D57E94"/>
    <w:rPr>
      <w:rFonts w:ascii="TimesNewRoman" w:eastAsia="Times New Roman" w:hAnsi="TimesNewRoman" w:cs="TimesNewRoman" w:hint="default"/>
    </w:rPr>
  </w:style>
  <w:style w:type="character" w:customStyle="1" w:styleId="WW8Num7z1">
    <w:name w:val="WW8Num7z1"/>
    <w:rsid w:val="00D57E94"/>
    <w:rPr>
      <w:rFonts w:ascii="Courier New" w:hAnsi="Courier New" w:cs="Courier New" w:hint="default"/>
    </w:rPr>
  </w:style>
  <w:style w:type="character" w:customStyle="1" w:styleId="WW8Num7z2">
    <w:name w:val="WW8Num7z2"/>
    <w:rsid w:val="00D57E94"/>
    <w:rPr>
      <w:rFonts w:ascii="Wingdings" w:hAnsi="Wingdings" w:cs="Wingdings" w:hint="default"/>
    </w:rPr>
  </w:style>
  <w:style w:type="character" w:customStyle="1" w:styleId="WW8Num7z3">
    <w:name w:val="WW8Num7z3"/>
    <w:rsid w:val="00D57E94"/>
    <w:rPr>
      <w:rFonts w:ascii="Symbol" w:hAnsi="Symbol" w:cs="Symbol" w:hint="default"/>
    </w:rPr>
  </w:style>
  <w:style w:type="character" w:customStyle="1" w:styleId="WW8Num8z0">
    <w:name w:val="WW8Num8z0"/>
    <w:rsid w:val="00D57E94"/>
    <w:rPr>
      <w:rFonts w:ascii="TimesNewRoman" w:eastAsia="Times New Roman" w:hAnsi="TimesNewRoman" w:cs="TimesNewRoman" w:hint="default"/>
    </w:rPr>
  </w:style>
  <w:style w:type="character" w:customStyle="1" w:styleId="WW8Num8z2">
    <w:name w:val="WW8Num8z2"/>
    <w:rsid w:val="00D57E94"/>
    <w:rPr>
      <w:rFonts w:ascii="Wingdings" w:hAnsi="Wingdings" w:cs="Wingdings" w:hint="default"/>
    </w:rPr>
  </w:style>
  <w:style w:type="character" w:customStyle="1" w:styleId="WW8Num8z3">
    <w:name w:val="WW8Num8z3"/>
    <w:rsid w:val="00D57E94"/>
    <w:rPr>
      <w:rFonts w:ascii="Symbol" w:hAnsi="Symbol" w:cs="Symbol" w:hint="default"/>
    </w:rPr>
  </w:style>
  <w:style w:type="character" w:customStyle="1" w:styleId="WW8Num8z4">
    <w:name w:val="WW8Num8z4"/>
    <w:rsid w:val="00D57E94"/>
    <w:rPr>
      <w:rFonts w:ascii="Courier New" w:hAnsi="Courier New" w:cs="Courier New" w:hint="default"/>
    </w:rPr>
  </w:style>
  <w:style w:type="character" w:customStyle="1" w:styleId="WW8Num9z0">
    <w:name w:val="WW8Num9z0"/>
    <w:rsid w:val="00D57E94"/>
    <w:rPr>
      <w:rFonts w:ascii="Symbol" w:hAnsi="Symbol" w:cs="Symbol" w:hint="default"/>
    </w:rPr>
  </w:style>
  <w:style w:type="character" w:customStyle="1" w:styleId="WW8Num9z1">
    <w:name w:val="WW8Num9z1"/>
    <w:rsid w:val="00D57E94"/>
    <w:rPr>
      <w:rFonts w:ascii="Courier New" w:hAnsi="Courier New" w:cs="Courier New" w:hint="default"/>
    </w:rPr>
  </w:style>
  <w:style w:type="character" w:customStyle="1" w:styleId="WW8Num9z2">
    <w:name w:val="WW8Num9z2"/>
    <w:rsid w:val="00D57E94"/>
    <w:rPr>
      <w:rFonts w:ascii="Wingdings" w:hAnsi="Wingdings" w:cs="Wingdings" w:hint="default"/>
    </w:rPr>
  </w:style>
  <w:style w:type="character" w:customStyle="1" w:styleId="WW8Num10z0">
    <w:name w:val="WW8Num10z0"/>
    <w:rsid w:val="00D57E94"/>
    <w:rPr>
      <w:rFonts w:ascii="TimesNewRoman" w:eastAsia="Times New Roman" w:hAnsi="TimesNewRoman" w:cs="TimesNewRoman" w:hint="default"/>
    </w:rPr>
  </w:style>
  <w:style w:type="character" w:customStyle="1" w:styleId="WW8Num10z1">
    <w:name w:val="WW8Num10z1"/>
    <w:rsid w:val="00D57E94"/>
    <w:rPr>
      <w:rFonts w:ascii="Courier New" w:hAnsi="Courier New" w:cs="Courier New" w:hint="default"/>
    </w:rPr>
  </w:style>
  <w:style w:type="character" w:customStyle="1" w:styleId="WW8Num10z2">
    <w:name w:val="WW8Num10z2"/>
    <w:rsid w:val="00D57E94"/>
    <w:rPr>
      <w:rFonts w:ascii="Wingdings" w:hAnsi="Wingdings" w:cs="Wingdings" w:hint="default"/>
    </w:rPr>
  </w:style>
  <w:style w:type="character" w:customStyle="1" w:styleId="WW8Num10z3">
    <w:name w:val="WW8Num10z3"/>
    <w:rsid w:val="00D57E94"/>
    <w:rPr>
      <w:rFonts w:ascii="Symbol" w:hAnsi="Symbol" w:cs="Symbol" w:hint="default"/>
    </w:rPr>
  </w:style>
  <w:style w:type="character" w:customStyle="1" w:styleId="WW8Num11z0">
    <w:name w:val="WW8Num11z0"/>
    <w:rsid w:val="00D57E94"/>
    <w:rPr>
      <w:rFonts w:ascii="TimesNewRoman" w:eastAsia="Times New Roman" w:hAnsi="TimesNewRoman" w:cs="TimesNewRoman" w:hint="default"/>
    </w:rPr>
  </w:style>
  <w:style w:type="character" w:customStyle="1" w:styleId="WW8Num11z1">
    <w:name w:val="WW8Num11z1"/>
    <w:rsid w:val="00D57E94"/>
    <w:rPr>
      <w:rFonts w:ascii="Courier New" w:hAnsi="Courier New" w:cs="Courier New" w:hint="default"/>
    </w:rPr>
  </w:style>
  <w:style w:type="character" w:customStyle="1" w:styleId="WW8Num11z2">
    <w:name w:val="WW8Num11z2"/>
    <w:rsid w:val="00D57E94"/>
    <w:rPr>
      <w:rFonts w:ascii="Wingdings" w:hAnsi="Wingdings" w:cs="Wingdings" w:hint="default"/>
    </w:rPr>
  </w:style>
  <w:style w:type="character" w:customStyle="1" w:styleId="WW8Num11z3">
    <w:name w:val="WW8Num11z3"/>
    <w:rsid w:val="00D57E94"/>
    <w:rPr>
      <w:rFonts w:ascii="Symbol" w:hAnsi="Symbol" w:cs="Symbol" w:hint="default"/>
    </w:rPr>
  </w:style>
  <w:style w:type="character" w:customStyle="1" w:styleId="WW8Num12z0">
    <w:name w:val="WW8Num12z0"/>
    <w:rsid w:val="00D57E94"/>
    <w:rPr>
      <w:rFonts w:hint="default"/>
    </w:rPr>
  </w:style>
  <w:style w:type="character" w:customStyle="1" w:styleId="WW8Num13z0">
    <w:name w:val="WW8Num13z0"/>
    <w:rsid w:val="00D57E94"/>
    <w:rPr>
      <w:rFonts w:ascii="TimesNewRoman" w:eastAsia="Times New Roman" w:hAnsi="TimesNewRoman" w:cs="TimesNewRoman" w:hint="default"/>
    </w:rPr>
  </w:style>
  <w:style w:type="character" w:customStyle="1" w:styleId="WW8Num13z1">
    <w:name w:val="WW8Num13z1"/>
    <w:rsid w:val="00D57E94"/>
    <w:rPr>
      <w:rFonts w:ascii="Courier New" w:hAnsi="Courier New" w:cs="Courier New" w:hint="default"/>
    </w:rPr>
  </w:style>
  <w:style w:type="character" w:customStyle="1" w:styleId="WW8Num13z2">
    <w:name w:val="WW8Num13z2"/>
    <w:rsid w:val="00D57E94"/>
    <w:rPr>
      <w:rFonts w:ascii="Wingdings" w:hAnsi="Wingdings" w:cs="Wingdings" w:hint="default"/>
    </w:rPr>
  </w:style>
  <w:style w:type="character" w:customStyle="1" w:styleId="WW8Num13z3">
    <w:name w:val="WW8Num13z3"/>
    <w:rsid w:val="00D57E94"/>
    <w:rPr>
      <w:rFonts w:ascii="Symbol" w:hAnsi="Symbol" w:cs="Symbol" w:hint="default"/>
    </w:rPr>
  </w:style>
  <w:style w:type="character" w:customStyle="1" w:styleId="WW8Num14z0">
    <w:name w:val="WW8Num14z0"/>
    <w:rsid w:val="00D57E94"/>
    <w:rPr>
      <w:rFonts w:ascii="Times New Roman" w:hAnsi="Times New Roman" w:cs="Times New Roman" w:hint="default"/>
      <w:b w:val="0"/>
      <w:i w:val="0"/>
      <w:sz w:val="20"/>
      <w:szCs w:val="20"/>
    </w:rPr>
  </w:style>
  <w:style w:type="character" w:customStyle="1" w:styleId="WW8Num14z1">
    <w:name w:val="WW8Num14z1"/>
    <w:rsid w:val="00D57E94"/>
  </w:style>
  <w:style w:type="character" w:customStyle="1" w:styleId="WW8Num14z2">
    <w:name w:val="WW8Num14z2"/>
    <w:rsid w:val="00D57E94"/>
  </w:style>
  <w:style w:type="character" w:customStyle="1" w:styleId="WW8Num14z3">
    <w:name w:val="WW8Num14z3"/>
    <w:rsid w:val="00D57E94"/>
  </w:style>
  <w:style w:type="character" w:customStyle="1" w:styleId="WW8Num14z4">
    <w:name w:val="WW8Num14z4"/>
    <w:rsid w:val="00D57E94"/>
  </w:style>
  <w:style w:type="character" w:customStyle="1" w:styleId="WW8Num14z5">
    <w:name w:val="WW8Num14z5"/>
    <w:rsid w:val="00D57E94"/>
  </w:style>
  <w:style w:type="character" w:customStyle="1" w:styleId="WW8Num14z6">
    <w:name w:val="WW8Num14z6"/>
    <w:rsid w:val="00D57E94"/>
  </w:style>
  <w:style w:type="character" w:customStyle="1" w:styleId="WW8Num14z7">
    <w:name w:val="WW8Num14z7"/>
    <w:rsid w:val="00D57E94"/>
  </w:style>
  <w:style w:type="character" w:customStyle="1" w:styleId="WW8Num14z8">
    <w:name w:val="WW8Num14z8"/>
    <w:rsid w:val="00D57E94"/>
  </w:style>
  <w:style w:type="character" w:customStyle="1" w:styleId="WW8Num15z0">
    <w:name w:val="WW8Num15z0"/>
    <w:rsid w:val="00D57E94"/>
    <w:rPr>
      <w:rFonts w:hint="default"/>
    </w:rPr>
  </w:style>
  <w:style w:type="character" w:customStyle="1" w:styleId="WW8Num16z0">
    <w:name w:val="WW8Num16z0"/>
    <w:rsid w:val="00D57E94"/>
    <w:rPr>
      <w:rFonts w:ascii="TimesNewRoman" w:eastAsia="Times New Roman" w:hAnsi="TimesNewRoman" w:cs="TimesNewRoman" w:hint="default"/>
    </w:rPr>
  </w:style>
  <w:style w:type="character" w:customStyle="1" w:styleId="WW8Num16z1">
    <w:name w:val="WW8Num16z1"/>
    <w:rsid w:val="00D57E94"/>
    <w:rPr>
      <w:rFonts w:ascii="Courier New" w:hAnsi="Courier New" w:cs="Courier New" w:hint="default"/>
    </w:rPr>
  </w:style>
  <w:style w:type="character" w:customStyle="1" w:styleId="WW8Num16z2">
    <w:name w:val="WW8Num16z2"/>
    <w:rsid w:val="00D57E94"/>
    <w:rPr>
      <w:rFonts w:ascii="Wingdings" w:hAnsi="Wingdings" w:cs="Wingdings" w:hint="default"/>
    </w:rPr>
  </w:style>
  <w:style w:type="character" w:customStyle="1" w:styleId="WW8Num16z3">
    <w:name w:val="WW8Num16z3"/>
    <w:rsid w:val="00D57E94"/>
    <w:rPr>
      <w:rFonts w:ascii="Symbol" w:hAnsi="Symbol" w:cs="Symbol" w:hint="default"/>
    </w:rPr>
  </w:style>
  <w:style w:type="character" w:customStyle="1" w:styleId="WW8Num17z0">
    <w:name w:val="WW8Num17z0"/>
    <w:rsid w:val="00D57E94"/>
    <w:rPr>
      <w:rFonts w:ascii="TimesNewRoman" w:eastAsia="Times New Roman" w:hAnsi="TimesNewRoman" w:cs="TimesNewRoman" w:hint="default"/>
    </w:rPr>
  </w:style>
  <w:style w:type="character" w:customStyle="1" w:styleId="WW8Num17z1">
    <w:name w:val="WW8Num17z1"/>
    <w:rsid w:val="00D57E94"/>
    <w:rPr>
      <w:rFonts w:ascii="Courier New" w:hAnsi="Courier New" w:cs="Courier New" w:hint="default"/>
    </w:rPr>
  </w:style>
  <w:style w:type="character" w:customStyle="1" w:styleId="WW8Num17z2">
    <w:name w:val="WW8Num17z2"/>
    <w:rsid w:val="00D57E94"/>
    <w:rPr>
      <w:rFonts w:ascii="Wingdings" w:hAnsi="Wingdings" w:cs="Wingdings" w:hint="default"/>
    </w:rPr>
  </w:style>
  <w:style w:type="character" w:customStyle="1" w:styleId="WW8Num17z3">
    <w:name w:val="WW8Num17z3"/>
    <w:rsid w:val="00D57E94"/>
    <w:rPr>
      <w:rFonts w:ascii="Symbol" w:hAnsi="Symbol" w:cs="Symbol" w:hint="default"/>
    </w:rPr>
  </w:style>
  <w:style w:type="character" w:customStyle="1" w:styleId="WW8Num18z0">
    <w:name w:val="WW8Num18z0"/>
    <w:rsid w:val="00D57E94"/>
    <w:rPr>
      <w:rFonts w:ascii="TimesNewRoman" w:eastAsia="Times New Roman" w:hAnsi="TimesNewRoman" w:cs="TimesNewRoman" w:hint="default"/>
    </w:rPr>
  </w:style>
  <w:style w:type="character" w:customStyle="1" w:styleId="WW8Num18z1">
    <w:name w:val="WW8Num18z1"/>
    <w:rsid w:val="00D57E94"/>
    <w:rPr>
      <w:rFonts w:ascii="Courier New" w:hAnsi="Courier New" w:cs="Courier New" w:hint="default"/>
    </w:rPr>
  </w:style>
  <w:style w:type="character" w:customStyle="1" w:styleId="WW8Num18z2">
    <w:name w:val="WW8Num18z2"/>
    <w:rsid w:val="00D57E94"/>
    <w:rPr>
      <w:rFonts w:ascii="Wingdings" w:hAnsi="Wingdings" w:cs="Wingdings" w:hint="default"/>
    </w:rPr>
  </w:style>
  <w:style w:type="character" w:customStyle="1" w:styleId="WW8Num18z3">
    <w:name w:val="WW8Num18z3"/>
    <w:rsid w:val="00D57E94"/>
    <w:rPr>
      <w:rFonts w:ascii="Symbol" w:hAnsi="Symbol" w:cs="Symbol" w:hint="default"/>
    </w:rPr>
  </w:style>
  <w:style w:type="character" w:customStyle="1" w:styleId="WW8Num19z0">
    <w:name w:val="WW8Num19z0"/>
    <w:rsid w:val="00D57E94"/>
    <w:rPr>
      <w:rFonts w:ascii="TimesNewRoman" w:eastAsia="Times New Roman" w:hAnsi="TimesNewRoman" w:cs="TimesNewRoman" w:hint="default"/>
    </w:rPr>
  </w:style>
  <w:style w:type="character" w:customStyle="1" w:styleId="WW8Num19z1">
    <w:name w:val="WW8Num19z1"/>
    <w:rsid w:val="00D57E94"/>
    <w:rPr>
      <w:rFonts w:ascii="Courier New" w:hAnsi="Courier New" w:cs="Courier New" w:hint="default"/>
    </w:rPr>
  </w:style>
  <w:style w:type="character" w:customStyle="1" w:styleId="WW8Num19z2">
    <w:name w:val="WW8Num19z2"/>
    <w:rsid w:val="00D57E94"/>
    <w:rPr>
      <w:rFonts w:ascii="Wingdings" w:hAnsi="Wingdings" w:cs="Wingdings" w:hint="default"/>
    </w:rPr>
  </w:style>
  <w:style w:type="character" w:customStyle="1" w:styleId="WW8Num19z3">
    <w:name w:val="WW8Num19z3"/>
    <w:rsid w:val="00D57E94"/>
    <w:rPr>
      <w:rFonts w:ascii="Symbol" w:hAnsi="Symbol" w:cs="Symbol" w:hint="default"/>
    </w:rPr>
  </w:style>
  <w:style w:type="character" w:customStyle="1" w:styleId="WW8Num20z0">
    <w:name w:val="WW8Num20z0"/>
    <w:rsid w:val="00D57E94"/>
    <w:rPr>
      <w:rFonts w:ascii="TimesNewRoman" w:eastAsia="Times New Roman" w:hAnsi="TimesNewRoman" w:cs="TimesNewRoman" w:hint="default"/>
    </w:rPr>
  </w:style>
  <w:style w:type="character" w:customStyle="1" w:styleId="WW8Num20z1">
    <w:name w:val="WW8Num20z1"/>
    <w:rsid w:val="00D57E94"/>
    <w:rPr>
      <w:rFonts w:ascii="Courier New" w:hAnsi="Courier New" w:cs="Courier New" w:hint="default"/>
    </w:rPr>
  </w:style>
  <w:style w:type="character" w:customStyle="1" w:styleId="WW8Num20z2">
    <w:name w:val="WW8Num20z2"/>
    <w:rsid w:val="00D57E94"/>
    <w:rPr>
      <w:rFonts w:ascii="Wingdings" w:hAnsi="Wingdings" w:cs="Wingdings" w:hint="default"/>
    </w:rPr>
  </w:style>
  <w:style w:type="character" w:customStyle="1" w:styleId="WW8Num20z3">
    <w:name w:val="WW8Num20z3"/>
    <w:rsid w:val="00D57E94"/>
    <w:rPr>
      <w:rFonts w:ascii="Symbol" w:hAnsi="Symbol" w:cs="Symbol" w:hint="default"/>
    </w:rPr>
  </w:style>
  <w:style w:type="character" w:customStyle="1" w:styleId="WW8Num21z0">
    <w:name w:val="WW8Num21z0"/>
    <w:rsid w:val="00D57E94"/>
    <w:rPr>
      <w:rFonts w:ascii="TimesNewRoman" w:eastAsia="Times New Roman" w:hAnsi="TimesNewRoman" w:cs="TimesNewRoman" w:hint="default"/>
    </w:rPr>
  </w:style>
  <w:style w:type="character" w:customStyle="1" w:styleId="WW8Num21z1">
    <w:name w:val="WW8Num21z1"/>
    <w:rsid w:val="00D57E94"/>
    <w:rPr>
      <w:rFonts w:ascii="Courier New" w:hAnsi="Courier New" w:cs="Courier New" w:hint="default"/>
    </w:rPr>
  </w:style>
  <w:style w:type="character" w:customStyle="1" w:styleId="WW8Num21z2">
    <w:name w:val="WW8Num21z2"/>
    <w:rsid w:val="00D57E94"/>
    <w:rPr>
      <w:rFonts w:ascii="Wingdings" w:hAnsi="Wingdings" w:cs="Wingdings" w:hint="default"/>
    </w:rPr>
  </w:style>
  <w:style w:type="character" w:customStyle="1" w:styleId="WW8Num21z3">
    <w:name w:val="WW8Num21z3"/>
    <w:rsid w:val="00D57E94"/>
    <w:rPr>
      <w:rFonts w:ascii="Symbol" w:hAnsi="Symbol" w:cs="Symbol" w:hint="default"/>
    </w:rPr>
  </w:style>
  <w:style w:type="character" w:customStyle="1" w:styleId="WW8Num22z0">
    <w:name w:val="WW8Num22z0"/>
    <w:rsid w:val="00D57E94"/>
    <w:rPr>
      <w:rFonts w:ascii="Wingdings" w:hAnsi="Wingdings" w:cs="Wingdings" w:hint="default"/>
      <w:sz w:val="20"/>
    </w:rPr>
  </w:style>
  <w:style w:type="character" w:customStyle="1" w:styleId="WW8Num22z1">
    <w:name w:val="WW8Num22z1"/>
    <w:rsid w:val="00D57E94"/>
    <w:rPr>
      <w:rFonts w:ascii="Courier New" w:hAnsi="Courier New" w:cs="Courier New" w:hint="default"/>
    </w:rPr>
  </w:style>
  <w:style w:type="character" w:customStyle="1" w:styleId="WW8Num22z2">
    <w:name w:val="WW8Num22z2"/>
    <w:rsid w:val="00D57E94"/>
    <w:rPr>
      <w:rFonts w:ascii="Wingdings" w:hAnsi="Wingdings" w:cs="Wingdings" w:hint="default"/>
    </w:rPr>
  </w:style>
  <w:style w:type="character" w:customStyle="1" w:styleId="WW8Num22z3">
    <w:name w:val="WW8Num22z3"/>
    <w:rsid w:val="00D57E94"/>
    <w:rPr>
      <w:rFonts w:ascii="Symbol" w:hAnsi="Symbol" w:cs="Symbol" w:hint="default"/>
    </w:rPr>
  </w:style>
  <w:style w:type="character" w:customStyle="1" w:styleId="WW8Num23z0">
    <w:name w:val="WW8Num23z0"/>
    <w:rsid w:val="00D57E94"/>
    <w:rPr>
      <w:rFonts w:hint="default"/>
    </w:rPr>
  </w:style>
  <w:style w:type="character" w:customStyle="1" w:styleId="WW8Num23z1">
    <w:name w:val="WW8Num23z1"/>
    <w:rsid w:val="00D57E94"/>
    <w:rPr>
      <w:rFonts w:hint="default"/>
      <w:sz w:val="30"/>
      <w:szCs w:val="30"/>
      <w:lang w:val="en-US"/>
    </w:rPr>
  </w:style>
  <w:style w:type="character" w:customStyle="1" w:styleId="WW8Num24z0">
    <w:name w:val="WW8Num24z0"/>
    <w:rsid w:val="00D57E94"/>
    <w:rPr>
      <w:rFonts w:ascii="TimesNewRoman" w:eastAsia="Times New Roman" w:hAnsi="TimesNewRoman" w:cs="TimesNewRoman" w:hint="default"/>
    </w:rPr>
  </w:style>
  <w:style w:type="character" w:customStyle="1" w:styleId="WW8Num24z1">
    <w:name w:val="WW8Num24z1"/>
    <w:rsid w:val="00D57E94"/>
    <w:rPr>
      <w:rFonts w:ascii="Courier New" w:hAnsi="Courier New" w:cs="Courier New" w:hint="default"/>
    </w:rPr>
  </w:style>
  <w:style w:type="character" w:customStyle="1" w:styleId="WW8Num24z2">
    <w:name w:val="WW8Num24z2"/>
    <w:rsid w:val="00D57E94"/>
    <w:rPr>
      <w:rFonts w:ascii="Wingdings" w:hAnsi="Wingdings" w:cs="Wingdings" w:hint="default"/>
    </w:rPr>
  </w:style>
  <w:style w:type="character" w:customStyle="1" w:styleId="WW8Num24z3">
    <w:name w:val="WW8Num24z3"/>
    <w:rsid w:val="00D57E94"/>
    <w:rPr>
      <w:rFonts w:ascii="Symbol" w:hAnsi="Symbol" w:cs="Symbol" w:hint="default"/>
    </w:rPr>
  </w:style>
  <w:style w:type="character" w:customStyle="1" w:styleId="WW8Num25z0">
    <w:name w:val="WW8Num25z0"/>
    <w:rsid w:val="00D57E94"/>
    <w:rPr>
      <w:rFonts w:ascii="TimesNewRoman" w:eastAsia="Times New Roman" w:hAnsi="TimesNewRoman" w:cs="TimesNewRoman" w:hint="default"/>
    </w:rPr>
  </w:style>
  <w:style w:type="character" w:customStyle="1" w:styleId="WW8Num25z1">
    <w:name w:val="WW8Num25z1"/>
    <w:rsid w:val="00D57E94"/>
    <w:rPr>
      <w:rFonts w:ascii="Courier New" w:hAnsi="Courier New" w:cs="Courier New" w:hint="default"/>
    </w:rPr>
  </w:style>
  <w:style w:type="character" w:customStyle="1" w:styleId="WW8Num25z2">
    <w:name w:val="WW8Num25z2"/>
    <w:rsid w:val="00D57E94"/>
    <w:rPr>
      <w:rFonts w:ascii="Wingdings" w:hAnsi="Wingdings" w:cs="Wingdings" w:hint="default"/>
    </w:rPr>
  </w:style>
  <w:style w:type="character" w:customStyle="1" w:styleId="WW8Num25z3">
    <w:name w:val="WW8Num25z3"/>
    <w:rsid w:val="00D57E94"/>
    <w:rPr>
      <w:rFonts w:ascii="Symbol" w:hAnsi="Symbol" w:cs="Symbol" w:hint="default"/>
    </w:rPr>
  </w:style>
  <w:style w:type="character" w:customStyle="1" w:styleId="WW8Num26z0">
    <w:name w:val="WW8Num26z0"/>
    <w:rsid w:val="00D57E94"/>
    <w:rPr>
      <w:rFonts w:ascii="TimesNewRoman" w:eastAsia="Times New Roman" w:hAnsi="TimesNewRoman" w:cs="TimesNewRoman" w:hint="default"/>
    </w:rPr>
  </w:style>
  <w:style w:type="character" w:customStyle="1" w:styleId="WW8Num26z1">
    <w:name w:val="WW8Num26z1"/>
    <w:rsid w:val="00D57E94"/>
    <w:rPr>
      <w:rFonts w:ascii="Courier New" w:hAnsi="Courier New" w:cs="Courier New" w:hint="default"/>
    </w:rPr>
  </w:style>
  <w:style w:type="character" w:customStyle="1" w:styleId="WW8Num26z2">
    <w:name w:val="WW8Num26z2"/>
    <w:rsid w:val="00D57E94"/>
    <w:rPr>
      <w:rFonts w:ascii="Wingdings" w:hAnsi="Wingdings" w:cs="Wingdings" w:hint="default"/>
    </w:rPr>
  </w:style>
  <w:style w:type="character" w:customStyle="1" w:styleId="WW8Num26z3">
    <w:name w:val="WW8Num26z3"/>
    <w:rsid w:val="00D57E94"/>
    <w:rPr>
      <w:rFonts w:ascii="Symbol" w:hAnsi="Symbol" w:cs="Symbol" w:hint="default"/>
    </w:rPr>
  </w:style>
  <w:style w:type="character" w:customStyle="1" w:styleId="WW8Num27z0">
    <w:name w:val="WW8Num27z0"/>
    <w:rsid w:val="00D57E94"/>
    <w:rPr>
      <w:rFonts w:ascii="TimesNewRoman" w:eastAsia="Times New Roman" w:hAnsi="TimesNewRoman" w:cs="TimesNewRoman" w:hint="default"/>
    </w:rPr>
  </w:style>
  <w:style w:type="character" w:customStyle="1" w:styleId="WW8Num27z1">
    <w:name w:val="WW8Num27z1"/>
    <w:rsid w:val="00D57E94"/>
    <w:rPr>
      <w:rFonts w:ascii="Courier New" w:hAnsi="Courier New" w:cs="Courier New" w:hint="default"/>
    </w:rPr>
  </w:style>
  <w:style w:type="character" w:customStyle="1" w:styleId="WW8Num27z2">
    <w:name w:val="WW8Num27z2"/>
    <w:rsid w:val="00D57E94"/>
    <w:rPr>
      <w:rFonts w:ascii="Wingdings" w:hAnsi="Wingdings" w:cs="Wingdings" w:hint="default"/>
    </w:rPr>
  </w:style>
  <w:style w:type="character" w:customStyle="1" w:styleId="WW8Num27z3">
    <w:name w:val="WW8Num27z3"/>
    <w:rsid w:val="00D57E94"/>
    <w:rPr>
      <w:rFonts w:ascii="Symbol" w:hAnsi="Symbol" w:cs="Symbol" w:hint="default"/>
    </w:rPr>
  </w:style>
  <w:style w:type="character" w:customStyle="1" w:styleId="WW8Num28z0">
    <w:name w:val="WW8Num28z0"/>
    <w:rsid w:val="00D57E94"/>
    <w:rPr>
      <w:rFonts w:ascii="TimesNewRoman" w:eastAsia="Times New Roman" w:hAnsi="TimesNewRoman" w:cs="TimesNewRoman" w:hint="default"/>
    </w:rPr>
  </w:style>
  <w:style w:type="character" w:customStyle="1" w:styleId="WW8Num28z1">
    <w:name w:val="WW8Num28z1"/>
    <w:rsid w:val="00D57E94"/>
    <w:rPr>
      <w:rFonts w:ascii="Courier New" w:hAnsi="Courier New" w:cs="Courier New" w:hint="default"/>
    </w:rPr>
  </w:style>
  <w:style w:type="character" w:customStyle="1" w:styleId="WW8Num28z2">
    <w:name w:val="WW8Num28z2"/>
    <w:rsid w:val="00D57E94"/>
    <w:rPr>
      <w:rFonts w:ascii="Wingdings" w:hAnsi="Wingdings" w:cs="Wingdings" w:hint="default"/>
    </w:rPr>
  </w:style>
  <w:style w:type="character" w:customStyle="1" w:styleId="WW8Num28z3">
    <w:name w:val="WW8Num28z3"/>
    <w:rsid w:val="00D57E94"/>
    <w:rPr>
      <w:rFonts w:ascii="Symbol" w:hAnsi="Symbol" w:cs="Symbol" w:hint="default"/>
    </w:rPr>
  </w:style>
  <w:style w:type="character" w:customStyle="1" w:styleId="WW8Num29z0">
    <w:name w:val="WW8Num29z0"/>
    <w:rsid w:val="00D57E94"/>
    <w:rPr>
      <w:rFonts w:ascii="TimesNewRoman" w:eastAsia="Times New Roman" w:hAnsi="TimesNewRoman" w:cs="TimesNewRoman" w:hint="default"/>
    </w:rPr>
  </w:style>
  <w:style w:type="character" w:customStyle="1" w:styleId="WW8Num29z1">
    <w:name w:val="WW8Num29z1"/>
    <w:rsid w:val="00D57E94"/>
    <w:rPr>
      <w:rFonts w:ascii="Courier New" w:hAnsi="Courier New" w:cs="Courier New" w:hint="default"/>
    </w:rPr>
  </w:style>
  <w:style w:type="character" w:customStyle="1" w:styleId="WW8Num29z2">
    <w:name w:val="WW8Num29z2"/>
    <w:rsid w:val="00D57E94"/>
    <w:rPr>
      <w:rFonts w:ascii="Wingdings" w:hAnsi="Wingdings" w:cs="Wingdings" w:hint="default"/>
    </w:rPr>
  </w:style>
  <w:style w:type="character" w:customStyle="1" w:styleId="WW8Num29z3">
    <w:name w:val="WW8Num29z3"/>
    <w:rsid w:val="00D57E94"/>
    <w:rPr>
      <w:rFonts w:ascii="Symbol" w:hAnsi="Symbol" w:cs="Symbol" w:hint="default"/>
    </w:rPr>
  </w:style>
  <w:style w:type="character" w:customStyle="1" w:styleId="WW8Num30z0">
    <w:name w:val="WW8Num30z0"/>
    <w:rsid w:val="00D57E94"/>
    <w:rPr>
      <w:rFonts w:ascii="TimesNewRoman" w:eastAsia="Times New Roman" w:hAnsi="TimesNewRoman" w:cs="TimesNewRoman" w:hint="default"/>
    </w:rPr>
  </w:style>
  <w:style w:type="character" w:customStyle="1" w:styleId="WW8Num30z1">
    <w:name w:val="WW8Num30z1"/>
    <w:rsid w:val="00D57E94"/>
    <w:rPr>
      <w:rFonts w:ascii="Courier New" w:hAnsi="Courier New" w:cs="Courier New" w:hint="default"/>
    </w:rPr>
  </w:style>
  <w:style w:type="character" w:customStyle="1" w:styleId="WW8Num30z2">
    <w:name w:val="WW8Num30z2"/>
    <w:rsid w:val="00D57E94"/>
    <w:rPr>
      <w:rFonts w:ascii="Wingdings" w:hAnsi="Wingdings" w:cs="Wingdings" w:hint="default"/>
    </w:rPr>
  </w:style>
  <w:style w:type="character" w:customStyle="1" w:styleId="WW8Num30z3">
    <w:name w:val="WW8Num30z3"/>
    <w:rsid w:val="00D57E94"/>
    <w:rPr>
      <w:rFonts w:ascii="Symbol" w:hAnsi="Symbol" w:cs="Symbol" w:hint="default"/>
    </w:rPr>
  </w:style>
  <w:style w:type="character" w:customStyle="1" w:styleId="WW8Num31z0">
    <w:name w:val="WW8Num31z0"/>
    <w:rsid w:val="00D57E94"/>
    <w:rPr>
      <w:rFonts w:hint="default"/>
    </w:rPr>
  </w:style>
  <w:style w:type="character" w:customStyle="1" w:styleId="WW8Num31z1">
    <w:name w:val="WW8Num31z1"/>
    <w:rsid w:val="00D57E94"/>
  </w:style>
  <w:style w:type="character" w:customStyle="1" w:styleId="WW8Num31z2">
    <w:name w:val="WW8Num31z2"/>
    <w:rsid w:val="00D57E94"/>
  </w:style>
  <w:style w:type="character" w:customStyle="1" w:styleId="WW8Num31z3">
    <w:name w:val="WW8Num31z3"/>
    <w:rsid w:val="00D57E94"/>
  </w:style>
  <w:style w:type="character" w:customStyle="1" w:styleId="WW8Num31z4">
    <w:name w:val="WW8Num31z4"/>
    <w:rsid w:val="00D57E94"/>
  </w:style>
  <w:style w:type="character" w:customStyle="1" w:styleId="WW8Num31z5">
    <w:name w:val="WW8Num31z5"/>
    <w:rsid w:val="00D57E94"/>
  </w:style>
  <w:style w:type="character" w:customStyle="1" w:styleId="WW8Num31z6">
    <w:name w:val="WW8Num31z6"/>
    <w:rsid w:val="00D57E94"/>
  </w:style>
  <w:style w:type="character" w:customStyle="1" w:styleId="WW8Num31z7">
    <w:name w:val="WW8Num31z7"/>
    <w:rsid w:val="00D57E94"/>
  </w:style>
  <w:style w:type="character" w:customStyle="1" w:styleId="WW8Num31z8">
    <w:name w:val="WW8Num31z8"/>
    <w:rsid w:val="00D57E94"/>
  </w:style>
  <w:style w:type="character" w:customStyle="1" w:styleId="WW8Num32z0">
    <w:name w:val="WW8Num32z0"/>
    <w:rsid w:val="00D57E94"/>
    <w:rPr>
      <w:rFonts w:ascii="TimesNewRoman" w:eastAsia="Times New Roman" w:hAnsi="TimesNewRoman" w:cs="TimesNewRoman" w:hint="default"/>
    </w:rPr>
  </w:style>
  <w:style w:type="character" w:customStyle="1" w:styleId="WW8Num32z2">
    <w:name w:val="WW8Num32z2"/>
    <w:rsid w:val="00D57E94"/>
    <w:rPr>
      <w:rFonts w:ascii="Wingdings" w:hAnsi="Wingdings" w:cs="Wingdings" w:hint="default"/>
    </w:rPr>
  </w:style>
  <w:style w:type="character" w:customStyle="1" w:styleId="WW8Num32z3">
    <w:name w:val="WW8Num32z3"/>
    <w:rsid w:val="00D57E94"/>
    <w:rPr>
      <w:rFonts w:ascii="Symbol" w:hAnsi="Symbol" w:cs="Symbol" w:hint="default"/>
    </w:rPr>
  </w:style>
  <w:style w:type="character" w:customStyle="1" w:styleId="WW8Num32z4">
    <w:name w:val="WW8Num32z4"/>
    <w:rsid w:val="00D57E94"/>
    <w:rPr>
      <w:rFonts w:ascii="Courier New" w:hAnsi="Courier New" w:cs="Courier New" w:hint="default"/>
    </w:rPr>
  </w:style>
  <w:style w:type="character" w:customStyle="1" w:styleId="WW8Num33z0">
    <w:name w:val="WW8Num33z0"/>
    <w:rsid w:val="00D57E94"/>
    <w:rPr>
      <w:rFonts w:ascii="TimesNewRoman" w:eastAsia="Times New Roman" w:hAnsi="TimesNewRoman" w:cs="TimesNewRoman" w:hint="default"/>
    </w:rPr>
  </w:style>
  <w:style w:type="character" w:customStyle="1" w:styleId="WW8Num33z1">
    <w:name w:val="WW8Num33z1"/>
    <w:rsid w:val="00D57E94"/>
    <w:rPr>
      <w:rFonts w:ascii="Courier New" w:hAnsi="Courier New" w:cs="Courier New" w:hint="default"/>
    </w:rPr>
  </w:style>
  <w:style w:type="character" w:customStyle="1" w:styleId="WW8Num33z2">
    <w:name w:val="WW8Num33z2"/>
    <w:rsid w:val="00D57E94"/>
    <w:rPr>
      <w:rFonts w:ascii="Wingdings" w:hAnsi="Wingdings" w:cs="Wingdings" w:hint="default"/>
    </w:rPr>
  </w:style>
  <w:style w:type="character" w:customStyle="1" w:styleId="WW8Num33z3">
    <w:name w:val="WW8Num33z3"/>
    <w:rsid w:val="00D57E94"/>
    <w:rPr>
      <w:rFonts w:ascii="Symbol" w:hAnsi="Symbol" w:cs="Symbol" w:hint="default"/>
    </w:rPr>
  </w:style>
  <w:style w:type="character" w:customStyle="1" w:styleId="WW8Num34z0">
    <w:name w:val="WW8Num34z0"/>
    <w:rsid w:val="00D57E94"/>
    <w:rPr>
      <w:rFonts w:ascii="TimesNewRoman" w:eastAsia="Times New Roman" w:hAnsi="TimesNewRoman" w:cs="TimesNewRoman" w:hint="default"/>
    </w:rPr>
  </w:style>
  <w:style w:type="character" w:customStyle="1" w:styleId="WW8Num34z1">
    <w:name w:val="WW8Num34z1"/>
    <w:rsid w:val="00D57E94"/>
    <w:rPr>
      <w:rFonts w:ascii="Courier New" w:hAnsi="Courier New" w:cs="Courier New" w:hint="default"/>
    </w:rPr>
  </w:style>
  <w:style w:type="character" w:customStyle="1" w:styleId="WW8Num34z2">
    <w:name w:val="WW8Num34z2"/>
    <w:rsid w:val="00D57E94"/>
    <w:rPr>
      <w:rFonts w:ascii="Wingdings" w:hAnsi="Wingdings" w:cs="Wingdings" w:hint="default"/>
    </w:rPr>
  </w:style>
  <w:style w:type="character" w:customStyle="1" w:styleId="WW8Num34z3">
    <w:name w:val="WW8Num34z3"/>
    <w:rsid w:val="00D57E94"/>
    <w:rPr>
      <w:rFonts w:ascii="Symbol" w:hAnsi="Symbol" w:cs="Symbol" w:hint="default"/>
    </w:rPr>
  </w:style>
  <w:style w:type="character" w:customStyle="1" w:styleId="WW8Num35z0">
    <w:name w:val="WW8Num35z0"/>
    <w:rsid w:val="00D57E94"/>
    <w:rPr>
      <w:rFonts w:ascii="TimesNewRoman" w:eastAsia="Times New Roman" w:hAnsi="TimesNewRoman" w:cs="TimesNewRoman" w:hint="default"/>
    </w:rPr>
  </w:style>
  <w:style w:type="character" w:customStyle="1" w:styleId="WW8Num35z1">
    <w:name w:val="WW8Num35z1"/>
    <w:rsid w:val="00D57E94"/>
    <w:rPr>
      <w:rFonts w:ascii="Courier New" w:hAnsi="Courier New" w:cs="Courier New" w:hint="default"/>
    </w:rPr>
  </w:style>
  <w:style w:type="character" w:customStyle="1" w:styleId="WW8Num35z2">
    <w:name w:val="WW8Num35z2"/>
    <w:rsid w:val="00D57E94"/>
    <w:rPr>
      <w:rFonts w:ascii="Wingdings" w:hAnsi="Wingdings" w:cs="Wingdings" w:hint="default"/>
    </w:rPr>
  </w:style>
  <w:style w:type="character" w:customStyle="1" w:styleId="WW8Num35z3">
    <w:name w:val="WW8Num35z3"/>
    <w:rsid w:val="00D57E94"/>
    <w:rPr>
      <w:rFonts w:ascii="Symbol" w:hAnsi="Symbol" w:cs="Symbol" w:hint="default"/>
    </w:rPr>
  </w:style>
  <w:style w:type="character" w:customStyle="1" w:styleId="WW8Num36z0">
    <w:name w:val="WW8Num36z0"/>
    <w:rsid w:val="00D57E94"/>
    <w:rPr>
      <w:rFonts w:ascii="TimesNewRoman" w:eastAsia="Times New Roman" w:hAnsi="TimesNewRoman" w:cs="TimesNewRoman" w:hint="default"/>
    </w:rPr>
  </w:style>
  <w:style w:type="character" w:customStyle="1" w:styleId="WW8Num36z1">
    <w:name w:val="WW8Num36z1"/>
    <w:rsid w:val="00D57E94"/>
    <w:rPr>
      <w:rFonts w:ascii="Courier New" w:hAnsi="Courier New" w:cs="Courier New" w:hint="default"/>
    </w:rPr>
  </w:style>
  <w:style w:type="character" w:customStyle="1" w:styleId="WW8Num36z2">
    <w:name w:val="WW8Num36z2"/>
    <w:rsid w:val="00D57E94"/>
    <w:rPr>
      <w:rFonts w:ascii="Wingdings" w:hAnsi="Wingdings" w:cs="Wingdings" w:hint="default"/>
    </w:rPr>
  </w:style>
  <w:style w:type="character" w:customStyle="1" w:styleId="WW8Num36z3">
    <w:name w:val="WW8Num36z3"/>
    <w:rsid w:val="00D57E94"/>
    <w:rPr>
      <w:rFonts w:ascii="Symbol" w:hAnsi="Symbol" w:cs="Symbol" w:hint="default"/>
    </w:rPr>
  </w:style>
  <w:style w:type="character" w:customStyle="1" w:styleId="WW8Num37z0">
    <w:name w:val="WW8Num37z0"/>
    <w:rsid w:val="00D57E94"/>
    <w:rPr>
      <w:rFonts w:ascii="TimesNewRoman" w:eastAsia="Times New Roman" w:hAnsi="TimesNewRoman" w:cs="TimesNewRoman" w:hint="default"/>
    </w:rPr>
  </w:style>
  <w:style w:type="character" w:customStyle="1" w:styleId="WW8Num37z1">
    <w:name w:val="WW8Num37z1"/>
    <w:rsid w:val="00D57E94"/>
    <w:rPr>
      <w:rFonts w:ascii="Courier New" w:hAnsi="Courier New" w:cs="Courier New" w:hint="default"/>
    </w:rPr>
  </w:style>
  <w:style w:type="character" w:customStyle="1" w:styleId="WW8Num37z2">
    <w:name w:val="WW8Num37z2"/>
    <w:rsid w:val="00D57E94"/>
    <w:rPr>
      <w:rFonts w:ascii="Wingdings" w:hAnsi="Wingdings" w:cs="Wingdings" w:hint="default"/>
    </w:rPr>
  </w:style>
  <w:style w:type="character" w:customStyle="1" w:styleId="WW8Num37z3">
    <w:name w:val="WW8Num37z3"/>
    <w:rsid w:val="00D57E94"/>
    <w:rPr>
      <w:rFonts w:ascii="Symbol" w:hAnsi="Symbol" w:cs="Symbol" w:hint="default"/>
    </w:rPr>
  </w:style>
  <w:style w:type="character" w:customStyle="1" w:styleId="WW8Num38z0">
    <w:name w:val="WW8Num38z0"/>
    <w:rsid w:val="00D57E94"/>
    <w:rPr>
      <w:rFonts w:ascii="TimesNewRoman" w:eastAsia="Times New Roman" w:hAnsi="TimesNewRoman" w:cs="TimesNewRoman" w:hint="default"/>
    </w:rPr>
  </w:style>
  <w:style w:type="character" w:customStyle="1" w:styleId="WW8Num38z1">
    <w:name w:val="WW8Num38z1"/>
    <w:rsid w:val="00D57E94"/>
    <w:rPr>
      <w:rFonts w:ascii="Courier New" w:hAnsi="Courier New" w:cs="Courier New" w:hint="default"/>
    </w:rPr>
  </w:style>
  <w:style w:type="character" w:customStyle="1" w:styleId="WW8Num38z2">
    <w:name w:val="WW8Num38z2"/>
    <w:rsid w:val="00D57E94"/>
    <w:rPr>
      <w:rFonts w:ascii="Wingdings" w:hAnsi="Wingdings" w:cs="Wingdings" w:hint="default"/>
    </w:rPr>
  </w:style>
  <w:style w:type="character" w:customStyle="1" w:styleId="WW8Num38z3">
    <w:name w:val="WW8Num38z3"/>
    <w:rsid w:val="00D57E94"/>
    <w:rPr>
      <w:rFonts w:ascii="Symbol" w:hAnsi="Symbol" w:cs="Symbol" w:hint="default"/>
    </w:rPr>
  </w:style>
  <w:style w:type="character" w:customStyle="1" w:styleId="WW8Num39z0">
    <w:name w:val="WW8Num39z0"/>
    <w:rsid w:val="00D57E94"/>
    <w:rPr>
      <w:rFonts w:ascii="Symbol" w:hAnsi="Symbol" w:cs="Symbol" w:hint="default"/>
    </w:rPr>
  </w:style>
  <w:style w:type="character" w:customStyle="1" w:styleId="WW8Num39z1">
    <w:name w:val="WW8Num39z1"/>
    <w:rsid w:val="00D57E94"/>
    <w:rPr>
      <w:rFonts w:ascii="Courier New" w:hAnsi="Courier New" w:cs="Courier New" w:hint="default"/>
    </w:rPr>
  </w:style>
  <w:style w:type="character" w:customStyle="1" w:styleId="WW8Num39z2">
    <w:name w:val="WW8Num39z2"/>
    <w:rsid w:val="00D57E94"/>
    <w:rPr>
      <w:rFonts w:ascii="Wingdings" w:hAnsi="Wingdings" w:cs="Wingdings" w:hint="default"/>
    </w:rPr>
  </w:style>
  <w:style w:type="character" w:customStyle="1" w:styleId="WW8Num40z0">
    <w:name w:val="WW8Num40z0"/>
    <w:rsid w:val="00D57E94"/>
    <w:rPr>
      <w:rFonts w:ascii="Wingdings" w:hAnsi="Wingdings" w:cs="Wingdings" w:hint="default"/>
      <w:sz w:val="22"/>
      <w:szCs w:val="22"/>
    </w:rPr>
  </w:style>
  <w:style w:type="character" w:customStyle="1" w:styleId="WW8Num40z1">
    <w:name w:val="WW8Num40z1"/>
    <w:rsid w:val="00D57E94"/>
    <w:rPr>
      <w:rFonts w:ascii="Courier New" w:hAnsi="Courier New" w:cs="Courier New" w:hint="default"/>
    </w:rPr>
  </w:style>
  <w:style w:type="character" w:customStyle="1" w:styleId="WW8Num40z3">
    <w:name w:val="WW8Num40z3"/>
    <w:rsid w:val="00D57E94"/>
    <w:rPr>
      <w:rFonts w:ascii="Symbol" w:hAnsi="Symbol" w:cs="Symbol" w:hint="default"/>
    </w:rPr>
  </w:style>
  <w:style w:type="character" w:customStyle="1" w:styleId="WW8Num41z0">
    <w:name w:val="WW8Num41z0"/>
    <w:rsid w:val="00D57E94"/>
    <w:rPr>
      <w:rFonts w:ascii="TimesNewRoman" w:eastAsia="Times New Roman" w:hAnsi="TimesNewRoman" w:cs="TimesNewRoman" w:hint="default"/>
    </w:rPr>
  </w:style>
  <w:style w:type="character" w:customStyle="1" w:styleId="WW8Num41z1">
    <w:name w:val="WW8Num41z1"/>
    <w:rsid w:val="00D57E94"/>
    <w:rPr>
      <w:rFonts w:ascii="Courier New" w:hAnsi="Courier New" w:cs="Courier New" w:hint="default"/>
    </w:rPr>
  </w:style>
  <w:style w:type="character" w:customStyle="1" w:styleId="WW8Num41z2">
    <w:name w:val="WW8Num41z2"/>
    <w:rsid w:val="00D57E94"/>
    <w:rPr>
      <w:rFonts w:ascii="Wingdings" w:hAnsi="Wingdings" w:cs="Wingdings" w:hint="default"/>
    </w:rPr>
  </w:style>
  <w:style w:type="character" w:customStyle="1" w:styleId="WW8Num41z3">
    <w:name w:val="WW8Num41z3"/>
    <w:rsid w:val="00D57E94"/>
    <w:rPr>
      <w:rFonts w:ascii="Symbol" w:hAnsi="Symbol" w:cs="Symbol" w:hint="default"/>
    </w:rPr>
  </w:style>
  <w:style w:type="character" w:customStyle="1" w:styleId="WW8Num42z0">
    <w:name w:val="WW8Num42z0"/>
    <w:rsid w:val="00D57E94"/>
    <w:rPr>
      <w:rFonts w:ascii="Wingdings" w:hAnsi="Wingdings" w:cs="Wingdings" w:hint="default"/>
      <w:color w:val="000000"/>
      <w:sz w:val="22"/>
      <w:szCs w:val="22"/>
    </w:rPr>
  </w:style>
  <w:style w:type="character" w:customStyle="1" w:styleId="WW8Num42z1">
    <w:name w:val="WW8Num42z1"/>
    <w:rsid w:val="00D57E94"/>
    <w:rPr>
      <w:rFonts w:ascii="Courier New" w:hAnsi="Courier New" w:cs="Courier New" w:hint="default"/>
    </w:rPr>
  </w:style>
  <w:style w:type="character" w:customStyle="1" w:styleId="WW8Num42z3">
    <w:name w:val="WW8Num42z3"/>
    <w:rsid w:val="00D57E94"/>
    <w:rPr>
      <w:rFonts w:ascii="Symbol" w:hAnsi="Symbol" w:cs="Symbol" w:hint="default"/>
    </w:rPr>
  </w:style>
  <w:style w:type="character" w:customStyle="1" w:styleId="WW8Num43z0">
    <w:name w:val="WW8Num43z0"/>
    <w:rsid w:val="00D57E94"/>
    <w:rPr>
      <w:sz w:val="22"/>
      <w:szCs w:val="22"/>
    </w:rPr>
  </w:style>
  <w:style w:type="character" w:customStyle="1" w:styleId="WW8Num43z1">
    <w:name w:val="WW8Num43z1"/>
    <w:rsid w:val="00D57E94"/>
  </w:style>
  <w:style w:type="character" w:customStyle="1" w:styleId="WW8Num43z2">
    <w:name w:val="WW8Num43z2"/>
    <w:rsid w:val="00D57E94"/>
  </w:style>
  <w:style w:type="character" w:customStyle="1" w:styleId="WW8Num43z3">
    <w:name w:val="WW8Num43z3"/>
    <w:rsid w:val="00D57E94"/>
  </w:style>
  <w:style w:type="character" w:customStyle="1" w:styleId="WW8Num43z4">
    <w:name w:val="WW8Num43z4"/>
    <w:rsid w:val="00D57E94"/>
  </w:style>
  <w:style w:type="character" w:customStyle="1" w:styleId="WW8Num43z5">
    <w:name w:val="WW8Num43z5"/>
    <w:rsid w:val="00D57E94"/>
  </w:style>
  <w:style w:type="character" w:customStyle="1" w:styleId="WW8Num43z6">
    <w:name w:val="WW8Num43z6"/>
    <w:rsid w:val="00D57E94"/>
  </w:style>
  <w:style w:type="character" w:customStyle="1" w:styleId="WW8Num43z7">
    <w:name w:val="WW8Num43z7"/>
    <w:rsid w:val="00D57E94"/>
  </w:style>
  <w:style w:type="character" w:customStyle="1" w:styleId="WW8Num43z8">
    <w:name w:val="WW8Num43z8"/>
    <w:rsid w:val="00D57E94"/>
  </w:style>
  <w:style w:type="character" w:customStyle="1" w:styleId="WW8Num44z0">
    <w:name w:val="WW8Num44z0"/>
    <w:rsid w:val="00D57E94"/>
    <w:rPr>
      <w:rFonts w:hint="default"/>
    </w:rPr>
  </w:style>
  <w:style w:type="character" w:customStyle="1" w:styleId="WW8Num45z0">
    <w:name w:val="WW8Num45z0"/>
    <w:rsid w:val="00D57E94"/>
    <w:rPr>
      <w:sz w:val="22"/>
      <w:szCs w:val="22"/>
    </w:rPr>
  </w:style>
  <w:style w:type="character" w:customStyle="1" w:styleId="WW8Num45z1">
    <w:name w:val="WW8Num45z1"/>
    <w:rsid w:val="00D57E94"/>
  </w:style>
  <w:style w:type="character" w:customStyle="1" w:styleId="WW8Num45z2">
    <w:name w:val="WW8Num45z2"/>
    <w:rsid w:val="00D57E94"/>
  </w:style>
  <w:style w:type="character" w:customStyle="1" w:styleId="WW8Num45z3">
    <w:name w:val="WW8Num45z3"/>
    <w:rsid w:val="00D57E94"/>
  </w:style>
  <w:style w:type="character" w:customStyle="1" w:styleId="WW8Num45z4">
    <w:name w:val="WW8Num45z4"/>
    <w:rsid w:val="00D57E94"/>
  </w:style>
  <w:style w:type="character" w:customStyle="1" w:styleId="WW8Num45z5">
    <w:name w:val="WW8Num45z5"/>
    <w:rsid w:val="00D57E94"/>
  </w:style>
  <w:style w:type="character" w:customStyle="1" w:styleId="WW8Num45z6">
    <w:name w:val="WW8Num45z6"/>
    <w:rsid w:val="00D57E94"/>
  </w:style>
  <w:style w:type="character" w:customStyle="1" w:styleId="WW8Num45z7">
    <w:name w:val="WW8Num45z7"/>
    <w:rsid w:val="00D57E94"/>
  </w:style>
  <w:style w:type="character" w:customStyle="1" w:styleId="WW8Num45z8">
    <w:name w:val="WW8Num45z8"/>
    <w:rsid w:val="00D57E94"/>
  </w:style>
  <w:style w:type="character" w:customStyle="1" w:styleId="WW8Num46z0">
    <w:name w:val="WW8Num46z0"/>
    <w:rsid w:val="00D57E94"/>
    <w:rPr>
      <w:rFonts w:hint="default"/>
    </w:rPr>
  </w:style>
  <w:style w:type="character" w:customStyle="1" w:styleId="WW8Num47z0">
    <w:name w:val="WW8Num47z0"/>
    <w:rsid w:val="00D57E94"/>
    <w:rPr>
      <w:rFonts w:ascii="TimesNewRoman" w:eastAsia="Times New Roman" w:hAnsi="TimesNewRoman" w:cs="TimesNewRoman" w:hint="default"/>
    </w:rPr>
  </w:style>
  <w:style w:type="character" w:customStyle="1" w:styleId="WW8Num47z1">
    <w:name w:val="WW8Num47z1"/>
    <w:rsid w:val="00D57E94"/>
    <w:rPr>
      <w:rFonts w:ascii="Courier New" w:hAnsi="Courier New" w:cs="Courier New" w:hint="default"/>
    </w:rPr>
  </w:style>
  <w:style w:type="character" w:customStyle="1" w:styleId="WW8Num47z2">
    <w:name w:val="WW8Num47z2"/>
    <w:rsid w:val="00D57E94"/>
    <w:rPr>
      <w:rFonts w:ascii="Wingdings" w:hAnsi="Wingdings" w:cs="Wingdings" w:hint="default"/>
    </w:rPr>
  </w:style>
  <w:style w:type="character" w:customStyle="1" w:styleId="WW8Num47z3">
    <w:name w:val="WW8Num47z3"/>
    <w:rsid w:val="00D57E94"/>
    <w:rPr>
      <w:rFonts w:ascii="Symbol" w:hAnsi="Symbol" w:cs="Symbol" w:hint="default"/>
    </w:rPr>
  </w:style>
  <w:style w:type="character" w:customStyle="1" w:styleId="WW8Num48z0">
    <w:name w:val="WW8Num48z0"/>
    <w:rsid w:val="00D57E94"/>
    <w:rPr>
      <w:rFonts w:ascii="TimesNewRoman" w:eastAsia="Times New Roman" w:hAnsi="TimesNewRoman" w:cs="TimesNewRoman" w:hint="default"/>
    </w:rPr>
  </w:style>
  <w:style w:type="character" w:customStyle="1" w:styleId="WW8Num48z1">
    <w:name w:val="WW8Num48z1"/>
    <w:rsid w:val="00D57E94"/>
    <w:rPr>
      <w:rFonts w:ascii="Courier New" w:hAnsi="Courier New" w:cs="Courier New" w:hint="default"/>
    </w:rPr>
  </w:style>
  <w:style w:type="character" w:customStyle="1" w:styleId="WW8Num48z2">
    <w:name w:val="WW8Num48z2"/>
    <w:rsid w:val="00D57E94"/>
    <w:rPr>
      <w:rFonts w:ascii="Wingdings" w:hAnsi="Wingdings" w:cs="Wingdings" w:hint="default"/>
    </w:rPr>
  </w:style>
  <w:style w:type="character" w:customStyle="1" w:styleId="WW8Num48z3">
    <w:name w:val="WW8Num48z3"/>
    <w:rsid w:val="00D57E94"/>
    <w:rPr>
      <w:rFonts w:ascii="Symbol" w:hAnsi="Symbol" w:cs="Symbol" w:hint="default"/>
    </w:rPr>
  </w:style>
  <w:style w:type="character" w:customStyle="1" w:styleId="WW8Num49z0">
    <w:name w:val="WW8Num49z0"/>
    <w:rsid w:val="00D57E94"/>
    <w:rPr>
      <w:rFonts w:ascii="TimesNewRoman" w:eastAsia="Times New Roman" w:hAnsi="TimesNewRoman" w:cs="TimesNewRoman" w:hint="default"/>
    </w:rPr>
  </w:style>
  <w:style w:type="character" w:customStyle="1" w:styleId="WW8Num49z1">
    <w:name w:val="WW8Num49z1"/>
    <w:rsid w:val="00D57E94"/>
    <w:rPr>
      <w:rFonts w:ascii="Courier New" w:hAnsi="Courier New" w:cs="Courier New" w:hint="default"/>
    </w:rPr>
  </w:style>
  <w:style w:type="character" w:customStyle="1" w:styleId="WW8Num49z2">
    <w:name w:val="WW8Num49z2"/>
    <w:rsid w:val="00D57E94"/>
    <w:rPr>
      <w:rFonts w:ascii="Wingdings" w:hAnsi="Wingdings" w:cs="Wingdings" w:hint="default"/>
    </w:rPr>
  </w:style>
  <w:style w:type="character" w:customStyle="1" w:styleId="WW8Num49z3">
    <w:name w:val="WW8Num49z3"/>
    <w:rsid w:val="00D57E94"/>
    <w:rPr>
      <w:rFonts w:ascii="Symbol" w:hAnsi="Symbol" w:cs="Symbol" w:hint="default"/>
    </w:rPr>
  </w:style>
  <w:style w:type="character" w:customStyle="1" w:styleId="WW8Num50z0">
    <w:name w:val="WW8Num50z0"/>
    <w:rsid w:val="00D57E94"/>
    <w:rPr>
      <w:rFonts w:ascii="Symbol" w:hAnsi="Symbol" w:cs="Symbol" w:hint="default"/>
    </w:rPr>
  </w:style>
  <w:style w:type="character" w:customStyle="1" w:styleId="WW8Num50z1">
    <w:name w:val="WW8Num50z1"/>
    <w:rsid w:val="00D57E94"/>
    <w:rPr>
      <w:rFonts w:ascii="Courier New" w:hAnsi="Courier New" w:cs="Courier New" w:hint="default"/>
    </w:rPr>
  </w:style>
  <w:style w:type="character" w:customStyle="1" w:styleId="WW8Num50z2">
    <w:name w:val="WW8Num50z2"/>
    <w:rsid w:val="00D57E94"/>
    <w:rPr>
      <w:rFonts w:ascii="Wingdings" w:hAnsi="Wingdings" w:cs="Wingdings" w:hint="default"/>
    </w:rPr>
  </w:style>
  <w:style w:type="character" w:customStyle="1" w:styleId="WW8Num51z0">
    <w:name w:val="WW8Num51z0"/>
    <w:rsid w:val="00D57E94"/>
    <w:rPr>
      <w:rFonts w:ascii="TimesNewRoman" w:eastAsia="Times New Roman" w:hAnsi="TimesNewRoman" w:cs="TimesNewRoman" w:hint="default"/>
    </w:rPr>
  </w:style>
  <w:style w:type="character" w:customStyle="1" w:styleId="WW8Num51z1">
    <w:name w:val="WW8Num51z1"/>
    <w:rsid w:val="00D57E94"/>
    <w:rPr>
      <w:rFonts w:ascii="Courier New" w:hAnsi="Courier New" w:cs="Courier New" w:hint="default"/>
    </w:rPr>
  </w:style>
  <w:style w:type="character" w:customStyle="1" w:styleId="WW8Num51z2">
    <w:name w:val="WW8Num51z2"/>
    <w:rsid w:val="00D57E94"/>
    <w:rPr>
      <w:rFonts w:ascii="Wingdings" w:hAnsi="Wingdings" w:cs="Wingdings" w:hint="default"/>
    </w:rPr>
  </w:style>
  <w:style w:type="character" w:customStyle="1" w:styleId="WW8Num51z3">
    <w:name w:val="WW8Num51z3"/>
    <w:rsid w:val="00D57E94"/>
    <w:rPr>
      <w:rFonts w:ascii="Symbol" w:hAnsi="Symbol" w:cs="Symbol" w:hint="default"/>
    </w:rPr>
  </w:style>
  <w:style w:type="character" w:customStyle="1" w:styleId="WW8Num52z0">
    <w:name w:val="WW8Num52z0"/>
    <w:rsid w:val="00D57E94"/>
    <w:rPr>
      <w:rFonts w:hint="default"/>
    </w:rPr>
  </w:style>
  <w:style w:type="character" w:customStyle="1" w:styleId="WW8Num52z1">
    <w:name w:val="WW8Num52z1"/>
    <w:rsid w:val="00D57E94"/>
    <w:rPr>
      <w:rFonts w:ascii="Courier New" w:hAnsi="Courier New" w:cs="Courier New" w:hint="default"/>
    </w:rPr>
  </w:style>
  <w:style w:type="character" w:customStyle="1" w:styleId="WW8Num52z2">
    <w:name w:val="WW8Num52z2"/>
    <w:rsid w:val="00D57E94"/>
    <w:rPr>
      <w:rFonts w:ascii="Wingdings" w:hAnsi="Wingdings" w:cs="Wingdings" w:hint="default"/>
    </w:rPr>
  </w:style>
  <w:style w:type="character" w:customStyle="1" w:styleId="WW8Num52z3">
    <w:name w:val="WW8Num52z3"/>
    <w:rsid w:val="00D57E94"/>
    <w:rPr>
      <w:rFonts w:ascii="Symbol" w:hAnsi="Symbol" w:cs="Symbol" w:hint="default"/>
    </w:rPr>
  </w:style>
  <w:style w:type="character" w:customStyle="1" w:styleId="WW8Num53z0">
    <w:name w:val="WW8Num53z0"/>
    <w:rsid w:val="00D57E94"/>
    <w:rPr>
      <w:rFonts w:ascii="TimesNewRoman" w:eastAsia="Times New Roman" w:hAnsi="TimesNewRoman" w:cs="TimesNewRoman" w:hint="default"/>
    </w:rPr>
  </w:style>
  <w:style w:type="character" w:customStyle="1" w:styleId="WW8Num53z1">
    <w:name w:val="WW8Num53z1"/>
    <w:rsid w:val="00D57E94"/>
    <w:rPr>
      <w:rFonts w:ascii="Courier New" w:hAnsi="Courier New" w:cs="Courier New" w:hint="default"/>
    </w:rPr>
  </w:style>
  <w:style w:type="character" w:customStyle="1" w:styleId="WW8Num53z2">
    <w:name w:val="WW8Num53z2"/>
    <w:rsid w:val="00D57E94"/>
    <w:rPr>
      <w:rFonts w:ascii="Wingdings" w:hAnsi="Wingdings" w:cs="Wingdings" w:hint="default"/>
    </w:rPr>
  </w:style>
  <w:style w:type="character" w:customStyle="1" w:styleId="WW8Num53z3">
    <w:name w:val="WW8Num53z3"/>
    <w:rsid w:val="00D57E94"/>
    <w:rPr>
      <w:rFonts w:ascii="Symbol" w:hAnsi="Symbol" w:cs="Symbol" w:hint="default"/>
    </w:rPr>
  </w:style>
  <w:style w:type="character" w:customStyle="1" w:styleId="WW8Num54z0">
    <w:name w:val="WW8Num54z0"/>
    <w:rsid w:val="00D57E94"/>
    <w:rPr>
      <w:rFonts w:ascii="TimesNewRoman" w:eastAsia="Times New Roman" w:hAnsi="TimesNewRoman" w:cs="TimesNewRoman" w:hint="default"/>
    </w:rPr>
  </w:style>
  <w:style w:type="character" w:customStyle="1" w:styleId="WW8Num54z1">
    <w:name w:val="WW8Num54z1"/>
    <w:rsid w:val="00D57E94"/>
    <w:rPr>
      <w:rFonts w:ascii="Courier New" w:hAnsi="Courier New" w:cs="Courier New" w:hint="default"/>
    </w:rPr>
  </w:style>
  <w:style w:type="character" w:customStyle="1" w:styleId="WW8Num54z2">
    <w:name w:val="WW8Num54z2"/>
    <w:rsid w:val="00D57E94"/>
    <w:rPr>
      <w:rFonts w:ascii="Wingdings" w:hAnsi="Wingdings" w:cs="Wingdings" w:hint="default"/>
    </w:rPr>
  </w:style>
  <w:style w:type="character" w:customStyle="1" w:styleId="WW8Num54z3">
    <w:name w:val="WW8Num54z3"/>
    <w:rsid w:val="00D57E94"/>
    <w:rPr>
      <w:rFonts w:ascii="Symbol" w:hAnsi="Symbol" w:cs="Symbol" w:hint="default"/>
    </w:rPr>
  </w:style>
  <w:style w:type="character" w:customStyle="1" w:styleId="WW8Num55z0">
    <w:name w:val="WW8Num55z0"/>
    <w:rsid w:val="00D57E94"/>
    <w:rPr>
      <w:rFonts w:ascii="TimesNewRoman" w:eastAsia="Times New Roman" w:hAnsi="TimesNewRoman" w:cs="TimesNewRoman" w:hint="default"/>
    </w:rPr>
  </w:style>
  <w:style w:type="character" w:customStyle="1" w:styleId="WW8Num55z1">
    <w:name w:val="WW8Num55z1"/>
    <w:rsid w:val="00D57E94"/>
    <w:rPr>
      <w:rFonts w:ascii="Courier New" w:hAnsi="Courier New" w:cs="Courier New" w:hint="default"/>
    </w:rPr>
  </w:style>
  <w:style w:type="character" w:customStyle="1" w:styleId="WW8Num55z2">
    <w:name w:val="WW8Num55z2"/>
    <w:rsid w:val="00D57E94"/>
    <w:rPr>
      <w:rFonts w:ascii="Wingdings" w:hAnsi="Wingdings" w:cs="Wingdings" w:hint="default"/>
    </w:rPr>
  </w:style>
  <w:style w:type="character" w:customStyle="1" w:styleId="WW8Num55z3">
    <w:name w:val="WW8Num55z3"/>
    <w:rsid w:val="00D57E94"/>
    <w:rPr>
      <w:rFonts w:ascii="Symbol" w:hAnsi="Symbol" w:cs="Symbol" w:hint="default"/>
    </w:rPr>
  </w:style>
  <w:style w:type="character" w:customStyle="1" w:styleId="WW8Num56z0">
    <w:name w:val="WW8Num56z0"/>
    <w:rsid w:val="00D57E94"/>
    <w:rPr>
      <w:rFonts w:ascii="TimesNewRoman" w:eastAsia="Times New Roman" w:hAnsi="TimesNewRoman" w:cs="TimesNewRoman" w:hint="default"/>
    </w:rPr>
  </w:style>
  <w:style w:type="character" w:customStyle="1" w:styleId="WW8Num56z1">
    <w:name w:val="WW8Num56z1"/>
    <w:rsid w:val="00D57E94"/>
    <w:rPr>
      <w:rFonts w:ascii="Courier New" w:hAnsi="Courier New" w:cs="Courier New" w:hint="default"/>
    </w:rPr>
  </w:style>
  <w:style w:type="character" w:customStyle="1" w:styleId="WW8Num56z2">
    <w:name w:val="WW8Num56z2"/>
    <w:rsid w:val="00D57E94"/>
    <w:rPr>
      <w:rFonts w:ascii="Wingdings" w:hAnsi="Wingdings" w:cs="Wingdings" w:hint="default"/>
    </w:rPr>
  </w:style>
  <w:style w:type="character" w:customStyle="1" w:styleId="WW8Num56z3">
    <w:name w:val="WW8Num56z3"/>
    <w:rsid w:val="00D57E94"/>
    <w:rPr>
      <w:rFonts w:ascii="Symbol" w:hAnsi="Symbol" w:cs="Symbol" w:hint="default"/>
    </w:rPr>
  </w:style>
  <w:style w:type="character" w:customStyle="1" w:styleId="WW8Num57z0">
    <w:name w:val="WW8Num57z0"/>
    <w:rsid w:val="00D57E94"/>
  </w:style>
  <w:style w:type="character" w:customStyle="1" w:styleId="WW8Num57z1">
    <w:name w:val="WW8Num57z1"/>
    <w:rsid w:val="00D57E94"/>
  </w:style>
  <w:style w:type="character" w:customStyle="1" w:styleId="WW8Num57z2">
    <w:name w:val="WW8Num57z2"/>
    <w:rsid w:val="00D57E94"/>
  </w:style>
  <w:style w:type="character" w:customStyle="1" w:styleId="WW8Num57z3">
    <w:name w:val="WW8Num57z3"/>
    <w:rsid w:val="00D57E94"/>
  </w:style>
  <w:style w:type="character" w:customStyle="1" w:styleId="WW8Num57z4">
    <w:name w:val="WW8Num57z4"/>
    <w:rsid w:val="00D57E94"/>
  </w:style>
  <w:style w:type="character" w:customStyle="1" w:styleId="WW8Num57z5">
    <w:name w:val="WW8Num57z5"/>
    <w:rsid w:val="00D57E94"/>
  </w:style>
  <w:style w:type="character" w:customStyle="1" w:styleId="WW8Num57z6">
    <w:name w:val="WW8Num57z6"/>
    <w:rsid w:val="00D57E94"/>
  </w:style>
  <w:style w:type="character" w:customStyle="1" w:styleId="WW8Num57z7">
    <w:name w:val="WW8Num57z7"/>
    <w:rsid w:val="00D57E94"/>
  </w:style>
  <w:style w:type="character" w:customStyle="1" w:styleId="WW8Num57z8">
    <w:name w:val="WW8Num57z8"/>
    <w:rsid w:val="00D57E94"/>
  </w:style>
  <w:style w:type="character" w:customStyle="1" w:styleId="WW8Num58z0">
    <w:name w:val="WW8Num58z0"/>
    <w:rsid w:val="00D57E94"/>
    <w:rPr>
      <w:rFonts w:ascii="Symbol" w:hAnsi="Symbol" w:cs="Symbol" w:hint="default"/>
      <w:color w:val="000000"/>
      <w:sz w:val="22"/>
      <w:szCs w:val="22"/>
    </w:rPr>
  </w:style>
  <w:style w:type="character" w:customStyle="1" w:styleId="WW8Num58z1">
    <w:name w:val="WW8Num58z1"/>
    <w:rsid w:val="00D57E94"/>
    <w:rPr>
      <w:rFonts w:ascii="Courier New" w:hAnsi="Courier New" w:cs="Courier New" w:hint="default"/>
    </w:rPr>
  </w:style>
  <w:style w:type="character" w:customStyle="1" w:styleId="WW8Num58z2">
    <w:name w:val="WW8Num58z2"/>
    <w:rsid w:val="00D57E94"/>
    <w:rPr>
      <w:rFonts w:ascii="Wingdings" w:hAnsi="Wingdings" w:cs="Wingdings" w:hint="default"/>
    </w:rPr>
  </w:style>
  <w:style w:type="character" w:customStyle="1" w:styleId="WW8Num59z0">
    <w:name w:val="WW8Num59z0"/>
    <w:rsid w:val="00D57E94"/>
    <w:rPr>
      <w:rFonts w:ascii="TimesNewRoman" w:eastAsia="Times New Roman" w:hAnsi="TimesNewRoman" w:cs="TimesNewRoman" w:hint="default"/>
    </w:rPr>
  </w:style>
  <w:style w:type="character" w:customStyle="1" w:styleId="WW8Num59z2">
    <w:name w:val="WW8Num59z2"/>
    <w:rsid w:val="00D57E94"/>
    <w:rPr>
      <w:rFonts w:ascii="Wingdings" w:hAnsi="Wingdings" w:cs="Wingdings" w:hint="default"/>
    </w:rPr>
  </w:style>
  <w:style w:type="character" w:customStyle="1" w:styleId="WW8Num59z3">
    <w:name w:val="WW8Num59z3"/>
    <w:rsid w:val="00D57E94"/>
    <w:rPr>
      <w:rFonts w:ascii="Symbol" w:hAnsi="Symbol" w:cs="Symbol" w:hint="default"/>
    </w:rPr>
  </w:style>
  <w:style w:type="character" w:customStyle="1" w:styleId="WW8Num59z4">
    <w:name w:val="WW8Num59z4"/>
    <w:rsid w:val="00D57E94"/>
    <w:rPr>
      <w:rFonts w:ascii="Courier New" w:hAnsi="Courier New" w:cs="Courier New" w:hint="default"/>
    </w:rPr>
  </w:style>
  <w:style w:type="character" w:customStyle="1" w:styleId="WW8Num60z0">
    <w:name w:val="WW8Num60z0"/>
    <w:rsid w:val="00D57E94"/>
    <w:rPr>
      <w:rFonts w:ascii="TimesNewRoman" w:eastAsia="Times New Roman" w:hAnsi="TimesNewRoman" w:cs="TimesNewRoman" w:hint="default"/>
    </w:rPr>
  </w:style>
  <w:style w:type="character" w:customStyle="1" w:styleId="WW8Num60z1">
    <w:name w:val="WW8Num60z1"/>
    <w:rsid w:val="00D57E94"/>
    <w:rPr>
      <w:rFonts w:ascii="Courier New" w:hAnsi="Courier New" w:cs="Courier New" w:hint="default"/>
    </w:rPr>
  </w:style>
  <w:style w:type="character" w:customStyle="1" w:styleId="WW8Num60z2">
    <w:name w:val="WW8Num60z2"/>
    <w:rsid w:val="00D57E94"/>
    <w:rPr>
      <w:rFonts w:ascii="Wingdings" w:hAnsi="Wingdings" w:cs="Wingdings" w:hint="default"/>
    </w:rPr>
  </w:style>
  <w:style w:type="character" w:customStyle="1" w:styleId="WW8Num60z3">
    <w:name w:val="WW8Num60z3"/>
    <w:rsid w:val="00D57E94"/>
    <w:rPr>
      <w:rFonts w:ascii="Symbol" w:hAnsi="Symbol" w:cs="Symbol" w:hint="default"/>
    </w:rPr>
  </w:style>
  <w:style w:type="character" w:customStyle="1" w:styleId="WW8Num61z0">
    <w:name w:val="WW8Num61z0"/>
    <w:rsid w:val="00D57E94"/>
    <w:rPr>
      <w:rFonts w:ascii="TimesNewRoman" w:eastAsia="Times New Roman" w:hAnsi="TimesNewRoman" w:cs="TimesNewRoman" w:hint="default"/>
    </w:rPr>
  </w:style>
  <w:style w:type="character" w:customStyle="1" w:styleId="WW8Num61z2">
    <w:name w:val="WW8Num61z2"/>
    <w:rsid w:val="00D57E94"/>
    <w:rPr>
      <w:rFonts w:ascii="Wingdings" w:hAnsi="Wingdings" w:cs="Wingdings" w:hint="default"/>
    </w:rPr>
  </w:style>
  <w:style w:type="character" w:customStyle="1" w:styleId="WW8Num61z3">
    <w:name w:val="WW8Num61z3"/>
    <w:rsid w:val="00D57E94"/>
    <w:rPr>
      <w:rFonts w:ascii="Symbol" w:hAnsi="Symbol" w:cs="Symbol" w:hint="default"/>
    </w:rPr>
  </w:style>
  <w:style w:type="character" w:customStyle="1" w:styleId="WW8Num61z4">
    <w:name w:val="WW8Num61z4"/>
    <w:rsid w:val="00D57E94"/>
    <w:rPr>
      <w:rFonts w:ascii="Courier New" w:hAnsi="Courier New" w:cs="Courier New" w:hint="default"/>
    </w:rPr>
  </w:style>
  <w:style w:type="character" w:customStyle="1" w:styleId="WW8Num62z0">
    <w:name w:val="WW8Num62z0"/>
    <w:rsid w:val="00D57E94"/>
    <w:rPr>
      <w:rFonts w:ascii="Symbol" w:hAnsi="Symbol" w:cs="Symbol" w:hint="default"/>
      <w:sz w:val="22"/>
      <w:szCs w:val="22"/>
    </w:rPr>
  </w:style>
  <w:style w:type="character" w:customStyle="1" w:styleId="WW8Num62z1">
    <w:name w:val="WW8Num62z1"/>
    <w:rsid w:val="00D57E94"/>
    <w:rPr>
      <w:rFonts w:ascii="Courier New" w:hAnsi="Courier New" w:cs="Courier New" w:hint="default"/>
    </w:rPr>
  </w:style>
  <w:style w:type="character" w:customStyle="1" w:styleId="WW8Num62z2">
    <w:name w:val="WW8Num62z2"/>
    <w:rsid w:val="00D57E94"/>
    <w:rPr>
      <w:rFonts w:ascii="Wingdings" w:hAnsi="Wingdings" w:cs="Wingdings" w:hint="default"/>
    </w:rPr>
  </w:style>
  <w:style w:type="character" w:customStyle="1" w:styleId="WW8Num63z0">
    <w:name w:val="WW8Num63z0"/>
    <w:rsid w:val="00D57E94"/>
    <w:rPr>
      <w:rFonts w:ascii="Wingdings" w:hAnsi="Wingdings" w:cs="Wingdings" w:hint="default"/>
      <w:sz w:val="20"/>
    </w:rPr>
  </w:style>
  <w:style w:type="character" w:customStyle="1" w:styleId="WW8Num63z1">
    <w:name w:val="WW8Num63z1"/>
    <w:rsid w:val="00D57E94"/>
    <w:rPr>
      <w:rFonts w:ascii="Courier New" w:hAnsi="Courier New" w:cs="Courier New" w:hint="default"/>
    </w:rPr>
  </w:style>
  <w:style w:type="character" w:customStyle="1" w:styleId="WW8Num63z2">
    <w:name w:val="WW8Num63z2"/>
    <w:rsid w:val="00D57E94"/>
    <w:rPr>
      <w:rFonts w:ascii="Wingdings" w:hAnsi="Wingdings" w:cs="Wingdings" w:hint="default"/>
    </w:rPr>
  </w:style>
  <w:style w:type="character" w:customStyle="1" w:styleId="WW8Num63z3">
    <w:name w:val="WW8Num63z3"/>
    <w:rsid w:val="00D57E94"/>
    <w:rPr>
      <w:rFonts w:ascii="Symbol" w:hAnsi="Symbol" w:cs="Symbol" w:hint="default"/>
    </w:rPr>
  </w:style>
  <w:style w:type="character" w:customStyle="1" w:styleId="WW8Num64z0">
    <w:name w:val="WW8Num64z0"/>
    <w:rsid w:val="00D57E94"/>
    <w:rPr>
      <w:rFonts w:ascii="TimesNewRoman" w:eastAsia="Times New Roman" w:hAnsi="TimesNewRoman" w:cs="TimesNewRoman" w:hint="default"/>
    </w:rPr>
  </w:style>
  <w:style w:type="character" w:customStyle="1" w:styleId="WW8Num64z1">
    <w:name w:val="WW8Num64z1"/>
    <w:rsid w:val="00D57E94"/>
    <w:rPr>
      <w:rFonts w:ascii="Courier New" w:hAnsi="Courier New" w:cs="Courier New" w:hint="default"/>
    </w:rPr>
  </w:style>
  <w:style w:type="character" w:customStyle="1" w:styleId="WW8Num64z2">
    <w:name w:val="WW8Num64z2"/>
    <w:rsid w:val="00D57E94"/>
    <w:rPr>
      <w:rFonts w:ascii="Wingdings" w:hAnsi="Wingdings" w:cs="Wingdings" w:hint="default"/>
    </w:rPr>
  </w:style>
  <w:style w:type="character" w:customStyle="1" w:styleId="WW8Num64z3">
    <w:name w:val="WW8Num64z3"/>
    <w:rsid w:val="00D57E94"/>
    <w:rPr>
      <w:rFonts w:ascii="Symbol" w:hAnsi="Symbol" w:cs="Symbol" w:hint="default"/>
    </w:rPr>
  </w:style>
  <w:style w:type="character" w:customStyle="1" w:styleId="WW8Num65z0">
    <w:name w:val="WW8Num65z0"/>
    <w:rsid w:val="00D57E94"/>
    <w:rPr>
      <w:rFonts w:ascii="TimesNewRoman" w:eastAsia="Times New Roman" w:hAnsi="TimesNewRoman" w:cs="TimesNewRoman" w:hint="default"/>
    </w:rPr>
  </w:style>
  <w:style w:type="character" w:customStyle="1" w:styleId="WW8Num65z1">
    <w:name w:val="WW8Num65z1"/>
    <w:rsid w:val="00D57E94"/>
    <w:rPr>
      <w:rFonts w:ascii="Courier New" w:hAnsi="Courier New" w:cs="Courier New" w:hint="default"/>
    </w:rPr>
  </w:style>
  <w:style w:type="character" w:customStyle="1" w:styleId="WW8Num65z2">
    <w:name w:val="WW8Num65z2"/>
    <w:rsid w:val="00D57E94"/>
    <w:rPr>
      <w:rFonts w:ascii="Wingdings" w:hAnsi="Wingdings" w:cs="Wingdings" w:hint="default"/>
    </w:rPr>
  </w:style>
  <w:style w:type="character" w:customStyle="1" w:styleId="WW8Num65z3">
    <w:name w:val="WW8Num65z3"/>
    <w:rsid w:val="00D57E94"/>
    <w:rPr>
      <w:rFonts w:ascii="Symbol" w:hAnsi="Symbol" w:cs="Symbol" w:hint="default"/>
    </w:rPr>
  </w:style>
  <w:style w:type="character" w:customStyle="1" w:styleId="WW8Num66z0">
    <w:name w:val="WW8Num66z0"/>
    <w:rsid w:val="00D57E94"/>
    <w:rPr>
      <w:rFonts w:ascii="Wingdings" w:hAnsi="Wingdings" w:cs="Wingdings" w:hint="default"/>
      <w:sz w:val="20"/>
    </w:rPr>
  </w:style>
  <w:style w:type="character" w:customStyle="1" w:styleId="WW8Num66z1">
    <w:name w:val="WW8Num66z1"/>
    <w:rsid w:val="00D57E94"/>
    <w:rPr>
      <w:rFonts w:ascii="Courier New" w:hAnsi="Courier New" w:cs="Courier New" w:hint="default"/>
    </w:rPr>
  </w:style>
  <w:style w:type="character" w:customStyle="1" w:styleId="WW8Num66z2">
    <w:name w:val="WW8Num66z2"/>
    <w:rsid w:val="00D57E94"/>
    <w:rPr>
      <w:rFonts w:ascii="Wingdings" w:hAnsi="Wingdings" w:cs="Wingdings" w:hint="default"/>
    </w:rPr>
  </w:style>
  <w:style w:type="character" w:customStyle="1" w:styleId="WW8Num66z3">
    <w:name w:val="WW8Num66z3"/>
    <w:rsid w:val="00D57E94"/>
    <w:rPr>
      <w:rFonts w:ascii="Symbol" w:hAnsi="Symbol" w:cs="Symbol" w:hint="default"/>
    </w:rPr>
  </w:style>
  <w:style w:type="character" w:customStyle="1" w:styleId="WW8Num67z0">
    <w:name w:val="WW8Num67z0"/>
    <w:rsid w:val="00D57E94"/>
    <w:rPr>
      <w:rFonts w:ascii="TimesNewRoman" w:eastAsia="Times New Roman" w:hAnsi="TimesNewRoman" w:cs="TimesNewRoman" w:hint="default"/>
    </w:rPr>
  </w:style>
  <w:style w:type="character" w:customStyle="1" w:styleId="WW8Num67z1">
    <w:name w:val="WW8Num67z1"/>
    <w:rsid w:val="00D57E94"/>
    <w:rPr>
      <w:rFonts w:ascii="Courier New" w:hAnsi="Courier New" w:cs="Courier New" w:hint="default"/>
    </w:rPr>
  </w:style>
  <w:style w:type="character" w:customStyle="1" w:styleId="WW8Num67z2">
    <w:name w:val="WW8Num67z2"/>
    <w:rsid w:val="00D57E94"/>
    <w:rPr>
      <w:rFonts w:ascii="Wingdings" w:hAnsi="Wingdings" w:cs="Wingdings" w:hint="default"/>
    </w:rPr>
  </w:style>
  <w:style w:type="character" w:customStyle="1" w:styleId="WW8Num67z3">
    <w:name w:val="WW8Num67z3"/>
    <w:rsid w:val="00D57E94"/>
    <w:rPr>
      <w:rFonts w:ascii="Symbol" w:hAnsi="Symbol" w:cs="Symbol" w:hint="default"/>
    </w:rPr>
  </w:style>
  <w:style w:type="character" w:customStyle="1" w:styleId="WW8Num68z0">
    <w:name w:val="WW8Num68z0"/>
    <w:rsid w:val="00D57E94"/>
    <w:rPr>
      <w:rFonts w:ascii="Symbol" w:hAnsi="Symbol" w:cs="Symbol" w:hint="default"/>
    </w:rPr>
  </w:style>
  <w:style w:type="character" w:customStyle="1" w:styleId="WW8Num68z1">
    <w:name w:val="WW8Num68z1"/>
    <w:rsid w:val="00D57E94"/>
    <w:rPr>
      <w:rFonts w:ascii="Courier New" w:hAnsi="Courier New" w:cs="Courier New" w:hint="default"/>
    </w:rPr>
  </w:style>
  <w:style w:type="character" w:customStyle="1" w:styleId="WW8Num68z2">
    <w:name w:val="WW8Num68z2"/>
    <w:rsid w:val="00D57E94"/>
    <w:rPr>
      <w:rFonts w:ascii="Wingdings" w:hAnsi="Wingdings" w:cs="Wingdings" w:hint="default"/>
    </w:rPr>
  </w:style>
  <w:style w:type="character" w:customStyle="1" w:styleId="WW8NumSt5z0">
    <w:name w:val="WW8NumSt5z0"/>
    <w:rsid w:val="00D57E94"/>
    <w:rPr>
      <w:rFonts w:ascii="Wingdings" w:hAnsi="Wingdings" w:cs="Wingdings" w:hint="default"/>
      <w:sz w:val="22"/>
    </w:rPr>
  </w:style>
  <w:style w:type="character" w:customStyle="1" w:styleId="DefaultParagraphFont1">
    <w:name w:val="Default Paragraph Font1"/>
    <w:rsid w:val="00D57E94"/>
  </w:style>
  <w:style w:type="character" w:customStyle="1" w:styleId="FootnoteCharacters">
    <w:name w:val="Footnote Characters"/>
    <w:rsid w:val="00D57E94"/>
    <w:rPr>
      <w:rFonts w:ascii="Times New Roman" w:hAnsi="Times New Roman" w:cs="Times New Roman"/>
      <w:color w:val="auto"/>
      <w:sz w:val="20"/>
      <w:szCs w:val="18"/>
      <w:vertAlign w:val="superscript"/>
    </w:rPr>
  </w:style>
  <w:style w:type="character" w:customStyle="1" w:styleId="EndnoteCharacters">
    <w:name w:val="Endnote Characters"/>
    <w:rsid w:val="00D57E94"/>
    <w:rPr>
      <w:vertAlign w:val="superscript"/>
    </w:rPr>
  </w:style>
  <w:style w:type="paragraph" w:customStyle="1" w:styleId="Heading">
    <w:name w:val="Heading"/>
    <w:basedOn w:val="Normal"/>
    <w:next w:val="BodyText"/>
    <w:rsid w:val="00D57E94"/>
    <w:pPr>
      <w:keepNext/>
      <w:suppressAutoHyphens/>
      <w:spacing w:before="240"/>
    </w:pPr>
    <w:rPr>
      <w:rFonts w:ascii="Arial" w:eastAsia="Microsoft YaHei" w:hAnsi="Arial" w:cs="Arial Unicode MS"/>
      <w:sz w:val="28"/>
      <w:szCs w:val="28"/>
      <w:lang w:eastAsia="ar-SA"/>
    </w:rPr>
  </w:style>
  <w:style w:type="paragraph" w:styleId="List">
    <w:name w:val="List"/>
    <w:basedOn w:val="BodyText"/>
    <w:rsid w:val="00D57E94"/>
    <w:pPr>
      <w:suppressAutoHyphens/>
      <w:autoSpaceDN/>
      <w:adjustRightInd/>
    </w:pPr>
    <w:rPr>
      <w:rFonts w:cs="Arial Unicode MS"/>
      <w:lang w:eastAsia="ar-SA"/>
    </w:rPr>
  </w:style>
  <w:style w:type="paragraph" w:customStyle="1" w:styleId="Index">
    <w:name w:val="Index"/>
    <w:basedOn w:val="Normal"/>
    <w:rsid w:val="00D57E94"/>
    <w:pPr>
      <w:suppressLineNumbers/>
      <w:suppressAutoHyphens/>
    </w:pPr>
    <w:rPr>
      <w:rFonts w:cs="Arial Unicode MS"/>
      <w:lang w:eastAsia="ar-SA"/>
    </w:rPr>
  </w:style>
  <w:style w:type="paragraph" w:customStyle="1" w:styleId="Subtitle0">
    <w:name w:val="Subtitle0"/>
    <w:basedOn w:val="Heading"/>
    <w:next w:val="BodyText"/>
    <w:link w:val="SubtitleChar"/>
    <w:qFormat/>
    <w:rsid w:val="00D57E94"/>
    <w:pPr>
      <w:jc w:val="center"/>
    </w:pPr>
    <w:rPr>
      <w:i/>
      <w:iCs/>
    </w:rPr>
  </w:style>
  <w:style w:type="character" w:customStyle="1" w:styleId="SubtitleChar">
    <w:name w:val="Subtitle Char"/>
    <w:basedOn w:val="DefaultParagraphFont"/>
    <w:link w:val="Subtitle0"/>
    <w:rsid w:val="00D57E94"/>
    <w:rPr>
      <w:rFonts w:ascii="Arial" w:eastAsia="Microsoft YaHei" w:hAnsi="Arial" w:cs="Arial Unicode MS"/>
      <w:i/>
      <w:iCs/>
      <w:sz w:val="28"/>
      <w:szCs w:val="28"/>
      <w:lang w:val="en-GB" w:eastAsia="ar-SA"/>
    </w:rPr>
  </w:style>
  <w:style w:type="paragraph" w:customStyle="1" w:styleId="WW-Default">
    <w:name w:val="WW-Default"/>
    <w:rsid w:val="00D57E94"/>
    <w:pPr>
      <w:suppressAutoHyphens/>
      <w:autoSpaceDE w:val="0"/>
    </w:pPr>
    <w:rPr>
      <w:color w:val="000000"/>
      <w:sz w:val="24"/>
      <w:szCs w:val="24"/>
      <w:lang w:eastAsia="ar-SA"/>
    </w:rPr>
  </w:style>
  <w:style w:type="paragraph" w:customStyle="1" w:styleId="Nadpisobsahu">
    <w:name w:val="Nadpis obsahu"/>
    <w:basedOn w:val="Heading1"/>
    <w:next w:val="Normal"/>
    <w:rsid w:val="00D57E94"/>
    <w:pPr>
      <w:keepLines/>
      <w:tabs>
        <w:tab w:val="clear" w:pos="1247"/>
        <w:tab w:val="clear" w:pos="1814"/>
      </w:tabs>
      <w:suppressAutoHyphens/>
      <w:spacing w:before="480" w:after="0" w:line="276" w:lineRule="auto"/>
      <w:ind w:left="0" w:firstLine="0"/>
    </w:pPr>
    <w:rPr>
      <w:rFonts w:ascii="Cambria" w:hAnsi="Cambria" w:cs="Cambria"/>
      <w:bCs/>
      <w:color w:val="365F91"/>
      <w:szCs w:val="28"/>
      <w:lang w:val="en-US" w:eastAsia="ar-SA"/>
    </w:rPr>
  </w:style>
  <w:style w:type="paragraph" w:customStyle="1" w:styleId="ColorfulList-Accent11">
    <w:name w:val="Colorful List - Accent 11"/>
    <w:basedOn w:val="Normal"/>
    <w:rsid w:val="00D57E94"/>
    <w:pPr>
      <w:suppressAutoHyphens/>
      <w:ind w:left="720"/>
    </w:pPr>
    <w:rPr>
      <w:szCs w:val="24"/>
      <w:lang w:val="en-US" w:eastAsia="ar-SA"/>
    </w:rPr>
  </w:style>
  <w:style w:type="paragraph" w:customStyle="1" w:styleId="MediumGrid21">
    <w:name w:val="Medium Grid 21"/>
    <w:rsid w:val="00D57E94"/>
    <w:pPr>
      <w:suppressAutoHyphens/>
    </w:pPr>
    <w:rPr>
      <w:rFonts w:ascii="Calibri" w:eastAsia="Calibri" w:hAnsi="Calibri" w:cs="Calibri"/>
      <w:sz w:val="22"/>
      <w:szCs w:val="22"/>
      <w:lang w:eastAsia="ar-SA"/>
    </w:rPr>
  </w:style>
  <w:style w:type="paragraph" w:customStyle="1" w:styleId="ColorfulShading-Accent11">
    <w:name w:val="Colorful Shading - Accent 11"/>
    <w:rsid w:val="00D57E94"/>
    <w:pPr>
      <w:suppressAutoHyphens/>
    </w:pPr>
    <w:rPr>
      <w:sz w:val="24"/>
      <w:szCs w:val="24"/>
      <w:lang w:eastAsia="ar-SA"/>
    </w:rPr>
  </w:style>
  <w:style w:type="paragraph" w:customStyle="1" w:styleId="CVNormal">
    <w:name w:val="CV Normal"/>
    <w:basedOn w:val="Normal"/>
    <w:rsid w:val="00D57E94"/>
    <w:pPr>
      <w:suppressAutoHyphens/>
      <w:ind w:left="113" w:right="113"/>
    </w:pPr>
    <w:rPr>
      <w:rFonts w:ascii="Arial Narrow" w:hAnsi="Arial Narrow" w:cs="Arial Narrow"/>
      <w:lang w:val="en-US" w:eastAsia="ar-SA"/>
    </w:rPr>
  </w:style>
  <w:style w:type="paragraph" w:customStyle="1" w:styleId="FCChartFootnote">
    <w:name w:val="FC_Chart_Footnote"/>
    <w:basedOn w:val="Normal"/>
    <w:next w:val="Normal"/>
    <w:rsid w:val="00D57E94"/>
    <w:pPr>
      <w:suppressAutoHyphens/>
      <w:spacing w:after="200"/>
      <w:ind w:firstLine="187"/>
      <w:jc w:val="both"/>
    </w:pPr>
    <w:rPr>
      <w:rFonts w:ascii="Times" w:hAnsi="Times" w:cs="Times"/>
      <w:szCs w:val="24"/>
      <w:lang w:val="en-US" w:eastAsia="ar-SA"/>
    </w:rPr>
  </w:style>
  <w:style w:type="paragraph" w:customStyle="1" w:styleId="msonormal0">
    <w:name w:val="msonormal"/>
    <w:basedOn w:val="Normal"/>
    <w:rsid w:val="00D57E94"/>
    <w:pPr>
      <w:spacing w:before="100" w:beforeAutospacing="1" w:after="100" w:afterAutospacing="1"/>
    </w:pPr>
    <w:rPr>
      <w:szCs w:val="24"/>
      <w:lang w:val="en-US"/>
    </w:rPr>
  </w:style>
  <w:style w:type="paragraph" w:customStyle="1" w:styleId="font5">
    <w:name w:val="font5"/>
    <w:basedOn w:val="Normal"/>
    <w:rsid w:val="00D57E94"/>
    <w:pPr>
      <w:spacing w:before="100" w:beforeAutospacing="1" w:after="100" w:afterAutospacing="1"/>
    </w:pPr>
    <w:rPr>
      <w:rFonts w:ascii="Arial" w:hAnsi="Arial" w:cs="Arial"/>
      <w:sz w:val="22"/>
      <w:szCs w:val="22"/>
      <w:lang w:val="en-US"/>
    </w:rPr>
  </w:style>
  <w:style w:type="paragraph" w:customStyle="1" w:styleId="font6">
    <w:name w:val="font6"/>
    <w:basedOn w:val="Normal"/>
    <w:rsid w:val="00D57E94"/>
    <w:pPr>
      <w:spacing w:before="100" w:beforeAutospacing="1" w:after="100" w:afterAutospacing="1"/>
    </w:pPr>
    <w:rPr>
      <w:rFonts w:ascii="Calibri" w:hAnsi="Calibri"/>
      <w:sz w:val="22"/>
      <w:szCs w:val="22"/>
      <w:lang w:val="en-US"/>
    </w:rPr>
  </w:style>
  <w:style w:type="paragraph" w:customStyle="1" w:styleId="xl65">
    <w:name w:val="xl65"/>
    <w:basedOn w:val="Normal"/>
    <w:rsid w:val="00D57E94"/>
    <w:pPr>
      <w:spacing w:before="100" w:beforeAutospacing="1" w:after="100" w:afterAutospacing="1"/>
      <w:textAlignment w:val="center"/>
    </w:pPr>
    <w:rPr>
      <w:szCs w:val="24"/>
      <w:lang w:val="en-US"/>
    </w:rPr>
  </w:style>
  <w:style w:type="paragraph" w:customStyle="1" w:styleId="xl66">
    <w:name w:val="xl66"/>
    <w:basedOn w:val="Normal"/>
    <w:rsid w:val="00D57E94"/>
    <w:pPr>
      <w:spacing w:before="100" w:beforeAutospacing="1" w:after="100" w:afterAutospacing="1"/>
    </w:pPr>
    <w:rPr>
      <w:szCs w:val="24"/>
      <w:lang w:val="en-US"/>
    </w:rPr>
  </w:style>
  <w:style w:type="paragraph" w:customStyle="1" w:styleId="xl67">
    <w:name w:val="xl67"/>
    <w:basedOn w:val="Normal"/>
    <w:rsid w:val="00D57E94"/>
    <w:pPr>
      <w:spacing w:before="100" w:beforeAutospacing="1" w:after="100" w:afterAutospacing="1"/>
      <w:jc w:val="right"/>
    </w:pPr>
    <w:rPr>
      <w:szCs w:val="24"/>
      <w:lang w:val="en-US"/>
    </w:rPr>
  </w:style>
  <w:style w:type="paragraph" w:customStyle="1" w:styleId="xl68">
    <w:name w:val="xl68"/>
    <w:basedOn w:val="Normal"/>
    <w:rsid w:val="00D57E94"/>
    <w:pPr>
      <w:spacing w:before="100" w:beforeAutospacing="1" w:after="100" w:afterAutospacing="1"/>
      <w:jc w:val="right"/>
    </w:pPr>
    <w:rPr>
      <w:szCs w:val="24"/>
      <w:lang w:val="en-US"/>
    </w:rPr>
  </w:style>
  <w:style w:type="paragraph" w:customStyle="1" w:styleId="xl69">
    <w:name w:val="xl69"/>
    <w:basedOn w:val="Normal"/>
    <w:rsid w:val="00D57E94"/>
    <w:pPr>
      <w:spacing w:before="100" w:beforeAutospacing="1" w:after="100" w:afterAutospacing="1"/>
      <w:jc w:val="right"/>
    </w:pPr>
    <w:rPr>
      <w:szCs w:val="24"/>
      <w:lang w:val="en-US"/>
    </w:rPr>
  </w:style>
  <w:style w:type="paragraph" w:customStyle="1" w:styleId="xl70">
    <w:name w:val="xl70"/>
    <w:basedOn w:val="Normal"/>
    <w:rsid w:val="00D57E94"/>
    <w:pPr>
      <w:spacing w:before="100" w:beforeAutospacing="1" w:after="100" w:afterAutospacing="1"/>
      <w:jc w:val="center"/>
    </w:pPr>
    <w:rPr>
      <w:szCs w:val="24"/>
      <w:lang w:val="en-US"/>
    </w:rPr>
  </w:style>
  <w:style w:type="paragraph" w:customStyle="1" w:styleId="xl71">
    <w:name w:val="xl71"/>
    <w:basedOn w:val="Normal"/>
    <w:rsid w:val="00D57E94"/>
    <w:pPr>
      <w:spacing w:before="100" w:beforeAutospacing="1" w:after="100" w:afterAutospacing="1"/>
      <w:jc w:val="center"/>
    </w:pPr>
    <w:rPr>
      <w:szCs w:val="24"/>
      <w:lang w:val="en-US"/>
    </w:rPr>
  </w:style>
  <w:style w:type="paragraph" w:customStyle="1" w:styleId="xl72">
    <w:name w:val="xl72"/>
    <w:basedOn w:val="Normal"/>
    <w:rsid w:val="00D57E94"/>
    <w:pPr>
      <w:spacing w:before="100" w:beforeAutospacing="1" w:after="100" w:afterAutospacing="1"/>
    </w:pPr>
    <w:rPr>
      <w:szCs w:val="24"/>
      <w:lang w:val="en-US"/>
    </w:rPr>
  </w:style>
  <w:style w:type="paragraph" w:customStyle="1" w:styleId="xl73">
    <w:name w:val="xl73"/>
    <w:basedOn w:val="Normal"/>
    <w:rsid w:val="00D57E94"/>
    <w:pPr>
      <w:pBdr>
        <w:bottom w:val="single" w:sz="4" w:space="0" w:color="auto"/>
      </w:pBdr>
      <w:spacing w:before="100" w:beforeAutospacing="1" w:after="100" w:afterAutospacing="1"/>
      <w:jc w:val="center"/>
      <w:textAlignment w:val="center"/>
    </w:pPr>
    <w:rPr>
      <w:szCs w:val="24"/>
      <w:lang w:val="en-US"/>
    </w:rPr>
  </w:style>
  <w:style w:type="paragraph" w:customStyle="1" w:styleId="xl74">
    <w:name w:val="xl74"/>
    <w:basedOn w:val="Normal"/>
    <w:rsid w:val="00D57E94"/>
    <w:pPr>
      <w:pBdr>
        <w:bottom w:val="single" w:sz="4" w:space="0" w:color="auto"/>
      </w:pBdr>
      <w:spacing w:before="100" w:beforeAutospacing="1" w:after="100" w:afterAutospacing="1"/>
      <w:jc w:val="right"/>
      <w:textAlignment w:val="center"/>
    </w:pPr>
    <w:rPr>
      <w:szCs w:val="24"/>
      <w:lang w:val="en-US"/>
    </w:rPr>
  </w:style>
  <w:style w:type="paragraph" w:customStyle="1" w:styleId="xl75">
    <w:name w:val="xl75"/>
    <w:basedOn w:val="Normal"/>
    <w:rsid w:val="00D57E94"/>
    <w:pPr>
      <w:pBdr>
        <w:bottom w:val="single" w:sz="4" w:space="0" w:color="auto"/>
      </w:pBdr>
      <w:spacing w:before="100" w:beforeAutospacing="1" w:after="100" w:afterAutospacing="1"/>
      <w:textAlignment w:val="center"/>
    </w:pPr>
    <w:rPr>
      <w:szCs w:val="24"/>
      <w:lang w:val="en-US"/>
    </w:rPr>
  </w:style>
  <w:style w:type="paragraph" w:customStyle="1" w:styleId="xl76">
    <w:name w:val="xl76"/>
    <w:basedOn w:val="Normal"/>
    <w:rsid w:val="00D57E94"/>
    <w:pPr>
      <w:pBdr>
        <w:left w:val="single" w:sz="8" w:space="0" w:color="auto"/>
      </w:pBdr>
      <w:spacing w:before="100" w:beforeAutospacing="1" w:after="100" w:afterAutospacing="1"/>
    </w:pPr>
    <w:rPr>
      <w:szCs w:val="24"/>
      <w:lang w:val="en-US"/>
    </w:rPr>
  </w:style>
  <w:style w:type="paragraph" w:customStyle="1" w:styleId="xl77">
    <w:name w:val="xl77"/>
    <w:basedOn w:val="Normal"/>
    <w:rsid w:val="00D57E94"/>
    <w:pPr>
      <w:pBdr>
        <w:right w:val="single" w:sz="8" w:space="0" w:color="auto"/>
      </w:pBdr>
      <w:spacing w:before="100" w:beforeAutospacing="1" w:after="100" w:afterAutospacing="1"/>
      <w:jc w:val="center"/>
    </w:pPr>
    <w:rPr>
      <w:szCs w:val="24"/>
      <w:lang w:val="en-US"/>
    </w:rPr>
  </w:style>
  <w:style w:type="paragraph" w:customStyle="1" w:styleId="xl78">
    <w:name w:val="xl78"/>
    <w:basedOn w:val="Normal"/>
    <w:rsid w:val="00D57E94"/>
    <w:pPr>
      <w:pBdr>
        <w:right w:val="single" w:sz="8" w:space="0" w:color="auto"/>
      </w:pBdr>
      <w:spacing w:before="100" w:beforeAutospacing="1" w:after="100" w:afterAutospacing="1"/>
      <w:jc w:val="right"/>
    </w:pPr>
    <w:rPr>
      <w:szCs w:val="24"/>
      <w:lang w:val="en-US"/>
    </w:rPr>
  </w:style>
  <w:style w:type="paragraph" w:customStyle="1" w:styleId="xl79">
    <w:name w:val="xl79"/>
    <w:basedOn w:val="Normal"/>
    <w:rsid w:val="00D57E94"/>
    <w:pPr>
      <w:pBdr>
        <w:left w:val="single" w:sz="8" w:space="0" w:color="auto"/>
        <w:bottom w:val="single" w:sz="4" w:space="0" w:color="auto"/>
      </w:pBdr>
      <w:spacing w:before="100" w:beforeAutospacing="1" w:after="100" w:afterAutospacing="1"/>
      <w:textAlignment w:val="center"/>
    </w:pPr>
    <w:rPr>
      <w:szCs w:val="24"/>
      <w:lang w:val="en-US"/>
    </w:rPr>
  </w:style>
  <w:style w:type="paragraph" w:customStyle="1" w:styleId="xl80">
    <w:name w:val="xl80"/>
    <w:basedOn w:val="Normal"/>
    <w:rsid w:val="00D57E94"/>
    <w:pPr>
      <w:pBdr>
        <w:left w:val="single" w:sz="8" w:space="0" w:color="auto"/>
      </w:pBdr>
      <w:spacing w:before="100" w:beforeAutospacing="1" w:after="100" w:afterAutospacing="1"/>
    </w:pPr>
    <w:rPr>
      <w:szCs w:val="24"/>
      <w:lang w:val="en-US"/>
    </w:rPr>
  </w:style>
  <w:style w:type="paragraph" w:customStyle="1" w:styleId="xl81">
    <w:name w:val="xl81"/>
    <w:basedOn w:val="Normal"/>
    <w:rsid w:val="00D57E94"/>
    <w:pPr>
      <w:pBdr>
        <w:bottom w:val="single" w:sz="4" w:space="0" w:color="auto"/>
      </w:pBdr>
      <w:spacing w:before="100" w:beforeAutospacing="1" w:after="100" w:afterAutospacing="1"/>
    </w:pPr>
    <w:rPr>
      <w:szCs w:val="24"/>
      <w:lang w:val="en-US"/>
    </w:rPr>
  </w:style>
  <w:style w:type="paragraph" w:customStyle="1" w:styleId="xl82">
    <w:name w:val="xl82"/>
    <w:basedOn w:val="Normal"/>
    <w:rsid w:val="00D57E94"/>
    <w:pPr>
      <w:pBdr>
        <w:bottom w:val="single" w:sz="4" w:space="0" w:color="auto"/>
      </w:pBdr>
      <w:spacing w:before="100" w:beforeAutospacing="1" w:after="100" w:afterAutospacing="1"/>
      <w:jc w:val="right"/>
    </w:pPr>
    <w:rPr>
      <w:szCs w:val="24"/>
      <w:lang w:val="en-US"/>
    </w:rPr>
  </w:style>
  <w:style w:type="paragraph" w:customStyle="1" w:styleId="xl83">
    <w:name w:val="xl83"/>
    <w:basedOn w:val="Normal"/>
    <w:rsid w:val="00D57E94"/>
    <w:pPr>
      <w:pBdr>
        <w:bottom w:val="single" w:sz="4" w:space="0" w:color="auto"/>
        <w:right w:val="single" w:sz="8" w:space="0" w:color="auto"/>
      </w:pBdr>
      <w:spacing w:before="100" w:beforeAutospacing="1" w:after="100" w:afterAutospacing="1"/>
      <w:jc w:val="right"/>
    </w:pPr>
    <w:rPr>
      <w:szCs w:val="24"/>
      <w:lang w:val="en-US"/>
    </w:rPr>
  </w:style>
  <w:style w:type="paragraph" w:customStyle="1" w:styleId="xl84">
    <w:name w:val="xl84"/>
    <w:basedOn w:val="Normal"/>
    <w:rsid w:val="00D57E94"/>
    <w:pPr>
      <w:spacing w:before="100" w:beforeAutospacing="1" w:after="100" w:afterAutospacing="1"/>
    </w:pPr>
    <w:rPr>
      <w:rFonts w:ascii="Calibri" w:hAnsi="Calibri"/>
      <w:szCs w:val="24"/>
      <w:lang w:val="en-US"/>
    </w:rPr>
  </w:style>
  <w:style w:type="paragraph" w:customStyle="1" w:styleId="xl85">
    <w:name w:val="xl85"/>
    <w:basedOn w:val="Normal"/>
    <w:rsid w:val="00D57E94"/>
    <w:pPr>
      <w:spacing w:before="100" w:beforeAutospacing="1" w:after="100" w:afterAutospacing="1"/>
      <w:jc w:val="right"/>
    </w:pPr>
    <w:rPr>
      <w:szCs w:val="24"/>
      <w:lang w:val="en-US"/>
    </w:rPr>
  </w:style>
  <w:style w:type="paragraph" w:customStyle="1" w:styleId="xl86">
    <w:name w:val="xl86"/>
    <w:basedOn w:val="Normal"/>
    <w:rsid w:val="00D57E94"/>
    <w:pPr>
      <w:pBdr>
        <w:top w:val="single" w:sz="8" w:space="0" w:color="auto"/>
        <w:left w:val="single" w:sz="8" w:space="0" w:color="auto"/>
      </w:pBdr>
      <w:spacing w:before="100" w:beforeAutospacing="1" w:after="100" w:afterAutospacing="1"/>
    </w:pPr>
    <w:rPr>
      <w:szCs w:val="24"/>
      <w:lang w:val="en-US"/>
    </w:rPr>
  </w:style>
  <w:style w:type="paragraph" w:customStyle="1" w:styleId="xl87">
    <w:name w:val="xl87"/>
    <w:basedOn w:val="Normal"/>
    <w:rsid w:val="00D57E94"/>
    <w:pPr>
      <w:pBdr>
        <w:top w:val="single" w:sz="8" w:space="0" w:color="auto"/>
      </w:pBdr>
      <w:spacing w:before="100" w:beforeAutospacing="1" w:after="100" w:afterAutospacing="1"/>
    </w:pPr>
    <w:rPr>
      <w:szCs w:val="24"/>
      <w:lang w:val="en-US"/>
    </w:rPr>
  </w:style>
  <w:style w:type="paragraph" w:customStyle="1" w:styleId="xl88">
    <w:name w:val="xl88"/>
    <w:basedOn w:val="Normal"/>
    <w:rsid w:val="00D57E94"/>
    <w:pPr>
      <w:pBdr>
        <w:top w:val="single" w:sz="8" w:space="0" w:color="auto"/>
      </w:pBdr>
      <w:spacing w:before="100" w:beforeAutospacing="1" w:after="100" w:afterAutospacing="1"/>
      <w:jc w:val="center"/>
    </w:pPr>
    <w:rPr>
      <w:szCs w:val="24"/>
      <w:lang w:val="en-US"/>
    </w:rPr>
  </w:style>
  <w:style w:type="paragraph" w:customStyle="1" w:styleId="xl89">
    <w:name w:val="xl89"/>
    <w:basedOn w:val="Normal"/>
    <w:rsid w:val="00D57E94"/>
    <w:pPr>
      <w:pBdr>
        <w:top w:val="single" w:sz="8" w:space="0" w:color="auto"/>
      </w:pBdr>
      <w:spacing w:before="100" w:beforeAutospacing="1" w:after="100" w:afterAutospacing="1"/>
      <w:jc w:val="right"/>
    </w:pPr>
    <w:rPr>
      <w:szCs w:val="24"/>
      <w:lang w:val="en-US"/>
    </w:rPr>
  </w:style>
  <w:style w:type="paragraph" w:customStyle="1" w:styleId="xl90">
    <w:name w:val="xl90"/>
    <w:basedOn w:val="Normal"/>
    <w:rsid w:val="00D57E94"/>
    <w:pPr>
      <w:pBdr>
        <w:top w:val="single" w:sz="8" w:space="0" w:color="auto"/>
        <w:right w:val="single" w:sz="8" w:space="0" w:color="auto"/>
      </w:pBdr>
      <w:spacing w:before="100" w:beforeAutospacing="1" w:after="100" w:afterAutospacing="1"/>
      <w:jc w:val="right"/>
    </w:pPr>
    <w:rPr>
      <w:szCs w:val="24"/>
      <w:lang w:val="en-US"/>
    </w:rPr>
  </w:style>
  <w:style w:type="paragraph" w:customStyle="1" w:styleId="xl91">
    <w:name w:val="xl91"/>
    <w:basedOn w:val="Normal"/>
    <w:rsid w:val="00D57E94"/>
    <w:pPr>
      <w:pBdr>
        <w:left w:val="single" w:sz="8" w:space="0" w:color="auto"/>
      </w:pBdr>
      <w:spacing w:before="100" w:beforeAutospacing="1" w:after="100" w:afterAutospacing="1"/>
    </w:pPr>
    <w:rPr>
      <w:szCs w:val="24"/>
      <w:lang w:val="en-US"/>
    </w:rPr>
  </w:style>
  <w:style w:type="paragraph" w:customStyle="1" w:styleId="xl92">
    <w:name w:val="xl92"/>
    <w:basedOn w:val="Normal"/>
    <w:rsid w:val="00D57E94"/>
    <w:pPr>
      <w:pBdr>
        <w:right w:val="single" w:sz="8" w:space="0" w:color="auto"/>
      </w:pBdr>
      <w:spacing w:before="100" w:beforeAutospacing="1" w:after="100" w:afterAutospacing="1"/>
      <w:jc w:val="right"/>
    </w:pPr>
    <w:rPr>
      <w:szCs w:val="24"/>
      <w:lang w:val="en-US"/>
    </w:rPr>
  </w:style>
  <w:style w:type="paragraph" w:customStyle="1" w:styleId="xl93">
    <w:name w:val="xl93"/>
    <w:basedOn w:val="Normal"/>
    <w:rsid w:val="00D57E94"/>
    <w:pPr>
      <w:pBdr>
        <w:left w:val="single" w:sz="8" w:space="0" w:color="auto"/>
        <w:bottom w:val="single" w:sz="8" w:space="0" w:color="auto"/>
      </w:pBdr>
      <w:spacing w:before="100" w:beforeAutospacing="1" w:after="100" w:afterAutospacing="1"/>
    </w:pPr>
    <w:rPr>
      <w:szCs w:val="24"/>
      <w:lang w:val="en-US"/>
    </w:rPr>
  </w:style>
  <w:style w:type="paragraph" w:customStyle="1" w:styleId="xl94">
    <w:name w:val="xl94"/>
    <w:basedOn w:val="Normal"/>
    <w:rsid w:val="00D57E94"/>
    <w:pPr>
      <w:pBdr>
        <w:bottom w:val="single" w:sz="8" w:space="0" w:color="auto"/>
      </w:pBdr>
      <w:spacing w:before="100" w:beforeAutospacing="1" w:after="100" w:afterAutospacing="1"/>
    </w:pPr>
    <w:rPr>
      <w:szCs w:val="24"/>
      <w:lang w:val="en-US"/>
    </w:rPr>
  </w:style>
  <w:style w:type="paragraph" w:customStyle="1" w:styleId="xl95">
    <w:name w:val="xl95"/>
    <w:basedOn w:val="Normal"/>
    <w:rsid w:val="00D57E94"/>
    <w:pPr>
      <w:pBdr>
        <w:bottom w:val="single" w:sz="8" w:space="0" w:color="auto"/>
      </w:pBdr>
      <w:spacing w:before="100" w:beforeAutospacing="1" w:after="100" w:afterAutospacing="1"/>
      <w:jc w:val="center"/>
    </w:pPr>
    <w:rPr>
      <w:szCs w:val="24"/>
      <w:lang w:val="en-US"/>
    </w:rPr>
  </w:style>
  <w:style w:type="paragraph" w:customStyle="1" w:styleId="xl96">
    <w:name w:val="xl96"/>
    <w:basedOn w:val="Normal"/>
    <w:rsid w:val="00D57E94"/>
    <w:pPr>
      <w:pBdr>
        <w:bottom w:val="single" w:sz="8" w:space="0" w:color="auto"/>
      </w:pBdr>
      <w:spacing w:before="100" w:beforeAutospacing="1" w:after="100" w:afterAutospacing="1"/>
      <w:jc w:val="right"/>
    </w:pPr>
    <w:rPr>
      <w:szCs w:val="24"/>
      <w:lang w:val="en-US"/>
    </w:rPr>
  </w:style>
  <w:style w:type="paragraph" w:customStyle="1" w:styleId="xl97">
    <w:name w:val="xl97"/>
    <w:basedOn w:val="Normal"/>
    <w:rsid w:val="00D57E94"/>
    <w:pPr>
      <w:pBdr>
        <w:bottom w:val="single" w:sz="8" w:space="0" w:color="auto"/>
        <w:right w:val="single" w:sz="8" w:space="0" w:color="auto"/>
      </w:pBdr>
      <w:spacing w:before="100" w:beforeAutospacing="1" w:after="100" w:afterAutospacing="1"/>
      <w:jc w:val="right"/>
    </w:pPr>
    <w:rPr>
      <w:szCs w:val="24"/>
      <w:lang w:val="en-US"/>
    </w:rPr>
  </w:style>
  <w:style w:type="paragraph" w:customStyle="1" w:styleId="xl98">
    <w:name w:val="xl98"/>
    <w:basedOn w:val="Normal"/>
    <w:rsid w:val="00D57E94"/>
    <w:pPr>
      <w:pBdr>
        <w:top w:val="single" w:sz="8" w:space="0" w:color="auto"/>
        <w:left w:val="single" w:sz="8" w:space="0" w:color="auto"/>
      </w:pBdr>
      <w:spacing w:before="100" w:beforeAutospacing="1" w:after="100" w:afterAutospacing="1"/>
    </w:pPr>
    <w:rPr>
      <w:szCs w:val="24"/>
      <w:lang w:val="en-US"/>
    </w:rPr>
  </w:style>
  <w:style w:type="paragraph" w:customStyle="1" w:styleId="xl99">
    <w:name w:val="xl99"/>
    <w:basedOn w:val="Normal"/>
    <w:rsid w:val="00D57E94"/>
    <w:pPr>
      <w:pBdr>
        <w:top w:val="single" w:sz="8" w:space="0" w:color="auto"/>
      </w:pBdr>
      <w:spacing w:before="100" w:beforeAutospacing="1" w:after="100" w:afterAutospacing="1"/>
      <w:jc w:val="right"/>
    </w:pPr>
    <w:rPr>
      <w:szCs w:val="24"/>
      <w:lang w:val="en-US"/>
    </w:rPr>
  </w:style>
  <w:style w:type="paragraph" w:customStyle="1" w:styleId="xl100">
    <w:name w:val="xl100"/>
    <w:basedOn w:val="Normal"/>
    <w:rsid w:val="00D57E94"/>
    <w:pPr>
      <w:pBdr>
        <w:left w:val="single" w:sz="8" w:space="0" w:color="auto"/>
      </w:pBdr>
      <w:spacing w:before="100" w:beforeAutospacing="1" w:after="100" w:afterAutospacing="1"/>
    </w:pPr>
    <w:rPr>
      <w:szCs w:val="24"/>
      <w:lang w:val="en-US"/>
    </w:rPr>
  </w:style>
  <w:style w:type="paragraph" w:customStyle="1" w:styleId="xl101">
    <w:name w:val="xl101"/>
    <w:basedOn w:val="Normal"/>
    <w:rsid w:val="00D57E94"/>
    <w:pPr>
      <w:pBdr>
        <w:left w:val="single" w:sz="8" w:space="0" w:color="auto"/>
        <w:bottom w:val="single" w:sz="8" w:space="0" w:color="auto"/>
      </w:pBdr>
      <w:spacing w:before="100" w:beforeAutospacing="1" w:after="100" w:afterAutospacing="1"/>
    </w:pPr>
    <w:rPr>
      <w:szCs w:val="24"/>
      <w:lang w:val="en-US"/>
    </w:rPr>
  </w:style>
  <w:style w:type="paragraph" w:customStyle="1" w:styleId="xl102">
    <w:name w:val="xl102"/>
    <w:basedOn w:val="Normal"/>
    <w:rsid w:val="00D57E94"/>
    <w:pPr>
      <w:pBdr>
        <w:bottom w:val="single" w:sz="8" w:space="0" w:color="auto"/>
      </w:pBdr>
      <w:spacing w:before="100" w:beforeAutospacing="1" w:after="100" w:afterAutospacing="1"/>
      <w:jc w:val="right"/>
    </w:pPr>
    <w:rPr>
      <w:szCs w:val="24"/>
      <w:lang w:val="en-US"/>
    </w:rPr>
  </w:style>
  <w:style w:type="paragraph" w:customStyle="1" w:styleId="xl103">
    <w:name w:val="xl103"/>
    <w:basedOn w:val="Normal"/>
    <w:rsid w:val="00D57E94"/>
    <w:pPr>
      <w:pBdr>
        <w:bottom w:val="single" w:sz="8" w:space="0" w:color="auto"/>
      </w:pBdr>
      <w:spacing w:before="100" w:beforeAutospacing="1" w:after="100" w:afterAutospacing="1"/>
      <w:textAlignment w:val="center"/>
    </w:pPr>
    <w:rPr>
      <w:szCs w:val="24"/>
      <w:lang w:val="en-US"/>
    </w:rPr>
  </w:style>
  <w:style w:type="paragraph" w:customStyle="1" w:styleId="xl104">
    <w:name w:val="xl104"/>
    <w:basedOn w:val="Normal"/>
    <w:rsid w:val="00D57E94"/>
    <w:pPr>
      <w:pBdr>
        <w:right w:val="single" w:sz="8" w:space="0" w:color="auto"/>
      </w:pBdr>
      <w:spacing w:before="100" w:beforeAutospacing="1" w:after="100" w:afterAutospacing="1"/>
      <w:jc w:val="center"/>
    </w:pPr>
    <w:rPr>
      <w:szCs w:val="24"/>
      <w:lang w:val="en-US"/>
    </w:rPr>
  </w:style>
  <w:style w:type="paragraph" w:customStyle="1" w:styleId="xl105">
    <w:name w:val="xl105"/>
    <w:basedOn w:val="Normal"/>
    <w:rsid w:val="00D57E94"/>
    <w:pPr>
      <w:pBdr>
        <w:bottom w:val="single" w:sz="8" w:space="0" w:color="auto"/>
        <w:right w:val="single" w:sz="8" w:space="0" w:color="auto"/>
      </w:pBdr>
      <w:spacing w:before="100" w:beforeAutospacing="1" w:after="100" w:afterAutospacing="1"/>
      <w:jc w:val="center"/>
    </w:pPr>
    <w:rPr>
      <w:szCs w:val="24"/>
      <w:lang w:val="en-US"/>
    </w:rPr>
  </w:style>
  <w:style w:type="paragraph" w:customStyle="1" w:styleId="xl106">
    <w:name w:val="xl106"/>
    <w:basedOn w:val="Normal"/>
    <w:rsid w:val="00D57E94"/>
    <w:pPr>
      <w:pBdr>
        <w:bottom w:val="single" w:sz="8" w:space="0" w:color="auto"/>
      </w:pBdr>
      <w:spacing w:before="100" w:beforeAutospacing="1" w:after="100" w:afterAutospacing="1"/>
      <w:jc w:val="center"/>
    </w:pPr>
    <w:rPr>
      <w:szCs w:val="24"/>
      <w:lang w:val="en-US"/>
    </w:rPr>
  </w:style>
  <w:style w:type="paragraph" w:customStyle="1" w:styleId="xl107">
    <w:name w:val="xl107"/>
    <w:basedOn w:val="Normal"/>
    <w:rsid w:val="00D57E94"/>
    <w:pPr>
      <w:pBdr>
        <w:bottom w:val="single" w:sz="8" w:space="0" w:color="auto"/>
        <w:right w:val="single" w:sz="8" w:space="0" w:color="auto"/>
      </w:pBdr>
      <w:spacing w:before="100" w:beforeAutospacing="1" w:after="100" w:afterAutospacing="1"/>
      <w:jc w:val="center"/>
    </w:pPr>
    <w:rPr>
      <w:szCs w:val="24"/>
      <w:lang w:val="en-US"/>
    </w:rPr>
  </w:style>
  <w:style w:type="paragraph" w:customStyle="1" w:styleId="xl108">
    <w:name w:val="xl108"/>
    <w:basedOn w:val="Normal"/>
    <w:rsid w:val="00D57E94"/>
    <w:pPr>
      <w:pBdr>
        <w:bottom w:val="single" w:sz="4" w:space="0" w:color="auto"/>
      </w:pBdr>
      <w:spacing w:before="100" w:beforeAutospacing="1" w:after="100" w:afterAutospacing="1"/>
    </w:pPr>
    <w:rPr>
      <w:szCs w:val="24"/>
      <w:lang w:val="en-US"/>
    </w:rPr>
  </w:style>
  <w:style w:type="paragraph" w:customStyle="1" w:styleId="xl109">
    <w:name w:val="xl109"/>
    <w:basedOn w:val="Normal"/>
    <w:rsid w:val="00D57E94"/>
    <w:pPr>
      <w:pBdr>
        <w:bottom w:val="single" w:sz="4" w:space="0" w:color="auto"/>
        <w:right w:val="single" w:sz="8" w:space="0" w:color="auto"/>
      </w:pBdr>
      <w:spacing w:before="100" w:beforeAutospacing="1" w:after="100" w:afterAutospacing="1"/>
      <w:jc w:val="right"/>
    </w:pPr>
    <w:rPr>
      <w:szCs w:val="24"/>
      <w:lang w:val="en-US"/>
    </w:rPr>
  </w:style>
  <w:style w:type="paragraph" w:customStyle="1" w:styleId="xl110">
    <w:name w:val="xl110"/>
    <w:basedOn w:val="Normal"/>
    <w:rsid w:val="00D57E94"/>
    <w:pPr>
      <w:pBdr>
        <w:left w:val="single" w:sz="8" w:space="0" w:color="auto"/>
        <w:bottom w:val="single" w:sz="4" w:space="0" w:color="auto"/>
      </w:pBdr>
      <w:spacing w:before="100" w:beforeAutospacing="1" w:after="100" w:afterAutospacing="1"/>
    </w:pPr>
    <w:rPr>
      <w:szCs w:val="24"/>
      <w:lang w:val="en-US"/>
    </w:rPr>
  </w:style>
  <w:style w:type="paragraph" w:customStyle="1" w:styleId="xl111">
    <w:name w:val="xl111"/>
    <w:basedOn w:val="Normal"/>
    <w:rsid w:val="00D57E94"/>
    <w:pPr>
      <w:pBdr>
        <w:bottom w:val="single" w:sz="4" w:space="0" w:color="auto"/>
      </w:pBdr>
      <w:spacing w:before="100" w:beforeAutospacing="1" w:after="100" w:afterAutospacing="1"/>
      <w:jc w:val="center"/>
    </w:pPr>
    <w:rPr>
      <w:szCs w:val="24"/>
      <w:lang w:val="en-US"/>
    </w:rPr>
  </w:style>
  <w:style w:type="paragraph" w:customStyle="1" w:styleId="xl112">
    <w:name w:val="xl112"/>
    <w:basedOn w:val="Normal"/>
    <w:rsid w:val="00D57E94"/>
    <w:pPr>
      <w:pBdr>
        <w:bottom w:val="single" w:sz="4" w:space="0" w:color="auto"/>
      </w:pBdr>
      <w:spacing w:before="100" w:beforeAutospacing="1" w:after="100" w:afterAutospacing="1"/>
      <w:jc w:val="right"/>
    </w:pPr>
    <w:rPr>
      <w:szCs w:val="24"/>
      <w:lang w:val="en-US"/>
    </w:rPr>
  </w:style>
  <w:style w:type="paragraph" w:customStyle="1" w:styleId="xl113">
    <w:name w:val="xl113"/>
    <w:basedOn w:val="Normal"/>
    <w:rsid w:val="00D57E94"/>
    <w:pPr>
      <w:pBdr>
        <w:bottom w:val="single" w:sz="4" w:space="0" w:color="auto"/>
        <w:right w:val="single" w:sz="8" w:space="0" w:color="auto"/>
      </w:pBdr>
      <w:spacing w:before="100" w:beforeAutospacing="1" w:after="100" w:afterAutospacing="1"/>
      <w:jc w:val="center"/>
    </w:pPr>
    <w:rPr>
      <w:szCs w:val="24"/>
      <w:lang w:val="en-US"/>
    </w:rPr>
  </w:style>
  <w:style w:type="paragraph" w:customStyle="1" w:styleId="xl114">
    <w:name w:val="xl114"/>
    <w:basedOn w:val="Normal"/>
    <w:rsid w:val="00D57E94"/>
    <w:pPr>
      <w:pBdr>
        <w:left w:val="single" w:sz="8" w:space="0" w:color="auto"/>
        <w:bottom w:val="single" w:sz="4" w:space="0" w:color="auto"/>
      </w:pBdr>
      <w:spacing w:before="100" w:beforeAutospacing="1" w:after="100" w:afterAutospacing="1"/>
    </w:pPr>
    <w:rPr>
      <w:szCs w:val="24"/>
      <w:lang w:val="en-US"/>
    </w:rPr>
  </w:style>
  <w:style w:type="paragraph" w:customStyle="1" w:styleId="xl115">
    <w:name w:val="xl115"/>
    <w:basedOn w:val="Normal"/>
    <w:rsid w:val="00D57E94"/>
    <w:pPr>
      <w:pBdr>
        <w:left w:val="single" w:sz="8" w:space="0" w:color="auto"/>
        <w:bottom w:val="single" w:sz="4" w:space="0" w:color="auto"/>
      </w:pBdr>
      <w:spacing w:before="100" w:beforeAutospacing="1" w:after="100" w:afterAutospacing="1"/>
    </w:pPr>
    <w:rPr>
      <w:szCs w:val="24"/>
      <w:lang w:val="en-US"/>
    </w:rPr>
  </w:style>
  <w:style w:type="paragraph" w:customStyle="1" w:styleId="xl116">
    <w:name w:val="xl116"/>
    <w:basedOn w:val="Normal"/>
    <w:rsid w:val="00D57E94"/>
    <w:pPr>
      <w:pBdr>
        <w:bottom w:val="single" w:sz="4" w:space="0" w:color="auto"/>
      </w:pBdr>
      <w:spacing w:before="100" w:beforeAutospacing="1" w:after="100" w:afterAutospacing="1"/>
      <w:jc w:val="center"/>
    </w:pPr>
    <w:rPr>
      <w:szCs w:val="24"/>
      <w:lang w:val="en-US"/>
    </w:rPr>
  </w:style>
  <w:style w:type="paragraph" w:customStyle="1" w:styleId="xl117">
    <w:name w:val="xl117"/>
    <w:basedOn w:val="Normal"/>
    <w:rsid w:val="00D57E94"/>
    <w:pPr>
      <w:pBdr>
        <w:bottom w:val="single" w:sz="4" w:space="0" w:color="auto"/>
      </w:pBdr>
      <w:spacing w:before="100" w:beforeAutospacing="1" w:after="100" w:afterAutospacing="1"/>
      <w:jc w:val="right"/>
    </w:pPr>
    <w:rPr>
      <w:szCs w:val="24"/>
      <w:lang w:val="en-US"/>
    </w:rPr>
  </w:style>
  <w:style w:type="paragraph" w:customStyle="1" w:styleId="xl118">
    <w:name w:val="xl118"/>
    <w:basedOn w:val="Normal"/>
    <w:rsid w:val="00D57E94"/>
    <w:pPr>
      <w:pBdr>
        <w:bottom w:val="single" w:sz="8" w:space="0" w:color="auto"/>
      </w:pBdr>
      <w:spacing w:before="100" w:beforeAutospacing="1" w:after="100" w:afterAutospacing="1"/>
      <w:jc w:val="right"/>
    </w:pPr>
    <w:rPr>
      <w:szCs w:val="24"/>
      <w:lang w:val="en-US"/>
    </w:rPr>
  </w:style>
  <w:style w:type="paragraph" w:customStyle="1" w:styleId="xl119">
    <w:name w:val="xl119"/>
    <w:basedOn w:val="Normal"/>
    <w:rsid w:val="00D57E94"/>
    <w:pPr>
      <w:spacing w:before="100" w:beforeAutospacing="1" w:after="100" w:afterAutospacing="1"/>
    </w:pPr>
    <w:rPr>
      <w:i/>
      <w:iCs/>
      <w:szCs w:val="24"/>
      <w:lang w:val="en-US"/>
    </w:rPr>
  </w:style>
  <w:style w:type="paragraph" w:customStyle="1" w:styleId="xl120">
    <w:name w:val="xl120"/>
    <w:basedOn w:val="Normal"/>
    <w:rsid w:val="00D57E94"/>
    <w:pPr>
      <w:pBdr>
        <w:bottom w:val="single" w:sz="4" w:space="0" w:color="auto"/>
      </w:pBdr>
      <w:spacing w:before="100" w:beforeAutospacing="1" w:after="100" w:afterAutospacing="1"/>
    </w:pPr>
    <w:rPr>
      <w:i/>
      <w:iCs/>
      <w:szCs w:val="24"/>
      <w:lang w:val="en-US"/>
    </w:rPr>
  </w:style>
  <w:style w:type="paragraph" w:customStyle="1" w:styleId="xl121">
    <w:name w:val="xl121"/>
    <w:basedOn w:val="Normal"/>
    <w:rsid w:val="00D57E94"/>
    <w:pPr>
      <w:pBdr>
        <w:left w:val="single" w:sz="8" w:space="0" w:color="auto"/>
        <w:bottom w:val="single" w:sz="8" w:space="0" w:color="auto"/>
      </w:pBdr>
      <w:spacing w:before="100" w:beforeAutospacing="1" w:after="100" w:afterAutospacing="1"/>
    </w:pPr>
    <w:rPr>
      <w:szCs w:val="24"/>
      <w:lang w:val="en-US"/>
    </w:rPr>
  </w:style>
  <w:style w:type="paragraph" w:customStyle="1" w:styleId="xl122">
    <w:name w:val="xl122"/>
    <w:basedOn w:val="Normal"/>
    <w:rsid w:val="00D57E94"/>
    <w:pPr>
      <w:pBdr>
        <w:bottom w:val="single" w:sz="8" w:space="0" w:color="auto"/>
      </w:pBdr>
      <w:spacing w:before="100" w:beforeAutospacing="1" w:after="100" w:afterAutospacing="1"/>
    </w:pPr>
    <w:rPr>
      <w:szCs w:val="24"/>
      <w:lang w:val="en-US"/>
    </w:rPr>
  </w:style>
  <w:style w:type="paragraph" w:customStyle="1" w:styleId="xl123">
    <w:name w:val="xl123"/>
    <w:basedOn w:val="Normal"/>
    <w:rsid w:val="00D57E94"/>
    <w:pPr>
      <w:pBdr>
        <w:bottom w:val="single" w:sz="8" w:space="0" w:color="auto"/>
      </w:pBdr>
      <w:spacing w:before="100" w:beforeAutospacing="1" w:after="100" w:afterAutospacing="1"/>
      <w:jc w:val="right"/>
    </w:pPr>
    <w:rPr>
      <w:szCs w:val="24"/>
      <w:lang w:val="en-US"/>
    </w:rPr>
  </w:style>
  <w:style w:type="paragraph" w:customStyle="1" w:styleId="xl124">
    <w:name w:val="xl124"/>
    <w:basedOn w:val="Normal"/>
    <w:rsid w:val="00D57E94"/>
    <w:pPr>
      <w:pBdr>
        <w:left w:val="single" w:sz="8" w:space="0" w:color="auto"/>
        <w:bottom w:val="single" w:sz="8" w:space="0" w:color="auto"/>
      </w:pBdr>
      <w:spacing w:before="100" w:beforeAutospacing="1" w:after="100" w:afterAutospacing="1"/>
    </w:pPr>
    <w:rPr>
      <w:szCs w:val="24"/>
      <w:lang w:val="en-US"/>
    </w:rPr>
  </w:style>
  <w:style w:type="paragraph" w:customStyle="1" w:styleId="xl125">
    <w:name w:val="xl125"/>
    <w:basedOn w:val="Normal"/>
    <w:rsid w:val="00D57E94"/>
    <w:pPr>
      <w:pBdr>
        <w:left w:val="single" w:sz="8" w:space="0" w:color="auto"/>
      </w:pBdr>
      <w:spacing w:before="100" w:beforeAutospacing="1" w:after="100" w:afterAutospacing="1"/>
    </w:pPr>
    <w:rPr>
      <w:color w:val="FF0000"/>
      <w:szCs w:val="24"/>
      <w:lang w:val="en-US"/>
    </w:rPr>
  </w:style>
  <w:style w:type="paragraph" w:customStyle="1" w:styleId="xl126">
    <w:name w:val="xl126"/>
    <w:basedOn w:val="Normal"/>
    <w:rsid w:val="00D57E94"/>
    <w:pPr>
      <w:spacing w:before="100" w:beforeAutospacing="1" w:after="100" w:afterAutospacing="1"/>
    </w:pPr>
    <w:rPr>
      <w:color w:val="FF0000"/>
      <w:szCs w:val="24"/>
      <w:lang w:val="en-US"/>
    </w:rPr>
  </w:style>
  <w:style w:type="paragraph" w:customStyle="1" w:styleId="xl127">
    <w:name w:val="xl127"/>
    <w:basedOn w:val="Normal"/>
    <w:rsid w:val="00D57E94"/>
    <w:pPr>
      <w:spacing w:before="100" w:beforeAutospacing="1" w:after="100" w:afterAutospacing="1"/>
      <w:jc w:val="center"/>
    </w:pPr>
    <w:rPr>
      <w:color w:val="FF0000"/>
      <w:szCs w:val="24"/>
      <w:lang w:val="en-US"/>
    </w:rPr>
  </w:style>
  <w:style w:type="paragraph" w:customStyle="1" w:styleId="xl128">
    <w:name w:val="xl128"/>
    <w:basedOn w:val="Normal"/>
    <w:rsid w:val="00D57E94"/>
    <w:pPr>
      <w:spacing w:before="100" w:beforeAutospacing="1" w:after="100" w:afterAutospacing="1"/>
      <w:jc w:val="right"/>
    </w:pPr>
    <w:rPr>
      <w:color w:val="FF0000"/>
      <w:szCs w:val="24"/>
      <w:lang w:val="en-US"/>
    </w:rPr>
  </w:style>
  <w:style w:type="paragraph" w:customStyle="1" w:styleId="xl129">
    <w:name w:val="xl129"/>
    <w:basedOn w:val="Normal"/>
    <w:rsid w:val="00D57E94"/>
    <w:pPr>
      <w:spacing w:before="100" w:beforeAutospacing="1" w:after="100" w:afterAutospacing="1"/>
      <w:jc w:val="right"/>
    </w:pPr>
    <w:rPr>
      <w:color w:val="FF0000"/>
      <w:szCs w:val="24"/>
      <w:lang w:val="en-US"/>
    </w:rPr>
  </w:style>
  <w:style w:type="paragraph" w:customStyle="1" w:styleId="xl130">
    <w:name w:val="xl130"/>
    <w:basedOn w:val="Normal"/>
    <w:rsid w:val="00D57E94"/>
    <w:pPr>
      <w:pBdr>
        <w:left w:val="single" w:sz="8" w:space="0" w:color="auto"/>
      </w:pBdr>
      <w:spacing w:before="100" w:beforeAutospacing="1" w:after="100" w:afterAutospacing="1"/>
    </w:pPr>
    <w:rPr>
      <w:color w:val="FF0000"/>
      <w:szCs w:val="24"/>
      <w:lang w:val="en-US"/>
    </w:rPr>
  </w:style>
  <w:style w:type="paragraph" w:customStyle="1" w:styleId="xl131">
    <w:name w:val="xl131"/>
    <w:basedOn w:val="Normal"/>
    <w:rsid w:val="00D57E94"/>
    <w:pPr>
      <w:pBdr>
        <w:right w:val="single" w:sz="8" w:space="0" w:color="auto"/>
      </w:pBdr>
      <w:spacing w:before="100" w:beforeAutospacing="1" w:after="100" w:afterAutospacing="1"/>
      <w:jc w:val="right"/>
    </w:pPr>
    <w:rPr>
      <w:color w:val="FF0000"/>
      <w:szCs w:val="24"/>
      <w:lang w:val="en-US"/>
    </w:rPr>
  </w:style>
  <w:style w:type="paragraph" w:customStyle="1" w:styleId="xl132">
    <w:name w:val="xl132"/>
    <w:basedOn w:val="Normal"/>
    <w:rsid w:val="00D57E94"/>
    <w:pPr>
      <w:spacing w:before="100" w:beforeAutospacing="1" w:after="100" w:afterAutospacing="1"/>
    </w:pPr>
    <w:rPr>
      <w:color w:val="FF0000"/>
      <w:szCs w:val="24"/>
      <w:lang w:val="en-US"/>
    </w:rPr>
  </w:style>
  <w:style w:type="paragraph" w:customStyle="1" w:styleId="xl133">
    <w:name w:val="xl133"/>
    <w:basedOn w:val="Normal"/>
    <w:rsid w:val="00D57E94"/>
    <w:pPr>
      <w:pBdr>
        <w:right w:val="single" w:sz="8" w:space="0" w:color="auto"/>
      </w:pBdr>
      <w:spacing w:before="100" w:beforeAutospacing="1" w:after="100" w:afterAutospacing="1"/>
    </w:pPr>
    <w:rPr>
      <w:szCs w:val="24"/>
      <w:lang w:val="en-US"/>
    </w:rPr>
  </w:style>
  <w:style w:type="paragraph" w:customStyle="1" w:styleId="xl134">
    <w:name w:val="xl134"/>
    <w:basedOn w:val="Normal"/>
    <w:rsid w:val="00D57E94"/>
    <w:pPr>
      <w:pBdr>
        <w:bottom w:val="single" w:sz="8" w:space="0" w:color="auto"/>
        <w:right w:val="single" w:sz="8" w:space="0" w:color="auto"/>
      </w:pBdr>
      <w:spacing w:before="100" w:beforeAutospacing="1" w:after="100" w:afterAutospacing="1"/>
    </w:pPr>
    <w:rPr>
      <w:szCs w:val="24"/>
      <w:lang w:val="en-US"/>
    </w:rPr>
  </w:style>
  <w:style w:type="paragraph" w:customStyle="1" w:styleId="xl135">
    <w:name w:val="xl135"/>
    <w:basedOn w:val="Normal"/>
    <w:rsid w:val="00D57E94"/>
    <w:pPr>
      <w:pBdr>
        <w:top w:val="single" w:sz="8" w:space="0" w:color="auto"/>
        <w:right w:val="single" w:sz="8" w:space="0" w:color="auto"/>
      </w:pBdr>
      <w:spacing w:before="100" w:beforeAutospacing="1" w:after="100" w:afterAutospacing="1"/>
      <w:jc w:val="center"/>
    </w:pPr>
    <w:rPr>
      <w:szCs w:val="24"/>
      <w:lang w:val="en-US"/>
    </w:rPr>
  </w:style>
  <w:style w:type="paragraph" w:customStyle="1" w:styleId="xl136">
    <w:name w:val="xl136"/>
    <w:basedOn w:val="Normal"/>
    <w:rsid w:val="00D57E94"/>
    <w:pPr>
      <w:pBdr>
        <w:right w:val="single" w:sz="8" w:space="0" w:color="auto"/>
      </w:pBdr>
      <w:shd w:val="clear" w:color="000000" w:fill="C6EFCE"/>
      <w:spacing w:before="100" w:beforeAutospacing="1" w:after="100" w:afterAutospacing="1"/>
      <w:jc w:val="center"/>
    </w:pPr>
    <w:rPr>
      <w:color w:val="006100"/>
      <w:szCs w:val="24"/>
      <w:lang w:val="en-US"/>
    </w:rPr>
  </w:style>
  <w:style w:type="paragraph" w:customStyle="1" w:styleId="xl137">
    <w:name w:val="xl137"/>
    <w:basedOn w:val="Normal"/>
    <w:rsid w:val="00D57E94"/>
    <w:pPr>
      <w:pBdr>
        <w:bottom w:val="single" w:sz="4" w:space="0" w:color="auto"/>
        <w:right w:val="single" w:sz="8" w:space="0" w:color="auto"/>
      </w:pBdr>
      <w:shd w:val="clear" w:color="000000" w:fill="C6EFCE"/>
      <w:spacing w:before="100" w:beforeAutospacing="1" w:after="100" w:afterAutospacing="1"/>
      <w:jc w:val="center"/>
    </w:pPr>
    <w:rPr>
      <w:color w:val="006100"/>
      <w:szCs w:val="24"/>
      <w:lang w:val="en-US"/>
    </w:rPr>
  </w:style>
  <w:style w:type="paragraph" w:customStyle="1" w:styleId="xl138">
    <w:name w:val="xl138"/>
    <w:basedOn w:val="Normal"/>
    <w:rsid w:val="00D57E94"/>
    <w:pPr>
      <w:pBdr>
        <w:right w:val="single" w:sz="8" w:space="0" w:color="auto"/>
      </w:pBdr>
      <w:shd w:val="clear" w:color="000000" w:fill="FFC7CE"/>
      <w:spacing w:before="100" w:beforeAutospacing="1" w:after="100" w:afterAutospacing="1"/>
      <w:jc w:val="center"/>
    </w:pPr>
    <w:rPr>
      <w:color w:val="9C0006"/>
      <w:szCs w:val="24"/>
      <w:lang w:val="en-US"/>
    </w:rPr>
  </w:style>
  <w:style w:type="paragraph" w:customStyle="1" w:styleId="xl139">
    <w:name w:val="xl139"/>
    <w:basedOn w:val="Normal"/>
    <w:rsid w:val="00D57E94"/>
    <w:pPr>
      <w:pBdr>
        <w:bottom w:val="single" w:sz="4" w:space="0" w:color="auto"/>
        <w:right w:val="single" w:sz="8" w:space="0" w:color="auto"/>
      </w:pBdr>
      <w:spacing w:before="100" w:beforeAutospacing="1" w:after="100" w:afterAutospacing="1"/>
      <w:jc w:val="center"/>
    </w:pPr>
    <w:rPr>
      <w:szCs w:val="24"/>
      <w:lang w:val="en-US"/>
    </w:rPr>
  </w:style>
  <w:style w:type="paragraph" w:customStyle="1" w:styleId="xl140">
    <w:name w:val="xl140"/>
    <w:basedOn w:val="Normal"/>
    <w:rsid w:val="00D57E94"/>
    <w:pPr>
      <w:pBdr>
        <w:bottom w:val="single" w:sz="4" w:space="0" w:color="auto"/>
        <w:right w:val="single" w:sz="8" w:space="0" w:color="auto"/>
      </w:pBdr>
      <w:shd w:val="clear" w:color="000000" w:fill="C6EFCE"/>
      <w:spacing w:before="100" w:beforeAutospacing="1" w:after="100" w:afterAutospacing="1"/>
      <w:jc w:val="center"/>
      <w:textAlignment w:val="center"/>
    </w:pPr>
    <w:rPr>
      <w:color w:val="006100"/>
      <w:szCs w:val="24"/>
      <w:lang w:val="en-US"/>
    </w:rPr>
  </w:style>
  <w:style w:type="paragraph" w:customStyle="1" w:styleId="xl141">
    <w:name w:val="xl141"/>
    <w:basedOn w:val="Normal"/>
    <w:rsid w:val="00D57E94"/>
    <w:pPr>
      <w:pBdr>
        <w:right w:val="single" w:sz="8" w:space="0" w:color="auto"/>
      </w:pBdr>
      <w:spacing w:before="100" w:beforeAutospacing="1" w:after="100" w:afterAutospacing="1"/>
      <w:jc w:val="center"/>
      <w:textAlignment w:val="center"/>
    </w:pPr>
    <w:rPr>
      <w:szCs w:val="24"/>
      <w:lang w:val="en-US"/>
    </w:rPr>
  </w:style>
  <w:style w:type="paragraph" w:customStyle="1" w:styleId="xl142">
    <w:name w:val="xl142"/>
    <w:basedOn w:val="Normal"/>
    <w:rsid w:val="00D57E94"/>
    <w:pPr>
      <w:pBdr>
        <w:right w:val="single" w:sz="8" w:space="0" w:color="auto"/>
      </w:pBdr>
      <w:shd w:val="clear" w:color="000000" w:fill="C6EFCE"/>
      <w:spacing w:before="100" w:beforeAutospacing="1" w:after="100" w:afterAutospacing="1"/>
      <w:jc w:val="center"/>
      <w:textAlignment w:val="center"/>
    </w:pPr>
    <w:rPr>
      <w:color w:val="006100"/>
      <w:szCs w:val="24"/>
      <w:lang w:val="en-US"/>
    </w:rPr>
  </w:style>
  <w:style w:type="paragraph" w:customStyle="1" w:styleId="xl143">
    <w:name w:val="xl143"/>
    <w:basedOn w:val="Normal"/>
    <w:rsid w:val="00D57E94"/>
    <w:pPr>
      <w:pBdr>
        <w:bottom w:val="single" w:sz="8" w:space="0" w:color="auto"/>
        <w:right w:val="single" w:sz="8" w:space="0" w:color="auto"/>
      </w:pBdr>
      <w:spacing w:before="100" w:beforeAutospacing="1" w:after="100" w:afterAutospacing="1"/>
      <w:jc w:val="center"/>
      <w:textAlignment w:val="center"/>
    </w:pPr>
    <w:rPr>
      <w:szCs w:val="24"/>
      <w:lang w:val="en-US"/>
    </w:rPr>
  </w:style>
  <w:style w:type="paragraph" w:customStyle="1" w:styleId="xl144">
    <w:name w:val="xl144"/>
    <w:basedOn w:val="Normal"/>
    <w:rsid w:val="00D57E94"/>
    <w:pPr>
      <w:pBdr>
        <w:top w:val="single" w:sz="8" w:space="0" w:color="auto"/>
        <w:left w:val="single" w:sz="8" w:space="0" w:color="auto"/>
        <w:bottom w:val="single" w:sz="8" w:space="0" w:color="auto"/>
      </w:pBdr>
      <w:shd w:val="clear" w:color="000000" w:fill="F2F2F2"/>
      <w:spacing w:before="100" w:beforeAutospacing="1" w:after="100" w:afterAutospacing="1"/>
      <w:jc w:val="center"/>
    </w:pPr>
    <w:rPr>
      <w:b/>
      <w:bCs/>
      <w:szCs w:val="24"/>
      <w:lang w:val="en-US"/>
    </w:rPr>
  </w:style>
  <w:style w:type="paragraph" w:customStyle="1" w:styleId="xl145">
    <w:name w:val="xl145"/>
    <w:basedOn w:val="Normal"/>
    <w:rsid w:val="00D57E94"/>
    <w:pPr>
      <w:pBdr>
        <w:top w:val="single" w:sz="8" w:space="0" w:color="auto"/>
        <w:bottom w:val="single" w:sz="8" w:space="0" w:color="auto"/>
      </w:pBdr>
      <w:shd w:val="clear" w:color="000000" w:fill="F2F2F2"/>
      <w:spacing w:before="100" w:beforeAutospacing="1" w:after="100" w:afterAutospacing="1"/>
      <w:jc w:val="center"/>
    </w:pPr>
    <w:rPr>
      <w:b/>
      <w:bCs/>
      <w:szCs w:val="24"/>
      <w:lang w:val="en-US"/>
    </w:rPr>
  </w:style>
  <w:style w:type="paragraph" w:customStyle="1" w:styleId="xl146">
    <w:name w:val="xl146"/>
    <w:basedOn w:val="Normal"/>
    <w:rsid w:val="00D57E94"/>
    <w:pPr>
      <w:pBdr>
        <w:top w:val="single" w:sz="8" w:space="0" w:color="auto"/>
        <w:bottom w:val="single" w:sz="8" w:space="0" w:color="auto"/>
        <w:right w:val="single" w:sz="8" w:space="0" w:color="auto"/>
      </w:pBdr>
      <w:shd w:val="clear" w:color="000000" w:fill="F2F2F2"/>
      <w:spacing w:before="100" w:beforeAutospacing="1" w:after="100" w:afterAutospacing="1"/>
      <w:jc w:val="center"/>
    </w:pPr>
    <w:rPr>
      <w:b/>
      <w:bCs/>
      <w:szCs w:val="24"/>
      <w:lang w:val="en-US"/>
    </w:rPr>
  </w:style>
  <w:style w:type="paragraph" w:customStyle="1" w:styleId="xl147">
    <w:name w:val="xl147"/>
    <w:basedOn w:val="Normal"/>
    <w:rsid w:val="00D57E94"/>
    <w:pPr>
      <w:pBdr>
        <w:top w:val="single" w:sz="8" w:space="0" w:color="auto"/>
        <w:bottom w:val="single" w:sz="8" w:space="0" w:color="auto"/>
      </w:pBdr>
      <w:shd w:val="clear" w:color="000000" w:fill="F2F2F2"/>
      <w:spacing w:before="100" w:beforeAutospacing="1" w:after="100" w:afterAutospacing="1"/>
    </w:pPr>
    <w:rPr>
      <w:b/>
      <w:bCs/>
      <w:szCs w:val="24"/>
      <w:lang w:val="en-US"/>
    </w:rPr>
  </w:style>
  <w:style w:type="paragraph" w:customStyle="1" w:styleId="xl148">
    <w:name w:val="xl148"/>
    <w:basedOn w:val="Normal"/>
    <w:rsid w:val="00D57E94"/>
    <w:pPr>
      <w:pBdr>
        <w:top w:val="single" w:sz="8" w:space="0" w:color="auto"/>
        <w:bottom w:val="single" w:sz="8" w:space="0" w:color="auto"/>
      </w:pBdr>
      <w:shd w:val="clear" w:color="000000" w:fill="F2F2F2"/>
      <w:spacing w:before="100" w:beforeAutospacing="1" w:after="100" w:afterAutospacing="1"/>
      <w:jc w:val="center"/>
    </w:pPr>
    <w:rPr>
      <w:b/>
      <w:bCs/>
      <w:szCs w:val="24"/>
      <w:lang w:val="en-US"/>
    </w:rPr>
  </w:style>
  <w:style w:type="paragraph" w:customStyle="1" w:styleId="xl149">
    <w:name w:val="xl149"/>
    <w:basedOn w:val="Normal"/>
    <w:rsid w:val="00D57E94"/>
    <w:pPr>
      <w:pBdr>
        <w:left w:val="single" w:sz="8" w:space="0" w:color="auto"/>
        <w:bottom w:val="single" w:sz="4" w:space="0" w:color="auto"/>
      </w:pBdr>
      <w:spacing w:before="100" w:beforeAutospacing="1" w:after="100" w:afterAutospacing="1"/>
    </w:pPr>
    <w:rPr>
      <w:color w:val="FF0000"/>
      <w:szCs w:val="24"/>
      <w:lang w:val="en-US"/>
    </w:rPr>
  </w:style>
  <w:style w:type="paragraph" w:customStyle="1" w:styleId="xl150">
    <w:name w:val="xl150"/>
    <w:basedOn w:val="Normal"/>
    <w:rsid w:val="00D57E94"/>
    <w:pPr>
      <w:pBdr>
        <w:bottom w:val="single" w:sz="4" w:space="0" w:color="auto"/>
      </w:pBdr>
      <w:spacing w:before="100" w:beforeAutospacing="1" w:after="100" w:afterAutospacing="1"/>
    </w:pPr>
    <w:rPr>
      <w:color w:val="FF0000"/>
      <w:szCs w:val="24"/>
      <w:lang w:val="en-US"/>
    </w:rPr>
  </w:style>
  <w:style w:type="paragraph" w:customStyle="1" w:styleId="xl151">
    <w:name w:val="xl151"/>
    <w:basedOn w:val="Normal"/>
    <w:rsid w:val="00D57E94"/>
    <w:pPr>
      <w:pBdr>
        <w:bottom w:val="single" w:sz="4" w:space="0" w:color="auto"/>
      </w:pBdr>
      <w:spacing w:before="100" w:beforeAutospacing="1" w:after="100" w:afterAutospacing="1"/>
      <w:jc w:val="center"/>
    </w:pPr>
    <w:rPr>
      <w:color w:val="FF0000"/>
      <w:szCs w:val="24"/>
      <w:lang w:val="en-US"/>
    </w:rPr>
  </w:style>
  <w:style w:type="paragraph" w:customStyle="1" w:styleId="xl152">
    <w:name w:val="xl152"/>
    <w:basedOn w:val="Normal"/>
    <w:rsid w:val="00D57E94"/>
    <w:pPr>
      <w:pBdr>
        <w:bottom w:val="single" w:sz="4" w:space="0" w:color="auto"/>
      </w:pBdr>
      <w:spacing w:before="100" w:beforeAutospacing="1" w:after="100" w:afterAutospacing="1"/>
      <w:jc w:val="center"/>
    </w:pPr>
    <w:rPr>
      <w:color w:val="FF0000"/>
      <w:szCs w:val="24"/>
      <w:lang w:val="en-US"/>
    </w:rPr>
  </w:style>
  <w:style w:type="paragraph" w:customStyle="1" w:styleId="xl153">
    <w:name w:val="xl153"/>
    <w:basedOn w:val="Normal"/>
    <w:rsid w:val="00D57E94"/>
    <w:pPr>
      <w:pBdr>
        <w:bottom w:val="single" w:sz="4" w:space="0" w:color="auto"/>
      </w:pBdr>
      <w:spacing w:before="100" w:beforeAutospacing="1" w:after="100" w:afterAutospacing="1"/>
    </w:pPr>
    <w:rPr>
      <w:color w:val="FF0000"/>
      <w:szCs w:val="24"/>
      <w:lang w:val="en-US"/>
    </w:rPr>
  </w:style>
  <w:style w:type="paragraph" w:customStyle="1" w:styleId="xl154">
    <w:name w:val="xl154"/>
    <w:basedOn w:val="Normal"/>
    <w:rsid w:val="00D57E94"/>
    <w:pPr>
      <w:pBdr>
        <w:top w:val="single" w:sz="8" w:space="0" w:color="auto"/>
        <w:right w:val="single" w:sz="8" w:space="0" w:color="auto"/>
      </w:pBdr>
      <w:shd w:val="clear" w:color="000000" w:fill="FFC7CE"/>
      <w:spacing w:before="100" w:beforeAutospacing="1" w:after="100" w:afterAutospacing="1"/>
      <w:jc w:val="center"/>
    </w:pPr>
    <w:rPr>
      <w:color w:val="9C0006"/>
      <w:szCs w:val="24"/>
      <w:lang w:val="en-US"/>
    </w:rPr>
  </w:style>
  <w:style w:type="paragraph" w:customStyle="1" w:styleId="xl155">
    <w:name w:val="xl155"/>
    <w:basedOn w:val="Normal"/>
    <w:rsid w:val="00D57E94"/>
    <w:pPr>
      <w:pBdr>
        <w:left w:val="single" w:sz="8" w:space="0" w:color="auto"/>
        <w:bottom w:val="single" w:sz="4" w:space="0" w:color="auto"/>
      </w:pBdr>
      <w:spacing w:before="100" w:beforeAutospacing="1" w:after="100" w:afterAutospacing="1"/>
    </w:pPr>
    <w:rPr>
      <w:color w:val="FF0000"/>
      <w:szCs w:val="24"/>
      <w:lang w:val="en-US"/>
    </w:rPr>
  </w:style>
  <w:style w:type="paragraph" w:customStyle="1" w:styleId="xl156">
    <w:name w:val="xl156"/>
    <w:basedOn w:val="Normal"/>
    <w:rsid w:val="00D57E94"/>
    <w:pPr>
      <w:pBdr>
        <w:left w:val="single" w:sz="8" w:space="0" w:color="auto"/>
        <w:bottom w:val="single" w:sz="4" w:space="0" w:color="auto"/>
      </w:pBdr>
      <w:spacing w:before="100" w:beforeAutospacing="1" w:after="100" w:afterAutospacing="1"/>
    </w:pPr>
    <w:rPr>
      <w:szCs w:val="24"/>
      <w:lang w:val="en-US"/>
    </w:rPr>
  </w:style>
  <w:style w:type="paragraph" w:customStyle="1" w:styleId="xl157">
    <w:name w:val="xl157"/>
    <w:basedOn w:val="Normal"/>
    <w:rsid w:val="00D57E94"/>
    <w:pPr>
      <w:pBdr>
        <w:bottom w:val="single" w:sz="8" w:space="0" w:color="auto"/>
        <w:right w:val="single" w:sz="8" w:space="0" w:color="auto"/>
      </w:pBdr>
      <w:shd w:val="clear" w:color="000000" w:fill="FFC7CE"/>
      <w:spacing w:before="100" w:beforeAutospacing="1" w:after="100" w:afterAutospacing="1"/>
      <w:jc w:val="center"/>
    </w:pPr>
    <w:rPr>
      <w:color w:val="9C0006"/>
      <w:szCs w:val="24"/>
      <w:lang w:val="en-US"/>
    </w:rPr>
  </w:style>
  <w:style w:type="paragraph" w:customStyle="1" w:styleId="xl158">
    <w:name w:val="xl158"/>
    <w:basedOn w:val="Normal"/>
    <w:rsid w:val="00D57E94"/>
    <w:pPr>
      <w:pBdr>
        <w:bottom w:val="single" w:sz="4" w:space="0" w:color="auto"/>
      </w:pBdr>
      <w:spacing w:before="100" w:beforeAutospacing="1" w:after="100" w:afterAutospacing="1"/>
      <w:jc w:val="right"/>
    </w:pPr>
    <w:rPr>
      <w:szCs w:val="24"/>
      <w:lang w:val="en-US"/>
    </w:rPr>
  </w:style>
  <w:style w:type="paragraph" w:customStyle="1" w:styleId="xl159">
    <w:name w:val="xl159"/>
    <w:basedOn w:val="Normal"/>
    <w:rsid w:val="00D57E94"/>
    <w:pPr>
      <w:spacing w:before="100" w:beforeAutospacing="1" w:after="100" w:afterAutospacing="1"/>
      <w:jc w:val="center"/>
      <w:textAlignment w:val="center"/>
    </w:pPr>
    <w:rPr>
      <w:szCs w:val="24"/>
      <w:lang w:val="en-US"/>
    </w:rPr>
  </w:style>
  <w:style w:type="paragraph" w:customStyle="1" w:styleId="xl160">
    <w:name w:val="xl160"/>
    <w:basedOn w:val="Normal"/>
    <w:rsid w:val="00D57E94"/>
    <w:pPr>
      <w:spacing w:before="100" w:beforeAutospacing="1" w:after="100" w:afterAutospacing="1"/>
      <w:jc w:val="right"/>
      <w:textAlignment w:val="center"/>
    </w:pPr>
    <w:rPr>
      <w:szCs w:val="24"/>
      <w:lang w:val="en-US"/>
    </w:rPr>
  </w:style>
  <w:style w:type="paragraph" w:customStyle="1" w:styleId="xl161">
    <w:name w:val="xl161"/>
    <w:basedOn w:val="Normal"/>
    <w:rsid w:val="00D57E94"/>
    <w:pPr>
      <w:pBdr>
        <w:left w:val="single" w:sz="8" w:space="0" w:color="auto"/>
      </w:pBdr>
      <w:spacing w:before="100" w:beforeAutospacing="1" w:after="100" w:afterAutospacing="1"/>
      <w:textAlignment w:val="center"/>
    </w:pPr>
    <w:rPr>
      <w:szCs w:val="24"/>
      <w:lang w:val="en-US"/>
    </w:rPr>
  </w:style>
  <w:style w:type="paragraph" w:customStyle="1" w:styleId="xl162">
    <w:name w:val="xl162"/>
    <w:basedOn w:val="Normal"/>
    <w:rsid w:val="00D57E94"/>
    <w:pPr>
      <w:pBdr>
        <w:top w:val="single" w:sz="8" w:space="0" w:color="auto"/>
        <w:left w:val="single" w:sz="8" w:space="0" w:color="auto"/>
        <w:bottom w:val="single" w:sz="8" w:space="0" w:color="auto"/>
      </w:pBdr>
      <w:shd w:val="clear" w:color="000000" w:fill="F2F2F2"/>
      <w:spacing w:before="100" w:beforeAutospacing="1" w:after="100" w:afterAutospacing="1"/>
    </w:pPr>
    <w:rPr>
      <w:b/>
      <w:bCs/>
      <w:szCs w:val="24"/>
      <w:lang w:val="en-US"/>
    </w:rPr>
  </w:style>
  <w:style w:type="paragraph" w:customStyle="1" w:styleId="xl163">
    <w:name w:val="xl163"/>
    <w:basedOn w:val="Normal"/>
    <w:rsid w:val="00D57E94"/>
    <w:pPr>
      <w:pBdr>
        <w:top w:val="single" w:sz="8" w:space="0" w:color="auto"/>
        <w:bottom w:val="single" w:sz="8" w:space="0" w:color="auto"/>
      </w:pBdr>
      <w:shd w:val="clear" w:color="000000" w:fill="F2F2F2"/>
      <w:spacing w:before="100" w:beforeAutospacing="1" w:after="100" w:afterAutospacing="1"/>
    </w:pPr>
    <w:rPr>
      <w:b/>
      <w:bCs/>
      <w:szCs w:val="24"/>
      <w:lang w:val="en-US"/>
    </w:rPr>
  </w:style>
  <w:style w:type="paragraph" w:customStyle="1" w:styleId="xl164">
    <w:name w:val="xl164"/>
    <w:basedOn w:val="Normal"/>
    <w:rsid w:val="00D57E94"/>
    <w:pPr>
      <w:pBdr>
        <w:bottom w:val="single" w:sz="8" w:space="0" w:color="auto"/>
        <w:right w:val="single" w:sz="8" w:space="0" w:color="auto"/>
      </w:pBdr>
      <w:shd w:val="clear" w:color="000000" w:fill="C6EFCE"/>
      <w:spacing w:before="100" w:beforeAutospacing="1" w:after="100" w:afterAutospacing="1"/>
      <w:jc w:val="center"/>
    </w:pPr>
    <w:rPr>
      <w:color w:val="006100"/>
      <w:szCs w:val="24"/>
      <w:lang w:val="en-US"/>
    </w:rPr>
  </w:style>
  <w:style w:type="paragraph" w:customStyle="1" w:styleId="xl165">
    <w:name w:val="xl165"/>
    <w:basedOn w:val="Normal"/>
    <w:rsid w:val="00D57E94"/>
    <w:pPr>
      <w:pBdr>
        <w:bottom w:val="single" w:sz="4" w:space="0" w:color="auto"/>
        <w:right w:val="single" w:sz="8" w:space="0" w:color="auto"/>
      </w:pBdr>
      <w:spacing w:before="100" w:beforeAutospacing="1" w:after="100" w:afterAutospacing="1"/>
      <w:jc w:val="center"/>
    </w:pPr>
    <w:rPr>
      <w:color w:val="FF0000"/>
      <w:szCs w:val="24"/>
      <w:lang w:val="en-US"/>
    </w:rPr>
  </w:style>
  <w:style w:type="character" w:customStyle="1" w:styleId="CitaviBibliographyEntryZchn">
    <w:name w:val="Citavi Bibliography Entry Zchn"/>
    <w:link w:val="CitaviBibliographyEntry"/>
    <w:locked/>
    <w:rsid w:val="00D57E94"/>
  </w:style>
  <w:style w:type="paragraph" w:customStyle="1" w:styleId="CitaviBibliographyEntry">
    <w:name w:val="Citavi Bibliography Entry"/>
    <w:basedOn w:val="Normal"/>
    <w:link w:val="CitaviBibliographyEntryZchn"/>
    <w:rsid w:val="00D57E94"/>
    <w:pPr>
      <w:spacing w:line="276" w:lineRule="auto"/>
    </w:pPr>
    <w:rPr>
      <w:lang w:val="en-US"/>
    </w:rPr>
  </w:style>
  <w:style w:type="character" w:styleId="UnresolvedMention">
    <w:name w:val="Unresolved Mention"/>
    <w:uiPriority w:val="99"/>
    <w:semiHidden/>
    <w:unhideWhenUsed/>
    <w:rsid w:val="00D57E94"/>
    <w:rPr>
      <w:color w:val="808080"/>
      <w:shd w:val="clear" w:color="auto" w:fill="E6E6E6"/>
    </w:rPr>
  </w:style>
  <w:style w:type="paragraph" w:customStyle="1" w:styleId="Text0">
    <w:name w:val="Text"/>
    <w:rsid w:val="00D57E94"/>
    <w:pPr>
      <w:pBdr>
        <w:top w:val="nil"/>
        <w:left w:val="nil"/>
        <w:bottom w:val="nil"/>
        <w:right w:val="nil"/>
        <w:between w:val="nil"/>
        <w:bar w:val="nil"/>
      </w:pBdr>
    </w:pPr>
    <w:rPr>
      <w:rFonts w:eastAsia="Arial Unicode MS" w:cs="Arial Unicode MS"/>
      <w:color w:val="000000"/>
      <w:u w:color="000000"/>
      <w:bdr w:val="nil"/>
    </w:rPr>
  </w:style>
  <w:style w:type="numbering" w:customStyle="1" w:styleId="Importovanstyl2">
    <w:name w:val="Importovaný styl 2"/>
    <w:rsid w:val="00D57E94"/>
    <w:pPr>
      <w:numPr>
        <w:numId w:val="9"/>
      </w:numPr>
    </w:pPr>
  </w:style>
  <w:style w:type="numbering" w:customStyle="1" w:styleId="Importovanstyl3">
    <w:name w:val="Importovaný styl 3"/>
    <w:rsid w:val="00D57E94"/>
    <w:pPr>
      <w:numPr>
        <w:numId w:val="10"/>
      </w:numPr>
    </w:pPr>
  </w:style>
  <w:style w:type="paragraph" w:customStyle="1" w:styleId="Vchoz">
    <w:name w:val="Výchozí"/>
    <w:rsid w:val="00D57E94"/>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Importovanstyl11">
    <w:name w:val="Importovaný styl 11"/>
    <w:rsid w:val="00D57E94"/>
    <w:pPr>
      <w:numPr>
        <w:numId w:val="11"/>
      </w:numPr>
    </w:pPr>
  </w:style>
  <w:style w:type="numbering" w:customStyle="1" w:styleId="Importovanstyl12">
    <w:name w:val="Importovaný styl 12"/>
    <w:rsid w:val="00D57E94"/>
    <w:pPr>
      <w:numPr>
        <w:numId w:val="12"/>
      </w:numPr>
    </w:pPr>
  </w:style>
  <w:style w:type="paragraph" w:customStyle="1" w:styleId="Nadpis3">
    <w:name w:val="Nadpis 3"/>
    <w:next w:val="Text0"/>
    <w:rsid w:val="00D57E94"/>
    <w:pPr>
      <w:keepNext/>
      <w:pBdr>
        <w:top w:val="nil"/>
        <w:left w:val="nil"/>
        <w:bottom w:val="nil"/>
        <w:right w:val="nil"/>
        <w:between w:val="nil"/>
        <w:bar w:val="nil"/>
      </w:pBdr>
      <w:spacing w:before="240" w:after="240"/>
    </w:pPr>
    <w:rPr>
      <w:rFonts w:ascii="Times" w:eastAsia="Times" w:hAnsi="Times" w:cs="Times"/>
      <w:b/>
      <w:bCs/>
      <w:color w:val="000000"/>
      <w:sz w:val="27"/>
      <w:szCs w:val="27"/>
      <w:u w:color="000000"/>
      <w:bdr w:val="nil"/>
    </w:rPr>
  </w:style>
  <w:style w:type="numbering" w:customStyle="1" w:styleId="Importovanstyl13">
    <w:name w:val="Importovaný styl 13"/>
    <w:rsid w:val="00D57E94"/>
    <w:pPr>
      <w:numPr>
        <w:numId w:val="13"/>
      </w:numPr>
    </w:pPr>
  </w:style>
  <w:style w:type="numbering" w:customStyle="1" w:styleId="Importovanstyl14">
    <w:name w:val="Importovaný styl 14"/>
    <w:rsid w:val="00D57E94"/>
    <w:pPr>
      <w:numPr>
        <w:numId w:val="14"/>
      </w:numPr>
    </w:pPr>
  </w:style>
  <w:style w:type="paragraph" w:customStyle="1" w:styleId="EndNoteBibliography">
    <w:name w:val="EndNote Bibliography"/>
    <w:basedOn w:val="Normal"/>
    <w:link w:val="EndNoteBibliographyChar"/>
    <w:rsid w:val="00D57E94"/>
    <w:rPr>
      <w:noProof/>
      <w:lang w:val="en-US"/>
    </w:rPr>
  </w:style>
  <w:style w:type="character" w:customStyle="1" w:styleId="EndNoteBibliographyChar">
    <w:name w:val="EndNote Bibliography Char"/>
    <w:link w:val="EndNoteBibliography"/>
    <w:rsid w:val="00D57E94"/>
    <w:rPr>
      <w:noProof/>
      <w:sz w:val="24"/>
    </w:rPr>
  </w:style>
  <w:style w:type="table" w:customStyle="1" w:styleId="TableGrid1">
    <w:name w:val="Table Grid1"/>
    <w:basedOn w:val="TableNormal"/>
    <w:next w:val="TableGrid"/>
    <w:uiPriority w:val="39"/>
    <w:rsid w:val="00D57E9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57E94"/>
  </w:style>
  <w:style w:type="table" w:customStyle="1" w:styleId="TableGrid2">
    <w:name w:val="Table Grid2"/>
    <w:basedOn w:val="TableNormal"/>
    <w:next w:val="TableGrid"/>
    <w:uiPriority w:val="39"/>
    <w:rsid w:val="00D57E9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57E94"/>
  </w:style>
  <w:style w:type="table" w:customStyle="1" w:styleId="TableGrid3">
    <w:name w:val="Table Grid3"/>
    <w:basedOn w:val="TableNormal"/>
    <w:next w:val="TableGrid"/>
    <w:uiPriority w:val="39"/>
    <w:rsid w:val="00D57E9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ovanstyl1">
    <w:name w:val="Importovaný styl 1"/>
    <w:rsid w:val="00D57E94"/>
    <w:pPr>
      <w:numPr>
        <w:numId w:val="15"/>
      </w:numPr>
    </w:pPr>
  </w:style>
  <w:style w:type="character" w:customStyle="1" w:styleId="Hyperlink0">
    <w:name w:val="Hyperlink.0"/>
    <w:rsid w:val="000F2780"/>
    <w:rPr>
      <w:rFonts w:ascii="Times New Roman" w:eastAsia="Times New Roman" w:hAnsi="Times New Roman" w:cs="Times New Roman"/>
      <w:b w:val="0"/>
      <w:bCs w:val="0"/>
      <w:i w:val="0"/>
      <w:iCs w:val="0"/>
      <w:color w:val="0000CC"/>
      <w:sz w:val="20"/>
      <w:szCs w:val="20"/>
      <w:u w:val="none" w:color="000000"/>
      <w:lang w:val="fr-FR"/>
    </w:rPr>
  </w:style>
  <w:style w:type="numbering" w:customStyle="1" w:styleId="Importovanstyl17">
    <w:name w:val="Importovaný styl 17"/>
    <w:rsid w:val="00D57E94"/>
    <w:pPr>
      <w:numPr>
        <w:numId w:val="16"/>
      </w:numPr>
    </w:pPr>
  </w:style>
  <w:style w:type="paragraph" w:customStyle="1" w:styleId="Poznmkapodarou">
    <w:name w:val="Poznámka pod čarou"/>
    <w:rsid w:val="00D57E94"/>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Importovanstyl16">
    <w:name w:val="Importovaný styl 16"/>
    <w:rsid w:val="00D57E94"/>
    <w:pPr>
      <w:numPr>
        <w:numId w:val="17"/>
      </w:numPr>
    </w:pPr>
  </w:style>
  <w:style w:type="character" w:customStyle="1" w:styleId="Normal-poolChar">
    <w:name w:val="Normal-pool Char"/>
    <w:link w:val="Normal-pool"/>
    <w:locked/>
    <w:rsid w:val="00D45162"/>
    <w:rPr>
      <w:lang w:val="en-GB"/>
    </w:rPr>
  </w:style>
  <w:style w:type="character" w:customStyle="1" w:styleId="rynqvb">
    <w:name w:val="rynqvb"/>
    <w:rsid w:val="004309AD"/>
    <w:rPr>
      <w:lang w:val="en-US"/>
    </w:rPr>
  </w:style>
  <w:style w:type="character" w:customStyle="1" w:styleId="cf01">
    <w:name w:val="cf01"/>
    <w:basedOn w:val="DefaultParagraphFont"/>
    <w:rsid w:val="009E34B8"/>
    <w:rPr>
      <w:rFonts w:ascii="Segoe UI" w:hAnsi="Segoe UI" w:cs="Segoe UI" w:hint="default"/>
      <w:sz w:val="18"/>
      <w:szCs w:val="18"/>
    </w:rPr>
  </w:style>
  <w:style w:type="character" w:customStyle="1" w:styleId="dn">
    <w:name w:val="Žádný"/>
    <w:rsid w:val="00646AA3"/>
  </w:style>
  <w:style w:type="paragraph" w:customStyle="1" w:styleId="pf0">
    <w:name w:val="pf0"/>
    <w:basedOn w:val="Normal"/>
    <w:rsid w:val="00646AA3"/>
    <w:pPr>
      <w:snapToGrid/>
      <w:spacing w:before="100" w:beforeAutospacing="1" w:after="100" w:afterAutospacing="1"/>
    </w:pPr>
    <w:rPr>
      <w:sz w:val="24"/>
      <w:szCs w:val="24"/>
      <w:lang w:val="en-US" w:eastAsia="ja-JP"/>
    </w:rPr>
  </w:style>
  <w:style w:type="numbering" w:customStyle="1" w:styleId="Importovanstyl5">
    <w:name w:val="Importovaný styl 5"/>
    <w:rsid w:val="00413F15"/>
    <w:pPr>
      <w:numPr>
        <w:numId w:val="143"/>
      </w:numPr>
    </w:pPr>
  </w:style>
  <w:style w:type="numbering" w:customStyle="1" w:styleId="Importovanstyl6">
    <w:name w:val="Importovaný styl 6"/>
    <w:rsid w:val="00413F15"/>
    <w:pPr>
      <w:numPr>
        <w:numId w:val="144"/>
      </w:numPr>
    </w:pPr>
  </w:style>
  <w:style w:type="paragraph" w:customStyle="1" w:styleId="AConvName">
    <w:name w:val="A_ConvName"/>
    <w:basedOn w:val="Normal-pool"/>
    <w:next w:val="Normal-pool"/>
    <w:rsid w:val="00DF39B4"/>
    <w:pPr>
      <w:tabs>
        <w:tab w:val="clear" w:pos="1814"/>
        <w:tab w:val="clear" w:pos="2381"/>
        <w:tab w:val="clear" w:pos="2948"/>
        <w:tab w:val="clear" w:pos="3515"/>
        <w:tab w:val="left" w:pos="624"/>
        <w:tab w:val="left" w:pos="1871"/>
        <w:tab w:val="left" w:pos="2495"/>
        <w:tab w:val="left" w:pos="3119"/>
        <w:tab w:val="left" w:pos="3742"/>
        <w:tab w:val="left" w:pos="4366"/>
      </w:tabs>
      <w:spacing w:before="120" w:after="240"/>
    </w:pPr>
    <w:rPr>
      <w:rFonts w:ascii="Arial" w:eastAsia="Times New Roman" w:hAnsi="Arial"/>
      <w:b/>
      <w:sz w:val="28"/>
      <w:lang w:val="en-US"/>
    </w:rPr>
  </w:style>
  <w:style w:type="paragraph" w:customStyle="1" w:styleId="ASymbol">
    <w:name w:val="A_Symbol"/>
    <w:basedOn w:val="Normal-pool"/>
    <w:rsid w:val="00DF39B4"/>
    <w:pPr>
      <w:tabs>
        <w:tab w:val="clear" w:pos="1247"/>
        <w:tab w:val="clear" w:pos="1814"/>
        <w:tab w:val="clear" w:pos="2381"/>
        <w:tab w:val="clear" w:pos="2948"/>
        <w:tab w:val="clear" w:pos="3515"/>
        <w:tab w:val="left" w:pos="1871"/>
        <w:tab w:val="left" w:pos="2495"/>
        <w:tab w:val="right" w:pos="2920"/>
        <w:tab w:val="left" w:pos="3119"/>
        <w:tab w:val="left" w:pos="3742"/>
        <w:tab w:val="left" w:pos="4366"/>
      </w:tabs>
    </w:pPr>
    <w:rPr>
      <w:rFonts w:eastAsia="SimSun"/>
    </w:rPr>
  </w:style>
  <w:style w:type="paragraph" w:customStyle="1" w:styleId="AText">
    <w:name w:val="A_Text"/>
    <w:basedOn w:val="Normal-pool"/>
    <w:rsid w:val="00DF39B4"/>
    <w:pPr>
      <w:tabs>
        <w:tab w:val="clear" w:pos="1814"/>
        <w:tab w:val="clear" w:pos="2381"/>
        <w:tab w:val="clear" w:pos="2948"/>
        <w:tab w:val="clear" w:pos="3515"/>
        <w:tab w:val="left" w:pos="624"/>
        <w:tab w:val="left" w:pos="1871"/>
        <w:tab w:val="left" w:pos="2495"/>
        <w:tab w:val="left" w:pos="3119"/>
        <w:tab w:val="left" w:pos="3742"/>
        <w:tab w:val="left" w:pos="4366"/>
      </w:tabs>
      <w:spacing w:before="120"/>
    </w:pPr>
    <w:rPr>
      <w:rFonts w:eastAsia="Times New Roman"/>
      <w:lang w:val="en-US"/>
    </w:rPr>
  </w:style>
  <w:style w:type="paragraph" w:customStyle="1" w:styleId="AUnitedNations">
    <w:name w:val="A_United_Nations"/>
    <w:basedOn w:val="Normal-pool"/>
    <w:next w:val="Normal-pool"/>
    <w:rsid w:val="00DF39B4"/>
    <w:pPr>
      <w:tabs>
        <w:tab w:val="clear" w:pos="1247"/>
        <w:tab w:val="clear" w:pos="1814"/>
        <w:tab w:val="clear" w:pos="2381"/>
        <w:tab w:val="clear" w:pos="2948"/>
        <w:tab w:val="clear" w:pos="3515"/>
        <w:tab w:val="left" w:pos="624"/>
        <w:tab w:val="left" w:pos="1871"/>
        <w:tab w:val="left" w:pos="2495"/>
        <w:tab w:val="left" w:pos="3119"/>
        <w:tab w:val="left" w:pos="3742"/>
        <w:tab w:val="left" w:pos="4366"/>
      </w:tabs>
      <w:spacing w:before="20" w:after="20"/>
    </w:pPr>
    <w:rPr>
      <w:rFonts w:ascii="Arial" w:eastAsia="Times New Roman" w:hAnsi="Arial" w:cs="Times New Roman Bold"/>
      <w:b/>
      <w:caps/>
      <w:color w:val="000000" w:themeColor="text1"/>
      <w:sz w:val="27"/>
      <w:lang w:val="en-US"/>
    </w:rPr>
  </w:style>
  <w:style w:type="paragraph" w:customStyle="1" w:styleId="ALogo">
    <w:name w:val="A_Logo"/>
    <w:basedOn w:val="Normal-pool"/>
    <w:link w:val="ALogoChar"/>
    <w:qFormat/>
    <w:rsid w:val="00DF39B4"/>
    <w:pPr>
      <w:tabs>
        <w:tab w:val="clear" w:pos="1814"/>
        <w:tab w:val="clear" w:pos="2381"/>
        <w:tab w:val="clear" w:pos="2948"/>
        <w:tab w:val="clear" w:pos="3515"/>
        <w:tab w:val="left" w:pos="624"/>
        <w:tab w:val="left" w:pos="1871"/>
        <w:tab w:val="left" w:pos="2495"/>
        <w:tab w:val="left" w:pos="3119"/>
        <w:tab w:val="left" w:pos="3742"/>
        <w:tab w:val="left" w:pos="4366"/>
      </w:tabs>
      <w:spacing w:before="120" w:after="240"/>
    </w:pPr>
    <w:rPr>
      <w:rFonts w:eastAsia="Times New Roman"/>
    </w:rPr>
  </w:style>
  <w:style w:type="character" w:customStyle="1" w:styleId="ALogoChar">
    <w:name w:val="A_Logo Char"/>
    <w:basedOn w:val="Normal-poolChar"/>
    <w:link w:val="ALogo"/>
    <w:rsid w:val="00DF39B4"/>
    <w:rPr>
      <w:rFonts w:eastAsia="Times New Roman"/>
      <w:lang w:val="en-GB"/>
    </w:rPr>
  </w:style>
  <w:style w:type="paragraph" w:customStyle="1" w:styleId="ASpacer">
    <w:name w:val="A_Spacer"/>
    <w:basedOn w:val="Normal-pool"/>
    <w:link w:val="ASpacerChar"/>
    <w:qFormat/>
    <w:rsid w:val="00DF39B4"/>
    <w:pPr>
      <w:tabs>
        <w:tab w:val="clear" w:pos="1814"/>
        <w:tab w:val="clear" w:pos="2381"/>
        <w:tab w:val="clear" w:pos="2948"/>
        <w:tab w:val="clear" w:pos="3515"/>
        <w:tab w:val="left" w:pos="624"/>
        <w:tab w:val="left" w:pos="1871"/>
        <w:tab w:val="left" w:pos="2495"/>
        <w:tab w:val="left" w:pos="3119"/>
        <w:tab w:val="left" w:pos="3742"/>
        <w:tab w:val="left" w:pos="4366"/>
      </w:tabs>
    </w:pPr>
    <w:rPr>
      <w:rFonts w:eastAsia="Times New Roman"/>
      <w:sz w:val="2"/>
    </w:rPr>
  </w:style>
  <w:style w:type="character" w:customStyle="1" w:styleId="ASpacerChar">
    <w:name w:val="A_Spacer Char"/>
    <w:basedOn w:val="Normal-poolChar"/>
    <w:link w:val="ASpacer"/>
    <w:rsid w:val="00DF39B4"/>
    <w:rPr>
      <w:rFonts w:eastAsia="Times New Roman"/>
      <w:sz w:val="2"/>
      <w:lang w:val="en-GB"/>
    </w:rPr>
  </w:style>
  <w:style w:type="paragraph" w:customStyle="1" w:styleId="AATitle1">
    <w:name w:val="AA_Title1"/>
    <w:basedOn w:val="Normal-pool"/>
    <w:qFormat/>
    <w:rsid w:val="00DF39B4"/>
    <w:pPr>
      <w:tabs>
        <w:tab w:val="clear" w:pos="1814"/>
        <w:tab w:val="clear" w:pos="2381"/>
        <w:tab w:val="clear" w:pos="2948"/>
        <w:tab w:val="clear" w:pos="3515"/>
        <w:tab w:val="left" w:pos="624"/>
        <w:tab w:val="left" w:pos="1871"/>
        <w:tab w:val="left" w:pos="2495"/>
        <w:tab w:val="left" w:pos="3119"/>
        <w:tab w:val="left" w:pos="3742"/>
        <w:tab w:val="left" w:pos="4366"/>
      </w:tabs>
    </w:pPr>
    <w:rPr>
      <w:rFonts w:eastAsia="Times New Roman"/>
      <w:lang w:val="en-US"/>
    </w:rPr>
  </w:style>
  <w:style w:type="paragraph" w:customStyle="1" w:styleId="AText0">
    <w:name w:val="A_Text0"/>
    <w:basedOn w:val="AText"/>
    <w:next w:val="AText"/>
    <w:qFormat/>
    <w:rsid w:val="00DF39B4"/>
    <w:pPr>
      <w:spacing w:before="0" w:after="120"/>
    </w:pPr>
  </w:style>
  <w:style w:type="character" w:customStyle="1" w:styleId="BBTitleChar">
    <w:name w:val="BB_Title Char"/>
    <w:link w:val="BBTitle"/>
    <w:locked/>
    <w:rsid w:val="00DF39B4"/>
    <w:rPr>
      <w:b/>
      <w:sz w:val="28"/>
      <w:szCs w:val="28"/>
      <w:lang w:val="en-GB"/>
    </w:rPr>
  </w:style>
  <w:style w:type="character" w:customStyle="1" w:styleId="CH2Char">
    <w:name w:val="CH2 Char"/>
    <w:link w:val="CH2"/>
    <w:rsid w:val="00DF39B4"/>
    <w:rPr>
      <w:b/>
      <w:szCs w:val="24"/>
      <w:lang w:val="en-GB"/>
    </w:rPr>
  </w:style>
  <w:style w:type="paragraph" w:customStyle="1" w:styleId="BVIfnrCharCharCharChar">
    <w:name w:val="BVI fnr Char Char Char Char"/>
    <w:aliases w:val="BVI fnr Car Car Char Char Char Char,BVI fnr Car Char Char Char Char,BVI fnr Car Car Car Car Char Char Char Char,BVI fnr Car Car Car Car Char Char Char1 Char Char, BVI fnr Car Car Char Char Char Char"/>
    <w:basedOn w:val="Normal"/>
    <w:link w:val="FootnoteReference"/>
    <w:uiPriority w:val="99"/>
    <w:qFormat/>
    <w:rsid w:val="00DF39B4"/>
    <w:pPr>
      <w:snapToGrid/>
      <w:spacing w:before="120" w:after="160" w:line="240" w:lineRule="exact"/>
    </w:pPr>
    <w:rPr>
      <w:szCs w:val="18"/>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0404">
      <w:bodyDiv w:val="1"/>
      <w:marLeft w:val="0"/>
      <w:marRight w:val="0"/>
      <w:marTop w:val="0"/>
      <w:marBottom w:val="0"/>
      <w:divBdr>
        <w:top w:val="none" w:sz="0" w:space="0" w:color="auto"/>
        <w:left w:val="none" w:sz="0" w:space="0" w:color="auto"/>
        <w:bottom w:val="none" w:sz="0" w:space="0" w:color="auto"/>
        <w:right w:val="none" w:sz="0" w:space="0" w:color="auto"/>
      </w:divBdr>
      <w:divsChild>
        <w:div w:id="185097678">
          <w:marLeft w:val="0"/>
          <w:marRight w:val="0"/>
          <w:marTop w:val="0"/>
          <w:marBottom w:val="0"/>
          <w:divBdr>
            <w:top w:val="none" w:sz="0" w:space="0" w:color="auto"/>
            <w:left w:val="none" w:sz="0" w:space="0" w:color="auto"/>
            <w:bottom w:val="none" w:sz="0" w:space="0" w:color="auto"/>
            <w:right w:val="none" w:sz="0" w:space="0" w:color="auto"/>
          </w:divBdr>
          <w:divsChild>
            <w:div w:id="1127285453">
              <w:marLeft w:val="0"/>
              <w:marRight w:val="0"/>
              <w:marTop w:val="0"/>
              <w:marBottom w:val="0"/>
              <w:divBdr>
                <w:top w:val="none" w:sz="0" w:space="0" w:color="auto"/>
                <w:left w:val="none" w:sz="0" w:space="0" w:color="auto"/>
                <w:bottom w:val="none" w:sz="0" w:space="0" w:color="auto"/>
                <w:right w:val="none" w:sz="0" w:space="0" w:color="auto"/>
              </w:divBdr>
              <w:divsChild>
                <w:div w:id="1502314373">
                  <w:marLeft w:val="0"/>
                  <w:marRight w:val="0"/>
                  <w:marTop w:val="0"/>
                  <w:marBottom w:val="0"/>
                  <w:divBdr>
                    <w:top w:val="none" w:sz="0" w:space="0" w:color="auto"/>
                    <w:left w:val="none" w:sz="0" w:space="0" w:color="auto"/>
                    <w:bottom w:val="none" w:sz="0" w:space="0" w:color="auto"/>
                    <w:right w:val="none" w:sz="0" w:space="0" w:color="auto"/>
                  </w:divBdr>
                  <w:divsChild>
                    <w:div w:id="1235429344">
                      <w:marLeft w:val="0"/>
                      <w:marRight w:val="0"/>
                      <w:marTop w:val="0"/>
                      <w:marBottom w:val="0"/>
                      <w:divBdr>
                        <w:top w:val="none" w:sz="0" w:space="0" w:color="auto"/>
                        <w:left w:val="none" w:sz="0" w:space="0" w:color="auto"/>
                        <w:bottom w:val="none" w:sz="0" w:space="0" w:color="auto"/>
                        <w:right w:val="none" w:sz="0" w:space="0" w:color="auto"/>
                      </w:divBdr>
                      <w:divsChild>
                        <w:div w:id="264310163">
                          <w:marLeft w:val="0"/>
                          <w:marRight w:val="0"/>
                          <w:marTop w:val="0"/>
                          <w:marBottom w:val="0"/>
                          <w:divBdr>
                            <w:top w:val="none" w:sz="0" w:space="0" w:color="auto"/>
                            <w:left w:val="none" w:sz="0" w:space="0" w:color="auto"/>
                            <w:bottom w:val="none" w:sz="0" w:space="0" w:color="auto"/>
                            <w:right w:val="none" w:sz="0" w:space="0" w:color="auto"/>
                          </w:divBdr>
                          <w:divsChild>
                            <w:div w:id="287246634">
                              <w:marLeft w:val="0"/>
                              <w:marRight w:val="0"/>
                              <w:marTop w:val="0"/>
                              <w:marBottom w:val="0"/>
                              <w:divBdr>
                                <w:top w:val="none" w:sz="0" w:space="0" w:color="auto"/>
                                <w:left w:val="none" w:sz="0" w:space="0" w:color="auto"/>
                                <w:bottom w:val="none" w:sz="0" w:space="0" w:color="auto"/>
                                <w:right w:val="none" w:sz="0" w:space="0" w:color="auto"/>
                              </w:divBdr>
                              <w:divsChild>
                                <w:div w:id="814831339">
                                  <w:marLeft w:val="0"/>
                                  <w:marRight w:val="0"/>
                                  <w:marTop w:val="0"/>
                                  <w:marBottom w:val="0"/>
                                  <w:divBdr>
                                    <w:top w:val="none" w:sz="0" w:space="0" w:color="auto"/>
                                    <w:left w:val="none" w:sz="0" w:space="0" w:color="auto"/>
                                    <w:bottom w:val="none" w:sz="0" w:space="0" w:color="auto"/>
                                    <w:right w:val="none" w:sz="0" w:space="0" w:color="auto"/>
                                  </w:divBdr>
                                  <w:divsChild>
                                    <w:div w:id="170340373">
                                      <w:marLeft w:val="0"/>
                                      <w:marRight w:val="0"/>
                                      <w:marTop w:val="0"/>
                                      <w:marBottom w:val="0"/>
                                      <w:divBdr>
                                        <w:top w:val="none" w:sz="0" w:space="0" w:color="auto"/>
                                        <w:left w:val="none" w:sz="0" w:space="0" w:color="auto"/>
                                        <w:bottom w:val="none" w:sz="0" w:space="0" w:color="auto"/>
                                        <w:right w:val="none" w:sz="0" w:space="0" w:color="auto"/>
                                      </w:divBdr>
                                      <w:divsChild>
                                        <w:div w:id="171796244">
                                          <w:marLeft w:val="0"/>
                                          <w:marRight w:val="0"/>
                                          <w:marTop w:val="0"/>
                                          <w:marBottom w:val="0"/>
                                          <w:divBdr>
                                            <w:top w:val="none" w:sz="0" w:space="0" w:color="auto"/>
                                            <w:left w:val="none" w:sz="0" w:space="0" w:color="auto"/>
                                            <w:bottom w:val="none" w:sz="0" w:space="0" w:color="auto"/>
                                            <w:right w:val="none" w:sz="0" w:space="0" w:color="auto"/>
                                          </w:divBdr>
                                          <w:divsChild>
                                            <w:div w:id="1902130026">
                                              <w:marLeft w:val="0"/>
                                              <w:marRight w:val="0"/>
                                              <w:marTop w:val="0"/>
                                              <w:marBottom w:val="0"/>
                                              <w:divBdr>
                                                <w:top w:val="none" w:sz="0" w:space="0" w:color="auto"/>
                                                <w:left w:val="none" w:sz="0" w:space="0" w:color="auto"/>
                                                <w:bottom w:val="none" w:sz="0" w:space="0" w:color="auto"/>
                                                <w:right w:val="none" w:sz="0" w:space="0" w:color="auto"/>
                                              </w:divBdr>
                                              <w:divsChild>
                                                <w:div w:id="354697977">
                                                  <w:marLeft w:val="0"/>
                                                  <w:marRight w:val="0"/>
                                                  <w:marTop w:val="0"/>
                                                  <w:marBottom w:val="0"/>
                                                  <w:divBdr>
                                                    <w:top w:val="none" w:sz="0" w:space="0" w:color="auto"/>
                                                    <w:left w:val="none" w:sz="0" w:space="0" w:color="auto"/>
                                                    <w:bottom w:val="none" w:sz="0" w:space="0" w:color="auto"/>
                                                    <w:right w:val="none" w:sz="0" w:space="0" w:color="auto"/>
                                                  </w:divBdr>
                                                  <w:divsChild>
                                                    <w:div w:id="1252162282">
                                                      <w:marLeft w:val="0"/>
                                                      <w:marRight w:val="0"/>
                                                      <w:marTop w:val="0"/>
                                                      <w:marBottom w:val="0"/>
                                                      <w:divBdr>
                                                        <w:top w:val="none" w:sz="0" w:space="0" w:color="auto"/>
                                                        <w:left w:val="none" w:sz="0" w:space="0" w:color="auto"/>
                                                        <w:bottom w:val="none" w:sz="0" w:space="0" w:color="auto"/>
                                                        <w:right w:val="none" w:sz="0" w:space="0" w:color="auto"/>
                                                      </w:divBdr>
                                                      <w:divsChild>
                                                        <w:div w:id="16633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40067">
                                              <w:marLeft w:val="0"/>
                                              <w:marRight w:val="0"/>
                                              <w:marTop w:val="0"/>
                                              <w:marBottom w:val="0"/>
                                              <w:divBdr>
                                                <w:top w:val="none" w:sz="0" w:space="0" w:color="auto"/>
                                                <w:left w:val="none" w:sz="0" w:space="0" w:color="auto"/>
                                                <w:bottom w:val="none" w:sz="0" w:space="0" w:color="auto"/>
                                                <w:right w:val="none" w:sz="0" w:space="0" w:color="auto"/>
                                              </w:divBdr>
                                              <w:divsChild>
                                                <w:div w:id="1521119466">
                                                  <w:marLeft w:val="0"/>
                                                  <w:marRight w:val="0"/>
                                                  <w:marTop w:val="0"/>
                                                  <w:marBottom w:val="0"/>
                                                  <w:divBdr>
                                                    <w:top w:val="none" w:sz="0" w:space="0" w:color="auto"/>
                                                    <w:left w:val="none" w:sz="0" w:space="0" w:color="auto"/>
                                                    <w:bottom w:val="none" w:sz="0" w:space="0" w:color="auto"/>
                                                    <w:right w:val="none" w:sz="0" w:space="0" w:color="auto"/>
                                                  </w:divBdr>
                                                  <w:divsChild>
                                                    <w:div w:id="1246648335">
                                                      <w:marLeft w:val="0"/>
                                                      <w:marRight w:val="0"/>
                                                      <w:marTop w:val="0"/>
                                                      <w:marBottom w:val="0"/>
                                                      <w:divBdr>
                                                        <w:top w:val="none" w:sz="0" w:space="0" w:color="auto"/>
                                                        <w:left w:val="none" w:sz="0" w:space="0" w:color="auto"/>
                                                        <w:bottom w:val="none" w:sz="0" w:space="0" w:color="auto"/>
                                                        <w:right w:val="none" w:sz="0" w:space="0" w:color="auto"/>
                                                      </w:divBdr>
                                                      <w:divsChild>
                                                        <w:div w:id="21225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8247042">
          <w:marLeft w:val="0"/>
          <w:marRight w:val="0"/>
          <w:marTop w:val="0"/>
          <w:marBottom w:val="0"/>
          <w:divBdr>
            <w:top w:val="none" w:sz="0" w:space="0" w:color="auto"/>
            <w:left w:val="none" w:sz="0" w:space="0" w:color="auto"/>
            <w:bottom w:val="none" w:sz="0" w:space="0" w:color="auto"/>
            <w:right w:val="none" w:sz="0" w:space="0" w:color="auto"/>
          </w:divBdr>
          <w:divsChild>
            <w:div w:id="287207762">
              <w:marLeft w:val="0"/>
              <w:marRight w:val="0"/>
              <w:marTop w:val="0"/>
              <w:marBottom w:val="0"/>
              <w:divBdr>
                <w:top w:val="none" w:sz="0" w:space="0" w:color="auto"/>
                <w:left w:val="none" w:sz="0" w:space="0" w:color="auto"/>
                <w:bottom w:val="none" w:sz="0" w:space="0" w:color="auto"/>
                <w:right w:val="none" w:sz="0" w:space="0" w:color="auto"/>
              </w:divBdr>
              <w:divsChild>
                <w:div w:id="1358430845">
                  <w:marLeft w:val="0"/>
                  <w:marRight w:val="0"/>
                  <w:marTop w:val="0"/>
                  <w:marBottom w:val="0"/>
                  <w:divBdr>
                    <w:top w:val="none" w:sz="0" w:space="0" w:color="auto"/>
                    <w:left w:val="none" w:sz="0" w:space="0" w:color="auto"/>
                    <w:bottom w:val="none" w:sz="0" w:space="0" w:color="auto"/>
                    <w:right w:val="none" w:sz="0" w:space="0" w:color="auto"/>
                  </w:divBdr>
                  <w:divsChild>
                    <w:div w:id="493692959">
                      <w:marLeft w:val="0"/>
                      <w:marRight w:val="0"/>
                      <w:marTop w:val="0"/>
                      <w:marBottom w:val="0"/>
                      <w:divBdr>
                        <w:top w:val="none" w:sz="0" w:space="0" w:color="auto"/>
                        <w:left w:val="none" w:sz="0" w:space="0" w:color="auto"/>
                        <w:bottom w:val="none" w:sz="0" w:space="0" w:color="auto"/>
                        <w:right w:val="none" w:sz="0" w:space="0" w:color="auto"/>
                      </w:divBdr>
                      <w:divsChild>
                        <w:div w:id="1782799290">
                          <w:marLeft w:val="0"/>
                          <w:marRight w:val="0"/>
                          <w:marTop w:val="0"/>
                          <w:marBottom w:val="0"/>
                          <w:divBdr>
                            <w:top w:val="none" w:sz="0" w:space="0" w:color="auto"/>
                            <w:left w:val="none" w:sz="0" w:space="0" w:color="auto"/>
                            <w:bottom w:val="none" w:sz="0" w:space="0" w:color="auto"/>
                            <w:right w:val="none" w:sz="0" w:space="0" w:color="auto"/>
                          </w:divBdr>
                          <w:divsChild>
                            <w:div w:id="59906239">
                              <w:marLeft w:val="0"/>
                              <w:marRight w:val="0"/>
                              <w:marTop w:val="0"/>
                              <w:marBottom w:val="0"/>
                              <w:divBdr>
                                <w:top w:val="none" w:sz="0" w:space="0" w:color="auto"/>
                                <w:left w:val="none" w:sz="0" w:space="0" w:color="auto"/>
                                <w:bottom w:val="none" w:sz="0" w:space="0" w:color="auto"/>
                                <w:right w:val="none" w:sz="0" w:space="0" w:color="auto"/>
                              </w:divBdr>
                              <w:divsChild>
                                <w:div w:id="128936367">
                                  <w:marLeft w:val="0"/>
                                  <w:marRight w:val="0"/>
                                  <w:marTop w:val="0"/>
                                  <w:marBottom w:val="0"/>
                                  <w:divBdr>
                                    <w:top w:val="none" w:sz="0" w:space="0" w:color="auto"/>
                                    <w:left w:val="none" w:sz="0" w:space="0" w:color="auto"/>
                                    <w:bottom w:val="none" w:sz="0" w:space="0" w:color="auto"/>
                                    <w:right w:val="none" w:sz="0" w:space="0" w:color="auto"/>
                                  </w:divBdr>
                                  <w:divsChild>
                                    <w:div w:id="1993408819">
                                      <w:marLeft w:val="0"/>
                                      <w:marRight w:val="0"/>
                                      <w:marTop w:val="0"/>
                                      <w:marBottom w:val="0"/>
                                      <w:divBdr>
                                        <w:top w:val="none" w:sz="0" w:space="0" w:color="auto"/>
                                        <w:left w:val="none" w:sz="0" w:space="0" w:color="auto"/>
                                        <w:bottom w:val="none" w:sz="0" w:space="0" w:color="auto"/>
                                        <w:right w:val="none" w:sz="0" w:space="0" w:color="auto"/>
                                      </w:divBdr>
                                      <w:divsChild>
                                        <w:div w:id="485128217">
                                          <w:marLeft w:val="0"/>
                                          <w:marRight w:val="0"/>
                                          <w:marTop w:val="0"/>
                                          <w:marBottom w:val="0"/>
                                          <w:divBdr>
                                            <w:top w:val="none" w:sz="0" w:space="0" w:color="auto"/>
                                            <w:left w:val="none" w:sz="0" w:space="0" w:color="auto"/>
                                            <w:bottom w:val="none" w:sz="0" w:space="0" w:color="auto"/>
                                            <w:right w:val="none" w:sz="0" w:space="0" w:color="auto"/>
                                          </w:divBdr>
                                          <w:divsChild>
                                            <w:div w:id="2019572531">
                                              <w:marLeft w:val="0"/>
                                              <w:marRight w:val="0"/>
                                              <w:marTop w:val="0"/>
                                              <w:marBottom w:val="0"/>
                                              <w:divBdr>
                                                <w:top w:val="none" w:sz="0" w:space="0" w:color="auto"/>
                                                <w:left w:val="none" w:sz="0" w:space="0" w:color="auto"/>
                                                <w:bottom w:val="none" w:sz="0" w:space="0" w:color="auto"/>
                                                <w:right w:val="none" w:sz="0" w:space="0" w:color="auto"/>
                                              </w:divBdr>
                                              <w:divsChild>
                                                <w:div w:id="15499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076091">
      <w:bodyDiv w:val="1"/>
      <w:marLeft w:val="0"/>
      <w:marRight w:val="0"/>
      <w:marTop w:val="0"/>
      <w:marBottom w:val="0"/>
      <w:divBdr>
        <w:top w:val="none" w:sz="0" w:space="0" w:color="auto"/>
        <w:left w:val="none" w:sz="0" w:space="0" w:color="auto"/>
        <w:bottom w:val="none" w:sz="0" w:space="0" w:color="auto"/>
        <w:right w:val="none" w:sz="0" w:space="0" w:color="auto"/>
      </w:divBdr>
    </w:div>
    <w:div w:id="46951514">
      <w:bodyDiv w:val="1"/>
      <w:marLeft w:val="0"/>
      <w:marRight w:val="0"/>
      <w:marTop w:val="0"/>
      <w:marBottom w:val="0"/>
      <w:divBdr>
        <w:top w:val="none" w:sz="0" w:space="0" w:color="auto"/>
        <w:left w:val="none" w:sz="0" w:space="0" w:color="auto"/>
        <w:bottom w:val="none" w:sz="0" w:space="0" w:color="auto"/>
        <w:right w:val="none" w:sz="0" w:space="0" w:color="auto"/>
      </w:divBdr>
    </w:div>
    <w:div w:id="49305329">
      <w:bodyDiv w:val="1"/>
      <w:marLeft w:val="0"/>
      <w:marRight w:val="0"/>
      <w:marTop w:val="0"/>
      <w:marBottom w:val="0"/>
      <w:divBdr>
        <w:top w:val="none" w:sz="0" w:space="0" w:color="auto"/>
        <w:left w:val="none" w:sz="0" w:space="0" w:color="auto"/>
        <w:bottom w:val="none" w:sz="0" w:space="0" w:color="auto"/>
        <w:right w:val="none" w:sz="0" w:space="0" w:color="auto"/>
      </w:divBdr>
      <w:divsChild>
        <w:div w:id="1172060864">
          <w:marLeft w:val="0"/>
          <w:marRight w:val="0"/>
          <w:marTop w:val="0"/>
          <w:marBottom w:val="0"/>
          <w:divBdr>
            <w:top w:val="none" w:sz="0" w:space="0" w:color="auto"/>
            <w:left w:val="none" w:sz="0" w:space="0" w:color="auto"/>
            <w:bottom w:val="none" w:sz="0" w:space="0" w:color="auto"/>
            <w:right w:val="none" w:sz="0" w:space="0" w:color="auto"/>
          </w:divBdr>
          <w:divsChild>
            <w:div w:id="115217218">
              <w:marLeft w:val="0"/>
              <w:marRight w:val="0"/>
              <w:marTop w:val="0"/>
              <w:marBottom w:val="0"/>
              <w:divBdr>
                <w:top w:val="none" w:sz="0" w:space="0" w:color="auto"/>
                <w:left w:val="none" w:sz="0" w:space="0" w:color="auto"/>
                <w:bottom w:val="none" w:sz="0" w:space="0" w:color="auto"/>
                <w:right w:val="none" w:sz="0" w:space="0" w:color="auto"/>
              </w:divBdr>
              <w:divsChild>
                <w:div w:id="158742305">
                  <w:marLeft w:val="0"/>
                  <w:marRight w:val="0"/>
                  <w:marTop w:val="0"/>
                  <w:marBottom w:val="0"/>
                  <w:divBdr>
                    <w:top w:val="none" w:sz="0" w:space="0" w:color="auto"/>
                    <w:left w:val="none" w:sz="0" w:space="0" w:color="auto"/>
                    <w:bottom w:val="none" w:sz="0" w:space="0" w:color="auto"/>
                    <w:right w:val="none" w:sz="0" w:space="0" w:color="auto"/>
                  </w:divBdr>
                  <w:divsChild>
                    <w:div w:id="13899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2098">
          <w:marLeft w:val="0"/>
          <w:marRight w:val="0"/>
          <w:marTop w:val="0"/>
          <w:marBottom w:val="0"/>
          <w:divBdr>
            <w:top w:val="none" w:sz="0" w:space="0" w:color="auto"/>
            <w:left w:val="none" w:sz="0" w:space="0" w:color="auto"/>
            <w:bottom w:val="none" w:sz="0" w:space="0" w:color="auto"/>
            <w:right w:val="none" w:sz="0" w:space="0" w:color="auto"/>
          </w:divBdr>
          <w:divsChild>
            <w:div w:id="796072201">
              <w:marLeft w:val="0"/>
              <w:marRight w:val="0"/>
              <w:marTop w:val="0"/>
              <w:marBottom w:val="0"/>
              <w:divBdr>
                <w:top w:val="none" w:sz="0" w:space="0" w:color="auto"/>
                <w:left w:val="none" w:sz="0" w:space="0" w:color="auto"/>
                <w:bottom w:val="none" w:sz="0" w:space="0" w:color="auto"/>
                <w:right w:val="none" w:sz="0" w:space="0" w:color="auto"/>
              </w:divBdr>
              <w:divsChild>
                <w:div w:id="1174536970">
                  <w:marLeft w:val="0"/>
                  <w:marRight w:val="0"/>
                  <w:marTop w:val="0"/>
                  <w:marBottom w:val="0"/>
                  <w:divBdr>
                    <w:top w:val="none" w:sz="0" w:space="0" w:color="auto"/>
                    <w:left w:val="none" w:sz="0" w:space="0" w:color="auto"/>
                    <w:bottom w:val="none" w:sz="0" w:space="0" w:color="auto"/>
                    <w:right w:val="none" w:sz="0" w:space="0" w:color="auto"/>
                  </w:divBdr>
                  <w:divsChild>
                    <w:div w:id="18677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09085">
      <w:bodyDiv w:val="1"/>
      <w:marLeft w:val="0"/>
      <w:marRight w:val="0"/>
      <w:marTop w:val="0"/>
      <w:marBottom w:val="0"/>
      <w:divBdr>
        <w:top w:val="none" w:sz="0" w:space="0" w:color="auto"/>
        <w:left w:val="none" w:sz="0" w:space="0" w:color="auto"/>
        <w:bottom w:val="none" w:sz="0" w:space="0" w:color="auto"/>
        <w:right w:val="none" w:sz="0" w:space="0" w:color="auto"/>
      </w:divBdr>
      <w:divsChild>
        <w:div w:id="885482573">
          <w:marLeft w:val="0"/>
          <w:marRight w:val="0"/>
          <w:marTop w:val="0"/>
          <w:marBottom w:val="0"/>
          <w:divBdr>
            <w:top w:val="none" w:sz="0" w:space="0" w:color="auto"/>
            <w:left w:val="none" w:sz="0" w:space="0" w:color="auto"/>
            <w:bottom w:val="none" w:sz="0" w:space="0" w:color="auto"/>
            <w:right w:val="none" w:sz="0" w:space="0" w:color="auto"/>
          </w:divBdr>
          <w:divsChild>
            <w:div w:id="1625429875">
              <w:marLeft w:val="0"/>
              <w:marRight w:val="0"/>
              <w:marTop w:val="0"/>
              <w:marBottom w:val="0"/>
              <w:divBdr>
                <w:top w:val="none" w:sz="0" w:space="0" w:color="auto"/>
                <w:left w:val="none" w:sz="0" w:space="0" w:color="auto"/>
                <w:bottom w:val="none" w:sz="0" w:space="0" w:color="auto"/>
                <w:right w:val="none" w:sz="0" w:space="0" w:color="auto"/>
              </w:divBdr>
              <w:divsChild>
                <w:div w:id="12923556">
                  <w:marLeft w:val="0"/>
                  <w:marRight w:val="0"/>
                  <w:marTop w:val="0"/>
                  <w:marBottom w:val="0"/>
                  <w:divBdr>
                    <w:top w:val="none" w:sz="0" w:space="0" w:color="auto"/>
                    <w:left w:val="none" w:sz="0" w:space="0" w:color="auto"/>
                    <w:bottom w:val="none" w:sz="0" w:space="0" w:color="auto"/>
                    <w:right w:val="none" w:sz="0" w:space="0" w:color="auto"/>
                  </w:divBdr>
                  <w:divsChild>
                    <w:div w:id="9470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962">
      <w:bodyDiv w:val="1"/>
      <w:marLeft w:val="0"/>
      <w:marRight w:val="0"/>
      <w:marTop w:val="0"/>
      <w:marBottom w:val="0"/>
      <w:divBdr>
        <w:top w:val="none" w:sz="0" w:space="0" w:color="auto"/>
        <w:left w:val="none" w:sz="0" w:space="0" w:color="auto"/>
        <w:bottom w:val="none" w:sz="0" w:space="0" w:color="auto"/>
        <w:right w:val="none" w:sz="0" w:space="0" w:color="auto"/>
      </w:divBdr>
    </w:div>
    <w:div w:id="63379653">
      <w:bodyDiv w:val="1"/>
      <w:marLeft w:val="0"/>
      <w:marRight w:val="0"/>
      <w:marTop w:val="0"/>
      <w:marBottom w:val="0"/>
      <w:divBdr>
        <w:top w:val="none" w:sz="0" w:space="0" w:color="auto"/>
        <w:left w:val="none" w:sz="0" w:space="0" w:color="auto"/>
        <w:bottom w:val="none" w:sz="0" w:space="0" w:color="auto"/>
        <w:right w:val="none" w:sz="0" w:space="0" w:color="auto"/>
      </w:divBdr>
      <w:divsChild>
        <w:div w:id="710228313">
          <w:marLeft w:val="0"/>
          <w:marRight w:val="0"/>
          <w:marTop w:val="0"/>
          <w:marBottom w:val="0"/>
          <w:divBdr>
            <w:top w:val="none" w:sz="0" w:space="0" w:color="auto"/>
            <w:left w:val="none" w:sz="0" w:space="0" w:color="auto"/>
            <w:bottom w:val="none" w:sz="0" w:space="0" w:color="auto"/>
            <w:right w:val="none" w:sz="0" w:space="0" w:color="auto"/>
          </w:divBdr>
          <w:divsChild>
            <w:div w:id="1161308454">
              <w:marLeft w:val="0"/>
              <w:marRight w:val="0"/>
              <w:marTop w:val="0"/>
              <w:marBottom w:val="0"/>
              <w:divBdr>
                <w:top w:val="none" w:sz="0" w:space="0" w:color="auto"/>
                <w:left w:val="none" w:sz="0" w:space="0" w:color="auto"/>
                <w:bottom w:val="none" w:sz="0" w:space="0" w:color="auto"/>
                <w:right w:val="none" w:sz="0" w:space="0" w:color="auto"/>
              </w:divBdr>
              <w:divsChild>
                <w:div w:id="799107788">
                  <w:marLeft w:val="0"/>
                  <w:marRight w:val="0"/>
                  <w:marTop w:val="0"/>
                  <w:marBottom w:val="0"/>
                  <w:divBdr>
                    <w:top w:val="none" w:sz="0" w:space="0" w:color="auto"/>
                    <w:left w:val="none" w:sz="0" w:space="0" w:color="auto"/>
                    <w:bottom w:val="none" w:sz="0" w:space="0" w:color="auto"/>
                    <w:right w:val="none" w:sz="0" w:space="0" w:color="auto"/>
                  </w:divBdr>
                  <w:divsChild>
                    <w:div w:id="78405707">
                      <w:marLeft w:val="0"/>
                      <w:marRight w:val="0"/>
                      <w:marTop w:val="0"/>
                      <w:marBottom w:val="0"/>
                      <w:divBdr>
                        <w:top w:val="none" w:sz="0" w:space="0" w:color="auto"/>
                        <w:left w:val="none" w:sz="0" w:space="0" w:color="auto"/>
                        <w:bottom w:val="none" w:sz="0" w:space="0" w:color="auto"/>
                        <w:right w:val="none" w:sz="0" w:space="0" w:color="auto"/>
                      </w:divBdr>
                      <w:divsChild>
                        <w:div w:id="1464076832">
                          <w:marLeft w:val="0"/>
                          <w:marRight w:val="0"/>
                          <w:marTop w:val="0"/>
                          <w:marBottom w:val="0"/>
                          <w:divBdr>
                            <w:top w:val="none" w:sz="0" w:space="0" w:color="auto"/>
                            <w:left w:val="none" w:sz="0" w:space="0" w:color="auto"/>
                            <w:bottom w:val="none" w:sz="0" w:space="0" w:color="auto"/>
                            <w:right w:val="none" w:sz="0" w:space="0" w:color="auto"/>
                          </w:divBdr>
                          <w:divsChild>
                            <w:div w:id="1965766582">
                              <w:marLeft w:val="0"/>
                              <w:marRight w:val="0"/>
                              <w:marTop w:val="0"/>
                              <w:marBottom w:val="0"/>
                              <w:divBdr>
                                <w:top w:val="none" w:sz="0" w:space="0" w:color="auto"/>
                                <w:left w:val="none" w:sz="0" w:space="0" w:color="auto"/>
                                <w:bottom w:val="none" w:sz="0" w:space="0" w:color="auto"/>
                                <w:right w:val="none" w:sz="0" w:space="0" w:color="auto"/>
                              </w:divBdr>
                              <w:divsChild>
                                <w:div w:id="956638430">
                                  <w:marLeft w:val="0"/>
                                  <w:marRight w:val="0"/>
                                  <w:marTop w:val="0"/>
                                  <w:marBottom w:val="0"/>
                                  <w:divBdr>
                                    <w:top w:val="none" w:sz="0" w:space="0" w:color="auto"/>
                                    <w:left w:val="none" w:sz="0" w:space="0" w:color="auto"/>
                                    <w:bottom w:val="none" w:sz="0" w:space="0" w:color="auto"/>
                                    <w:right w:val="none" w:sz="0" w:space="0" w:color="auto"/>
                                  </w:divBdr>
                                  <w:divsChild>
                                    <w:div w:id="825781961">
                                      <w:marLeft w:val="0"/>
                                      <w:marRight w:val="0"/>
                                      <w:marTop w:val="0"/>
                                      <w:marBottom w:val="0"/>
                                      <w:divBdr>
                                        <w:top w:val="none" w:sz="0" w:space="0" w:color="auto"/>
                                        <w:left w:val="none" w:sz="0" w:space="0" w:color="auto"/>
                                        <w:bottom w:val="none" w:sz="0" w:space="0" w:color="auto"/>
                                        <w:right w:val="none" w:sz="0" w:space="0" w:color="auto"/>
                                      </w:divBdr>
                                      <w:divsChild>
                                        <w:div w:id="1696081627">
                                          <w:marLeft w:val="0"/>
                                          <w:marRight w:val="0"/>
                                          <w:marTop w:val="0"/>
                                          <w:marBottom w:val="0"/>
                                          <w:divBdr>
                                            <w:top w:val="none" w:sz="0" w:space="0" w:color="auto"/>
                                            <w:left w:val="none" w:sz="0" w:space="0" w:color="auto"/>
                                            <w:bottom w:val="none" w:sz="0" w:space="0" w:color="auto"/>
                                            <w:right w:val="none" w:sz="0" w:space="0" w:color="auto"/>
                                          </w:divBdr>
                                          <w:divsChild>
                                            <w:div w:id="170343858">
                                              <w:marLeft w:val="0"/>
                                              <w:marRight w:val="0"/>
                                              <w:marTop w:val="0"/>
                                              <w:marBottom w:val="0"/>
                                              <w:divBdr>
                                                <w:top w:val="none" w:sz="0" w:space="0" w:color="auto"/>
                                                <w:left w:val="none" w:sz="0" w:space="0" w:color="auto"/>
                                                <w:bottom w:val="none" w:sz="0" w:space="0" w:color="auto"/>
                                                <w:right w:val="none" w:sz="0" w:space="0" w:color="auto"/>
                                              </w:divBdr>
                                              <w:divsChild>
                                                <w:div w:id="948703951">
                                                  <w:marLeft w:val="0"/>
                                                  <w:marRight w:val="0"/>
                                                  <w:marTop w:val="0"/>
                                                  <w:marBottom w:val="0"/>
                                                  <w:divBdr>
                                                    <w:top w:val="none" w:sz="0" w:space="0" w:color="auto"/>
                                                    <w:left w:val="none" w:sz="0" w:space="0" w:color="auto"/>
                                                    <w:bottom w:val="none" w:sz="0" w:space="0" w:color="auto"/>
                                                    <w:right w:val="none" w:sz="0" w:space="0" w:color="auto"/>
                                                  </w:divBdr>
                                                  <w:divsChild>
                                                    <w:div w:id="262959627">
                                                      <w:marLeft w:val="0"/>
                                                      <w:marRight w:val="0"/>
                                                      <w:marTop w:val="0"/>
                                                      <w:marBottom w:val="0"/>
                                                      <w:divBdr>
                                                        <w:top w:val="none" w:sz="0" w:space="0" w:color="auto"/>
                                                        <w:left w:val="none" w:sz="0" w:space="0" w:color="auto"/>
                                                        <w:bottom w:val="none" w:sz="0" w:space="0" w:color="auto"/>
                                                        <w:right w:val="none" w:sz="0" w:space="0" w:color="auto"/>
                                                      </w:divBdr>
                                                      <w:divsChild>
                                                        <w:div w:id="11030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22901">
                                              <w:marLeft w:val="0"/>
                                              <w:marRight w:val="0"/>
                                              <w:marTop w:val="0"/>
                                              <w:marBottom w:val="0"/>
                                              <w:divBdr>
                                                <w:top w:val="none" w:sz="0" w:space="0" w:color="auto"/>
                                                <w:left w:val="none" w:sz="0" w:space="0" w:color="auto"/>
                                                <w:bottom w:val="none" w:sz="0" w:space="0" w:color="auto"/>
                                                <w:right w:val="none" w:sz="0" w:space="0" w:color="auto"/>
                                              </w:divBdr>
                                              <w:divsChild>
                                                <w:div w:id="1445222744">
                                                  <w:marLeft w:val="0"/>
                                                  <w:marRight w:val="0"/>
                                                  <w:marTop w:val="0"/>
                                                  <w:marBottom w:val="0"/>
                                                  <w:divBdr>
                                                    <w:top w:val="none" w:sz="0" w:space="0" w:color="auto"/>
                                                    <w:left w:val="none" w:sz="0" w:space="0" w:color="auto"/>
                                                    <w:bottom w:val="none" w:sz="0" w:space="0" w:color="auto"/>
                                                    <w:right w:val="none" w:sz="0" w:space="0" w:color="auto"/>
                                                  </w:divBdr>
                                                  <w:divsChild>
                                                    <w:div w:id="112479136">
                                                      <w:marLeft w:val="0"/>
                                                      <w:marRight w:val="0"/>
                                                      <w:marTop w:val="0"/>
                                                      <w:marBottom w:val="0"/>
                                                      <w:divBdr>
                                                        <w:top w:val="none" w:sz="0" w:space="0" w:color="auto"/>
                                                        <w:left w:val="none" w:sz="0" w:space="0" w:color="auto"/>
                                                        <w:bottom w:val="none" w:sz="0" w:space="0" w:color="auto"/>
                                                        <w:right w:val="none" w:sz="0" w:space="0" w:color="auto"/>
                                                      </w:divBdr>
                                                      <w:divsChild>
                                                        <w:div w:id="167884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7889921">
          <w:marLeft w:val="0"/>
          <w:marRight w:val="0"/>
          <w:marTop w:val="0"/>
          <w:marBottom w:val="0"/>
          <w:divBdr>
            <w:top w:val="none" w:sz="0" w:space="0" w:color="auto"/>
            <w:left w:val="none" w:sz="0" w:space="0" w:color="auto"/>
            <w:bottom w:val="none" w:sz="0" w:space="0" w:color="auto"/>
            <w:right w:val="none" w:sz="0" w:space="0" w:color="auto"/>
          </w:divBdr>
          <w:divsChild>
            <w:div w:id="523321494">
              <w:marLeft w:val="0"/>
              <w:marRight w:val="0"/>
              <w:marTop w:val="0"/>
              <w:marBottom w:val="0"/>
              <w:divBdr>
                <w:top w:val="none" w:sz="0" w:space="0" w:color="auto"/>
                <w:left w:val="none" w:sz="0" w:space="0" w:color="auto"/>
                <w:bottom w:val="none" w:sz="0" w:space="0" w:color="auto"/>
                <w:right w:val="none" w:sz="0" w:space="0" w:color="auto"/>
              </w:divBdr>
              <w:divsChild>
                <w:div w:id="403067604">
                  <w:marLeft w:val="0"/>
                  <w:marRight w:val="0"/>
                  <w:marTop w:val="0"/>
                  <w:marBottom w:val="0"/>
                  <w:divBdr>
                    <w:top w:val="none" w:sz="0" w:space="0" w:color="auto"/>
                    <w:left w:val="none" w:sz="0" w:space="0" w:color="auto"/>
                    <w:bottom w:val="none" w:sz="0" w:space="0" w:color="auto"/>
                    <w:right w:val="none" w:sz="0" w:space="0" w:color="auto"/>
                  </w:divBdr>
                  <w:divsChild>
                    <w:div w:id="287007051">
                      <w:marLeft w:val="0"/>
                      <w:marRight w:val="0"/>
                      <w:marTop w:val="0"/>
                      <w:marBottom w:val="0"/>
                      <w:divBdr>
                        <w:top w:val="none" w:sz="0" w:space="0" w:color="auto"/>
                        <w:left w:val="none" w:sz="0" w:space="0" w:color="auto"/>
                        <w:bottom w:val="none" w:sz="0" w:space="0" w:color="auto"/>
                        <w:right w:val="none" w:sz="0" w:space="0" w:color="auto"/>
                      </w:divBdr>
                      <w:divsChild>
                        <w:div w:id="730926265">
                          <w:marLeft w:val="0"/>
                          <w:marRight w:val="0"/>
                          <w:marTop w:val="0"/>
                          <w:marBottom w:val="0"/>
                          <w:divBdr>
                            <w:top w:val="none" w:sz="0" w:space="0" w:color="auto"/>
                            <w:left w:val="none" w:sz="0" w:space="0" w:color="auto"/>
                            <w:bottom w:val="none" w:sz="0" w:space="0" w:color="auto"/>
                            <w:right w:val="none" w:sz="0" w:space="0" w:color="auto"/>
                          </w:divBdr>
                          <w:divsChild>
                            <w:div w:id="1843009215">
                              <w:marLeft w:val="0"/>
                              <w:marRight w:val="0"/>
                              <w:marTop w:val="0"/>
                              <w:marBottom w:val="0"/>
                              <w:divBdr>
                                <w:top w:val="none" w:sz="0" w:space="0" w:color="auto"/>
                                <w:left w:val="none" w:sz="0" w:space="0" w:color="auto"/>
                                <w:bottom w:val="none" w:sz="0" w:space="0" w:color="auto"/>
                                <w:right w:val="none" w:sz="0" w:space="0" w:color="auto"/>
                              </w:divBdr>
                              <w:divsChild>
                                <w:div w:id="590546020">
                                  <w:marLeft w:val="0"/>
                                  <w:marRight w:val="0"/>
                                  <w:marTop w:val="0"/>
                                  <w:marBottom w:val="0"/>
                                  <w:divBdr>
                                    <w:top w:val="none" w:sz="0" w:space="0" w:color="auto"/>
                                    <w:left w:val="none" w:sz="0" w:space="0" w:color="auto"/>
                                    <w:bottom w:val="none" w:sz="0" w:space="0" w:color="auto"/>
                                    <w:right w:val="none" w:sz="0" w:space="0" w:color="auto"/>
                                  </w:divBdr>
                                  <w:divsChild>
                                    <w:div w:id="1507861741">
                                      <w:marLeft w:val="0"/>
                                      <w:marRight w:val="0"/>
                                      <w:marTop w:val="0"/>
                                      <w:marBottom w:val="0"/>
                                      <w:divBdr>
                                        <w:top w:val="none" w:sz="0" w:space="0" w:color="auto"/>
                                        <w:left w:val="none" w:sz="0" w:space="0" w:color="auto"/>
                                        <w:bottom w:val="none" w:sz="0" w:space="0" w:color="auto"/>
                                        <w:right w:val="none" w:sz="0" w:space="0" w:color="auto"/>
                                      </w:divBdr>
                                      <w:divsChild>
                                        <w:div w:id="728770685">
                                          <w:marLeft w:val="0"/>
                                          <w:marRight w:val="0"/>
                                          <w:marTop w:val="0"/>
                                          <w:marBottom w:val="0"/>
                                          <w:divBdr>
                                            <w:top w:val="none" w:sz="0" w:space="0" w:color="auto"/>
                                            <w:left w:val="none" w:sz="0" w:space="0" w:color="auto"/>
                                            <w:bottom w:val="none" w:sz="0" w:space="0" w:color="auto"/>
                                            <w:right w:val="none" w:sz="0" w:space="0" w:color="auto"/>
                                          </w:divBdr>
                                          <w:divsChild>
                                            <w:div w:id="39984164">
                                              <w:marLeft w:val="0"/>
                                              <w:marRight w:val="0"/>
                                              <w:marTop w:val="0"/>
                                              <w:marBottom w:val="0"/>
                                              <w:divBdr>
                                                <w:top w:val="none" w:sz="0" w:space="0" w:color="auto"/>
                                                <w:left w:val="none" w:sz="0" w:space="0" w:color="auto"/>
                                                <w:bottom w:val="none" w:sz="0" w:space="0" w:color="auto"/>
                                                <w:right w:val="none" w:sz="0" w:space="0" w:color="auto"/>
                                              </w:divBdr>
                                              <w:divsChild>
                                                <w:div w:id="3809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4890">
      <w:bodyDiv w:val="1"/>
      <w:marLeft w:val="0"/>
      <w:marRight w:val="0"/>
      <w:marTop w:val="0"/>
      <w:marBottom w:val="0"/>
      <w:divBdr>
        <w:top w:val="none" w:sz="0" w:space="0" w:color="auto"/>
        <w:left w:val="none" w:sz="0" w:space="0" w:color="auto"/>
        <w:bottom w:val="none" w:sz="0" w:space="0" w:color="auto"/>
        <w:right w:val="none" w:sz="0" w:space="0" w:color="auto"/>
      </w:divBdr>
    </w:div>
    <w:div w:id="80227397">
      <w:bodyDiv w:val="1"/>
      <w:marLeft w:val="0"/>
      <w:marRight w:val="0"/>
      <w:marTop w:val="0"/>
      <w:marBottom w:val="0"/>
      <w:divBdr>
        <w:top w:val="none" w:sz="0" w:space="0" w:color="auto"/>
        <w:left w:val="none" w:sz="0" w:space="0" w:color="auto"/>
        <w:bottom w:val="none" w:sz="0" w:space="0" w:color="auto"/>
        <w:right w:val="none" w:sz="0" w:space="0" w:color="auto"/>
      </w:divBdr>
    </w:div>
    <w:div w:id="81420075">
      <w:bodyDiv w:val="1"/>
      <w:marLeft w:val="0"/>
      <w:marRight w:val="0"/>
      <w:marTop w:val="0"/>
      <w:marBottom w:val="0"/>
      <w:divBdr>
        <w:top w:val="none" w:sz="0" w:space="0" w:color="auto"/>
        <w:left w:val="none" w:sz="0" w:space="0" w:color="auto"/>
        <w:bottom w:val="none" w:sz="0" w:space="0" w:color="auto"/>
        <w:right w:val="none" w:sz="0" w:space="0" w:color="auto"/>
      </w:divBdr>
    </w:div>
    <w:div w:id="93324042">
      <w:bodyDiv w:val="1"/>
      <w:marLeft w:val="0"/>
      <w:marRight w:val="0"/>
      <w:marTop w:val="0"/>
      <w:marBottom w:val="0"/>
      <w:divBdr>
        <w:top w:val="none" w:sz="0" w:space="0" w:color="auto"/>
        <w:left w:val="none" w:sz="0" w:space="0" w:color="auto"/>
        <w:bottom w:val="none" w:sz="0" w:space="0" w:color="auto"/>
        <w:right w:val="none" w:sz="0" w:space="0" w:color="auto"/>
      </w:divBdr>
      <w:divsChild>
        <w:div w:id="1193348623">
          <w:marLeft w:val="0"/>
          <w:marRight w:val="0"/>
          <w:marTop w:val="0"/>
          <w:marBottom w:val="0"/>
          <w:divBdr>
            <w:top w:val="none" w:sz="0" w:space="0" w:color="auto"/>
            <w:left w:val="none" w:sz="0" w:space="0" w:color="auto"/>
            <w:bottom w:val="none" w:sz="0" w:space="0" w:color="auto"/>
            <w:right w:val="none" w:sz="0" w:space="0" w:color="auto"/>
          </w:divBdr>
          <w:divsChild>
            <w:div w:id="1244996312">
              <w:marLeft w:val="0"/>
              <w:marRight w:val="0"/>
              <w:marTop w:val="0"/>
              <w:marBottom w:val="0"/>
              <w:divBdr>
                <w:top w:val="none" w:sz="0" w:space="0" w:color="auto"/>
                <w:left w:val="none" w:sz="0" w:space="0" w:color="auto"/>
                <w:bottom w:val="none" w:sz="0" w:space="0" w:color="auto"/>
                <w:right w:val="none" w:sz="0" w:space="0" w:color="auto"/>
              </w:divBdr>
              <w:divsChild>
                <w:div w:id="455415458">
                  <w:marLeft w:val="0"/>
                  <w:marRight w:val="0"/>
                  <w:marTop w:val="0"/>
                  <w:marBottom w:val="0"/>
                  <w:divBdr>
                    <w:top w:val="none" w:sz="0" w:space="0" w:color="auto"/>
                    <w:left w:val="none" w:sz="0" w:space="0" w:color="auto"/>
                    <w:bottom w:val="none" w:sz="0" w:space="0" w:color="auto"/>
                    <w:right w:val="none" w:sz="0" w:space="0" w:color="auto"/>
                  </w:divBdr>
                  <w:divsChild>
                    <w:div w:id="6823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29491">
          <w:marLeft w:val="0"/>
          <w:marRight w:val="0"/>
          <w:marTop w:val="0"/>
          <w:marBottom w:val="0"/>
          <w:divBdr>
            <w:top w:val="none" w:sz="0" w:space="0" w:color="auto"/>
            <w:left w:val="none" w:sz="0" w:space="0" w:color="auto"/>
            <w:bottom w:val="none" w:sz="0" w:space="0" w:color="auto"/>
            <w:right w:val="none" w:sz="0" w:space="0" w:color="auto"/>
          </w:divBdr>
          <w:divsChild>
            <w:div w:id="680544371">
              <w:marLeft w:val="0"/>
              <w:marRight w:val="0"/>
              <w:marTop w:val="0"/>
              <w:marBottom w:val="0"/>
              <w:divBdr>
                <w:top w:val="none" w:sz="0" w:space="0" w:color="auto"/>
                <w:left w:val="none" w:sz="0" w:space="0" w:color="auto"/>
                <w:bottom w:val="none" w:sz="0" w:space="0" w:color="auto"/>
                <w:right w:val="none" w:sz="0" w:space="0" w:color="auto"/>
              </w:divBdr>
              <w:divsChild>
                <w:div w:id="796678815">
                  <w:marLeft w:val="0"/>
                  <w:marRight w:val="0"/>
                  <w:marTop w:val="0"/>
                  <w:marBottom w:val="0"/>
                  <w:divBdr>
                    <w:top w:val="none" w:sz="0" w:space="0" w:color="auto"/>
                    <w:left w:val="none" w:sz="0" w:space="0" w:color="auto"/>
                    <w:bottom w:val="none" w:sz="0" w:space="0" w:color="auto"/>
                    <w:right w:val="none" w:sz="0" w:space="0" w:color="auto"/>
                  </w:divBdr>
                  <w:divsChild>
                    <w:div w:id="19128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1017">
      <w:bodyDiv w:val="1"/>
      <w:marLeft w:val="0"/>
      <w:marRight w:val="0"/>
      <w:marTop w:val="0"/>
      <w:marBottom w:val="0"/>
      <w:divBdr>
        <w:top w:val="none" w:sz="0" w:space="0" w:color="auto"/>
        <w:left w:val="none" w:sz="0" w:space="0" w:color="auto"/>
        <w:bottom w:val="none" w:sz="0" w:space="0" w:color="auto"/>
        <w:right w:val="none" w:sz="0" w:space="0" w:color="auto"/>
      </w:divBdr>
    </w:div>
    <w:div w:id="111093585">
      <w:bodyDiv w:val="1"/>
      <w:marLeft w:val="0"/>
      <w:marRight w:val="0"/>
      <w:marTop w:val="0"/>
      <w:marBottom w:val="0"/>
      <w:divBdr>
        <w:top w:val="none" w:sz="0" w:space="0" w:color="auto"/>
        <w:left w:val="none" w:sz="0" w:space="0" w:color="auto"/>
        <w:bottom w:val="none" w:sz="0" w:space="0" w:color="auto"/>
        <w:right w:val="none" w:sz="0" w:space="0" w:color="auto"/>
      </w:divBdr>
    </w:div>
    <w:div w:id="112870732">
      <w:bodyDiv w:val="1"/>
      <w:marLeft w:val="0"/>
      <w:marRight w:val="0"/>
      <w:marTop w:val="0"/>
      <w:marBottom w:val="0"/>
      <w:divBdr>
        <w:top w:val="none" w:sz="0" w:space="0" w:color="auto"/>
        <w:left w:val="none" w:sz="0" w:space="0" w:color="auto"/>
        <w:bottom w:val="none" w:sz="0" w:space="0" w:color="auto"/>
        <w:right w:val="none" w:sz="0" w:space="0" w:color="auto"/>
      </w:divBdr>
    </w:div>
    <w:div w:id="117073364">
      <w:bodyDiv w:val="1"/>
      <w:marLeft w:val="0"/>
      <w:marRight w:val="0"/>
      <w:marTop w:val="0"/>
      <w:marBottom w:val="0"/>
      <w:divBdr>
        <w:top w:val="none" w:sz="0" w:space="0" w:color="auto"/>
        <w:left w:val="none" w:sz="0" w:space="0" w:color="auto"/>
        <w:bottom w:val="none" w:sz="0" w:space="0" w:color="auto"/>
        <w:right w:val="none" w:sz="0" w:space="0" w:color="auto"/>
      </w:divBdr>
    </w:div>
    <w:div w:id="123692815">
      <w:bodyDiv w:val="1"/>
      <w:marLeft w:val="0"/>
      <w:marRight w:val="0"/>
      <w:marTop w:val="0"/>
      <w:marBottom w:val="0"/>
      <w:divBdr>
        <w:top w:val="none" w:sz="0" w:space="0" w:color="auto"/>
        <w:left w:val="none" w:sz="0" w:space="0" w:color="auto"/>
        <w:bottom w:val="none" w:sz="0" w:space="0" w:color="auto"/>
        <w:right w:val="none" w:sz="0" w:space="0" w:color="auto"/>
      </w:divBdr>
      <w:divsChild>
        <w:div w:id="1863666978">
          <w:marLeft w:val="0"/>
          <w:marRight w:val="0"/>
          <w:marTop w:val="0"/>
          <w:marBottom w:val="0"/>
          <w:divBdr>
            <w:top w:val="none" w:sz="0" w:space="0" w:color="auto"/>
            <w:left w:val="none" w:sz="0" w:space="0" w:color="auto"/>
            <w:bottom w:val="none" w:sz="0" w:space="0" w:color="auto"/>
            <w:right w:val="none" w:sz="0" w:space="0" w:color="auto"/>
          </w:divBdr>
          <w:divsChild>
            <w:div w:id="1260483168">
              <w:marLeft w:val="0"/>
              <w:marRight w:val="0"/>
              <w:marTop w:val="0"/>
              <w:marBottom w:val="0"/>
              <w:divBdr>
                <w:top w:val="none" w:sz="0" w:space="0" w:color="auto"/>
                <w:left w:val="none" w:sz="0" w:space="0" w:color="auto"/>
                <w:bottom w:val="none" w:sz="0" w:space="0" w:color="auto"/>
                <w:right w:val="none" w:sz="0" w:space="0" w:color="auto"/>
              </w:divBdr>
              <w:divsChild>
                <w:div w:id="2129202886">
                  <w:marLeft w:val="0"/>
                  <w:marRight w:val="0"/>
                  <w:marTop w:val="0"/>
                  <w:marBottom w:val="0"/>
                  <w:divBdr>
                    <w:top w:val="none" w:sz="0" w:space="0" w:color="auto"/>
                    <w:left w:val="none" w:sz="0" w:space="0" w:color="auto"/>
                    <w:bottom w:val="none" w:sz="0" w:space="0" w:color="auto"/>
                    <w:right w:val="none" w:sz="0" w:space="0" w:color="auto"/>
                  </w:divBdr>
                  <w:divsChild>
                    <w:div w:id="10517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00773">
          <w:marLeft w:val="0"/>
          <w:marRight w:val="0"/>
          <w:marTop w:val="0"/>
          <w:marBottom w:val="0"/>
          <w:divBdr>
            <w:top w:val="none" w:sz="0" w:space="0" w:color="auto"/>
            <w:left w:val="none" w:sz="0" w:space="0" w:color="auto"/>
            <w:bottom w:val="none" w:sz="0" w:space="0" w:color="auto"/>
            <w:right w:val="none" w:sz="0" w:space="0" w:color="auto"/>
          </w:divBdr>
          <w:divsChild>
            <w:div w:id="367874639">
              <w:marLeft w:val="0"/>
              <w:marRight w:val="0"/>
              <w:marTop w:val="0"/>
              <w:marBottom w:val="0"/>
              <w:divBdr>
                <w:top w:val="none" w:sz="0" w:space="0" w:color="auto"/>
                <w:left w:val="none" w:sz="0" w:space="0" w:color="auto"/>
                <w:bottom w:val="none" w:sz="0" w:space="0" w:color="auto"/>
                <w:right w:val="none" w:sz="0" w:space="0" w:color="auto"/>
              </w:divBdr>
              <w:divsChild>
                <w:div w:id="402485990">
                  <w:marLeft w:val="0"/>
                  <w:marRight w:val="0"/>
                  <w:marTop w:val="0"/>
                  <w:marBottom w:val="0"/>
                  <w:divBdr>
                    <w:top w:val="none" w:sz="0" w:space="0" w:color="auto"/>
                    <w:left w:val="none" w:sz="0" w:space="0" w:color="auto"/>
                    <w:bottom w:val="none" w:sz="0" w:space="0" w:color="auto"/>
                    <w:right w:val="none" w:sz="0" w:space="0" w:color="auto"/>
                  </w:divBdr>
                  <w:divsChild>
                    <w:div w:id="9089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0947">
      <w:bodyDiv w:val="1"/>
      <w:marLeft w:val="0"/>
      <w:marRight w:val="0"/>
      <w:marTop w:val="0"/>
      <w:marBottom w:val="0"/>
      <w:divBdr>
        <w:top w:val="none" w:sz="0" w:space="0" w:color="auto"/>
        <w:left w:val="none" w:sz="0" w:space="0" w:color="auto"/>
        <w:bottom w:val="none" w:sz="0" w:space="0" w:color="auto"/>
        <w:right w:val="none" w:sz="0" w:space="0" w:color="auto"/>
      </w:divBdr>
      <w:divsChild>
        <w:div w:id="1492330343">
          <w:marLeft w:val="0"/>
          <w:marRight w:val="0"/>
          <w:marTop w:val="0"/>
          <w:marBottom w:val="0"/>
          <w:divBdr>
            <w:top w:val="none" w:sz="0" w:space="0" w:color="auto"/>
            <w:left w:val="none" w:sz="0" w:space="0" w:color="auto"/>
            <w:bottom w:val="none" w:sz="0" w:space="0" w:color="auto"/>
            <w:right w:val="none" w:sz="0" w:space="0" w:color="auto"/>
          </w:divBdr>
          <w:divsChild>
            <w:div w:id="840506229">
              <w:marLeft w:val="0"/>
              <w:marRight w:val="0"/>
              <w:marTop w:val="0"/>
              <w:marBottom w:val="0"/>
              <w:divBdr>
                <w:top w:val="none" w:sz="0" w:space="0" w:color="auto"/>
                <w:left w:val="none" w:sz="0" w:space="0" w:color="auto"/>
                <w:bottom w:val="none" w:sz="0" w:space="0" w:color="auto"/>
                <w:right w:val="none" w:sz="0" w:space="0" w:color="auto"/>
              </w:divBdr>
              <w:divsChild>
                <w:div w:id="103574687">
                  <w:marLeft w:val="0"/>
                  <w:marRight w:val="0"/>
                  <w:marTop w:val="0"/>
                  <w:marBottom w:val="0"/>
                  <w:divBdr>
                    <w:top w:val="none" w:sz="0" w:space="0" w:color="auto"/>
                    <w:left w:val="none" w:sz="0" w:space="0" w:color="auto"/>
                    <w:bottom w:val="none" w:sz="0" w:space="0" w:color="auto"/>
                    <w:right w:val="none" w:sz="0" w:space="0" w:color="auto"/>
                  </w:divBdr>
                  <w:divsChild>
                    <w:div w:id="20368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11556">
          <w:marLeft w:val="0"/>
          <w:marRight w:val="0"/>
          <w:marTop w:val="0"/>
          <w:marBottom w:val="0"/>
          <w:divBdr>
            <w:top w:val="none" w:sz="0" w:space="0" w:color="auto"/>
            <w:left w:val="none" w:sz="0" w:space="0" w:color="auto"/>
            <w:bottom w:val="none" w:sz="0" w:space="0" w:color="auto"/>
            <w:right w:val="none" w:sz="0" w:space="0" w:color="auto"/>
          </w:divBdr>
          <w:divsChild>
            <w:div w:id="1858470806">
              <w:marLeft w:val="0"/>
              <w:marRight w:val="0"/>
              <w:marTop w:val="0"/>
              <w:marBottom w:val="0"/>
              <w:divBdr>
                <w:top w:val="none" w:sz="0" w:space="0" w:color="auto"/>
                <w:left w:val="none" w:sz="0" w:space="0" w:color="auto"/>
                <w:bottom w:val="none" w:sz="0" w:space="0" w:color="auto"/>
                <w:right w:val="none" w:sz="0" w:space="0" w:color="auto"/>
              </w:divBdr>
              <w:divsChild>
                <w:div w:id="135419189">
                  <w:marLeft w:val="0"/>
                  <w:marRight w:val="0"/>
                  <w:marTop w:val="0"/>
                  <w:marBottom w:val="0"/>
                  <w:divBdr>
                    <w:top w:val="none" w:sz="0" w:space="0" w:color="auto"/>
                    <w:left w:val="none" w:sz="0" w:space="0" w:color="auto"/>
                    <w:bottom w:val="none" w:sz="0" w:space="0" w:color="auto"/>
                    <w:right w:val="none" w:sz="0" w:space="0" w:color="auto"/>
                  </w:divBdr>
                  <w:divsChild>
                    <w:div w:id="5715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4170">
      <w:bodyDiv w:val="1"/>
      <w:marLeft w:val="0"/>
      <w:marRight w:val="0"/>
      <w:marTop w:val="0"/>
      <w:marBottom w:val="0"/>
      <w:divBdr>
        <w:top w:val="none" w:sz="0" w:space="0" w:color="auto"/>
        <w:left w:val="none" w:sz="0" w:space="0" w:color="auto"/>
        <w:bottom w:val="none" w:sz="0" w:space="0" w:color="auto"/>
        <w:right w:val="none" w:sz="0" w:space="0" w:color="auto"/>
      </w:divBdr>
    </w:div>
    <w:div w:id="146946898">
      <w:bodyDiv w:val="1"/>
      <w:marLeft w:val="0"/>
      <w:marRight w:val="0"/>
      <w:marTop w:val="0"/>
      <w:marBottom w:val="0"/>
      <w:divBdr>
        <w:top w:val="none" w:sz="0" w:space="0" w:color="auto"/>
        <w:left w:val="none" w:sz="0" w:space="0" w:color="auto"/>
        <w:bottom w:val="none" w:sz="0" w:space="0" w:color="auto"/>
        <w:right w:val="none" w:sz="0" w:space="0" w:color="auto"/>
      </w:divBdr>
    </w:div>
    <w:div w:id="147476345">
      <w:bodyDiv w:val="1"/>
      <w:marLeft w:val="0"/>
      <w:marRight w:val="0"/>
      <w:marTop w:val="0"/>
      <w:marBottom w:val="0"/>
      <w:divBdr>
        <w:top w:val="none" w:sz="0" w:space="0" w:color="auto"/>
        <w:left w:val="none" w:sz="0" w:space="0" w:color="auto"/>
        <w:bottom w:val="none" w:sz="0" w:space="0" w:color="auto"/>
        <w:right w:val="none" w:sz="0" w:space="0" w:color="auto"/>
      </w:divBdr>
    </w:div>
    <w:div w:id="155340647">
      <w:bodyDiv w:val="1"/>
      <w:marLeft w:val="0"/>
      <w:marRight w:val="0"/>
      <w:marTop w:val="0"/>
      <w:marBottom w:val="0"/>
      <w:divBdr>
        <w:top w:val="none" w:sz="0" w:space="0" w:color="auto"/>
        <w:left w:val="none" w:sz="0" w:space="0" w:color="auto"/>
        <w:bottom w:val="none" w:sz="0" w:space="0" w:color="auto"/>
        <w:right w:val="none" w:sz="0" w:space="0" w:color="auto"/>
      </w:divBdr>
    </w:div>
    <w:div w:id="163664426">
      <w:bodyDiv w:val="1"/>
      <w:marLeft w:val="0"/>
      <w:marRight w:val="0"/>
      <w:marTop w:val="0"/>
      <w:marBottom w:val="0"/>
      <w:divBdr>
        <w:top w:val="none" w:sz="0" w:space="0" w:color="auto"/>
        <w:left w:val="none" w:sz="0" w:space="0" w:color="auto"/>
        <w:bottom w:val="none" w:sz="0" w:space="0" w:color="auto"/>
        <w:right w:val="none" w:sz="0" w:space="0" w:color="auto"/>
      </w:divBdr>
    </w:div>
    <w:div w:id="176114749">
      <w:bodyDiv w:val="1"/>
      <w:marLeft w:val="0"/>
      <w:marRight w:val="0"/>
      <w:marTop w:val="0"/>
      <w:marBottom w:val="0"/>
      <w:divBdr>
        <w:top w:val="none" w:sz="0" w:space="0" w:color="auto"/>
        <w:left w:val="none" w:sz="0" w:space="0" w:color="auto"/>
        <w:bottom w:val="none" w:sz="0" w:space="0" w:color="auto"/>
        <w:right w:val="none" w:sz="0" w:space="0" w:color="auto"/>
      </w:divBdr>
    </w:div>
    <w:div w:id="178544625">
      <w:bodyDiv w:val="1"/>
      <w:marLeft w:val="0"/>
      <w:marRight w:val="0"/>
      <w:marTop w:val="0"/>
      <w:marBottom w:val="0"/>
      <w:divBdr>
        <w:top w:val="none" w:sz="0" w:space="0" w:color="auto"/>
        <w:left w:val="none" w:sz="0" w:space="0" w:color="auto"/>
        <w:bottom w:val="none" w:sz="0" w:space="0" w:color="auto"/>
        <w:right w:val="none" w:sz="0" w:space="0" w:color="auto"/>
      </w:divBdr>
    </w:div>
    <w:div w:id="197820270">
      <w:bodyDiv w:val="1"/>
      <w:marLeft w:val="0"/>
      <w:marRight w:val="0"/>
      <w:marTop w:val="0"/>
      <w:marBottom w:val="0"/>
      <w:divBdr>
        <w:top w:val="none" w:sz="0" w:space="0" w:color="auto"/>
        <w:left w:val="none" w:sz="0" w:space="0" w:color="auto"/>
        <w:bottom w:val="none" w:sz="0" w:space="0" w:color="auto"/>
        <w:right w:val="none" w:sz="0" w:space="0" w:color="auto"/>
      </w:divBdr>
      <w:divsChild>
        <w:div w:id="1326084146">
          <w:marLeft w:val="0"/>
          <w:marRight w:val="0"/>
          <w:marTop w:val="0"/>
          <w:marBottom w:val="0"/>
          <w:divBdr>
            <w:top w:val="none" w:sz="0" w:space="0" w:color="auto"/>
            <w:left w:val="none" w:sz="0" w:space="0" w:color="auto"/>
            <w:bottom w:val="none" w:sz="0" w:space="0" w:color="auto"/>
            <w:right w:val="none" w:sz="0" w:space="0" w:color="auto"/>
          </w:divBdr>
          <w:divsChild>
            <w:div w:id="1088574385">
              <w:marLeft w:val="0"/>
              <w:marRight w:val="0"/>
              <w:marTop w:val="0"/>
              <w:marBottom w:val="0"/>
              <w:divBdr>
                <w:top w:val="none" w:sz="0" w:space="0" w:color="auto"/>
                <w:left w:val="none" w:sz="0" w:space="0" w:color="auto"/>
                <w:bottom w:val="none" w:sz="0" w:space="0" w:color="auto"/>
                <w:right w:val="none" w:sz="0" w:space="0" w:color="auto"/>
              </w:divBdr>
              <w:divsChild>
                <w:div w:id="1396509441">
                  <w:marLeft w:val="0"/>
                  <w:marRight w:val="0"/>
                  <w:marTop w:val="0"/>
                  <w:marBottom w:val="0"/>
                  <w:divBdr>
                    <w:top w:val="none" w:sz="0" w:space="0" w:color="auto"/>
                    <w:left w:val="none" w:sz="0" w:space="0" w:color="auto"/>
                    <w:bottom w:val="none" w:sz="0" w:space="0" w:color="auto"/>
                    <w:right w:val="none" w:sz="0" w:space="0" w:color="auto"/>
                  </w:divBdr>
                  <w:divsChild>
                    <w:div w:id="14816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22651">
          <w:marLeft w:val="0"/>
          <w:marRight w:val="0"/>
          <w:marTop w:val="0"/>
          <w:marBottom w:val="0"/>
          <w:divBdr>
            <w:top w:val="none" w:sz="0" w:space="0" w:color="auto"/>
            <w:left w:val="none" w:sz="0" w:space="0" w:color="auto"/>
            <w:bottom w:val="none" w:sz="0" w:space="0" w:color="auto"/>
            <w:right w:val="none" w:sz="0" w:space="0" w:color="auto"/>
          </w:divBdr>
          <w:divsChild>
            <w:div w:id="1513303017">
              <w:marLeft w:val="0"/>
              <w:marRight w:val="0"/>
              <w:marTop w:val="0"/>
              <w:marBottom w:val="0"/>
              <w:divBdr>
                <w:top w:val="none" w:sz="0" w:space="0" w:color="auto"/>
                <w:left w:val="none" w:sz="0" w:space="0" w:color="auto"/>
                <w:bottom w:val="none" w:sz="0" w:space="0" w:color="auto"/>
                <w:right w:val="none" w:sz="0" w:space="0" w:color="auto"/>
              </w:divBdr>
              <w:divsChild>
                <w:div w:id="1819767561">
                  <w:marLeft w:val="0"/>
                  <w:marRight w:val="0"/>
                  <w:marTop w:val="0"/>
                  <w:marBottom w:val="0"/>
                  <w:divBdr>
                    <w:top w:val="none" w:sz="0" w:space="0" w:color="auto"/>
                    <w:left w:val="none" w:sz="0" w:space="0" w:color="auto"/>
                    <w:bottom w:val="none" w:sz="0" w:space="0" w:color="auto"/>
                    <w:right w:val="none" w:sz="0" w:space="0" w:color="auto"/>
                  </w:divBdr>
                  <w:divsChild>
                    <w:div w:id="17310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942530">
      <w:bodyDiv w:val="1"/>
      <w:marLeft w:val="0"/>
      <w:marRight w:val="0"/>
      <w:marTop w:val="0"/>
      <w:marBottom w:val="0"/>
      <w:divBdr>
        <w:top w:val="none" w:sz="0" w:space="0" w:color="auto"/>
        <w:left w:val="none" w:sz="0" w:space="0" w:color="auto"/>
        <w:bottom w:val="none" w:sz="0" w:space="0" w:color="auto"/>
        <w:right w:val="none" w:sz="0" w:space="0" w:color="auto"/>
      </w:divBdr>
      <w:divsChild>
        <w:div w:id="1769540879">
          <w:marLeft w:val="0"/>
          <w:marRight w:val="0"/>
          <w:marTop w:val="0"/>
          <w:marBottom w:val="0"/>
          <w:divBdr>
            <w:top w:val="none" w:sz="0" w:space="0" w:color="auto"/>
            <w:left w:val="none" w:sz="0" w:space="0" w:color="auto"/>
            <w:bottom w:val="none" w:sz="0" w:space="0" w:color="auto"/>
            <w:right w:val="none" w:sz="0" w:space="0" w:color="auto"/>
          </w:divBdr>
          <w:divsChild>
            <w:div w:id="1720086165">
              <w:marLeft w:val="0"/>
              <w:marRight w:val="0"/>
              <w:marTop w:val="0"/>
              <w:marBottom w:val="0"/>
              <w:divBdr>
                <w:top w:val="none" w:sz="0" w:space="0" w:color="auto"/>
                <w:left w:val="none" w:sz="0" w:space="0" w:color="auto"/>
                <w:bottom w:val="none" w:sz="0" w:space="0" w:color="auto"/>
                <w:right w:val="none" w:sz="0" w:space="0" w:color="auto"/>
              </w:divBdr>
              <w:divsChild>
                <w:div w:id="2099019237">
                  <w:marLeft w:val="0"/>
                  <w:marRight w:val="0"/>
                  <w:marTop w:val="0"/>
                  <w:marBottom w:val="0"/>
                  <w:divBdr>
                    <w:top w:val="none" w:sz="0" w:space="0" w:color="auto"/>
                    <w:left w:val="none" w:sz="0" w:space="0" w:color="auto"/>
                    <w:bottom w:val="none" w:sz="0" w:space="0" w:color="auto"/>
                    <w:right w:val="none" w:sz="0" w:space="0" w:color="auto"/>
                  </w:divBdr>
                  <w:divsChild>
                    <w:div w:id="540172475">
                      <w:marLeft w:val="0"/>
                      <w:marRight w:val="0"/>
                      <w:marTop w:val="0"/>
                      <w:marBottom w:val="0"/>
                      <w:divBdr>
                        <w:top w:val="none" w:sz="0" w:space="0" w:color="auto"/>
                        <w:left w:val="none" w:sz="0" w:space="0" w:color="auto"/>
                        <w:bottom w:val="none" w:sz="0" w:space="0" w:color="auto"/>
                        <w:right w:val="none" w:sz="0" w:space="0" w:color="auto"/>
                      </w:divBdr>
                      <w:divsChild>
                        <w:div w:id="716588485">
                          <w:marLeft w:val="0"/>
                          <w:marRight w:val="0"/>
                          <w:marTop w:val="0"/>
                          <w:marBottom w:val="0"/>
                          <w:divBdr>
                            <w:top w:val="none" w:sz="0" w:space="0" w:color="auto"/>
                            <w:left w:val="none" w:sz="0" w:space="0" w:color="auto"/>
                            <w:bottom w:val="none" w:sz="0" w:space="0" w:color="auto"/>
                            <w:right w:val="none" w:sz="0" w:space="0" w:color="auto"/>
                          </w:divBdr>
                          <w:divsChild>
                            <w:div w:id="182407225">
                              <w:marLeft w:val="0"/>
                              <w:marRight w:val="0"/>
                              <w:marTop w:val="0"/>
                              <w:marBottom w:val="0"/>
                              <w:divBdr>
                                <w:top w:val="none" w:sz="0" w:space="0" w:color="auto"/>
                                <w:left w:val="none" w:sz="0" w:space="0" w:color="auto"/>
                                <w:bottom w:val="none" w:sz="0" w:space="0" w:color="auto"/>
                                <w:right w:val="none" w:sz="0" w:space="0" w:color="auto"/>
                              </w:divBdr>
                              <w:divsChild>
                                <w:div w:id="323512441">
                                  <w:marLeft w:val="0"/>
                                  <w:marRight w:val="0"/>
                                  <w:marTop w:val="0"/>
                                  <w:marBottom w:val="0"/>
                                  <w:divBdr>
                                    <w:top w:val="none" w:sz="0" w:space="0" w:color="auto"/>
                                    <w:left w:val="none" w:sz="0" w:space="0" w:color="auto"/>
                                    <w:bottom w:val="none" w:sz="0" w:space="0" w:color="auto"/>
                                    <w:right w:val="none" w:sz="0" w:space="0" w:color="auto"/>
                                  </w:divBdr>
                                  <w:divsChild>
                                    <w:div w:id="722102870">
                                      <w:marLeft w:val="0"/>
                                      <w:marRight w:val="0"/>
                                      <w:marTop w:val="0"/>
                                      <w:marBottom w:val="0"/>
                                      <w:divBdr>
                                        <w:top w:val="none" w:sz="0" w:space="0" w:color="auto"/>
                                        <w:left w:val="none" w:sz="0" w:space="0" w:color="auto"/>
                                        <w:bottom w:val="none" w:sz="0" w:space="0" w:color="auto"/>
                                        <w:right w:val="none" w:sz="0" w:space="0" w:color="auto"/>
                                      </w:divBdr>
                                      <w:divsChild>
                                        <w:div w:id="1809348951">
                                          <w:marLeft w:val="0"/>
                                          <w:marRight w:val="0"/>
                                          <w:marTop w:val="0"/>
                                          <w:marBottom w:val="0"/>
                                          <w:divBdr>
                                            <w:top w:val="none" w:sz="0" w:space="0" w:color="auto"/>
                                            <w:left w:val="none" w:sz="0" w:space="0" w:color="auto"/>
                                            <w:bottom w:val="none" w:sz="0" w:space="0" w:color="auto"/>
                                            <w:right w:val="none" w:sz="0" w:space="0" w:color="auto"/>
                                          </w:divBdr>
                                          <w:divsChild>
                                            <w:div w:id="946618454">
                                              <w:marLeft w:val="0"/>
                                              <w:marRight w:val="0"/>
                                              <w:marTop w:val="0"/>
                                              <w:marBottom w:val="0"/>
                                              <w:divBdr>
                                                <w:top w:val="none" w:sz="0" w:space="0" w:color="auto"/>
                                                <w:left w:val="none" w:sz="0" w:space="0" w:color="auto"/>
                                                <w:bottom w:val="none" w:sz="0" w:space="0" w:color="auto"/>
                                                <w:right w:val="none" w:sz="0" w:space="0" w:color="auto"/>
                                              </w:divBdr>
                                              <w:divsChild>
                                                <w:div w:id="629437723">
                                                  <w:marLeft w:val="0"/>
                                                  <w:marRight w:val="0"/>
                                                  <w:marTop w:val="0"/>
                                                  <w:marBottom w:val="0"/>
                                                  <w:divBdr>
                                                    <w:top w:val="none" w:sz="0" w:space="0" w:color="auto"/>
                                                    <w:left w:val="none" w:sz="0" w:space="0" w:color="auto"/>
                                                    <w:bottom w:val="none" w:sz="0" w:space="0" w:color="auto"/>
                                                    <w:right w:val="none" w:sz="0" w:space="0" w:color="auto"/>
                                                  </w:divBdr>
                                                  <w:divsChild>
                                                    <w:div w:id="1108820227">
                                                      <w:marLeft w:val="0"/>
                                                      <w:marRight w:val="0"/>
                                                      <w:marTop w:val="0"/>
                                                      <w:marBottom w:val="0"/>
                                                      <w:divBdr>
                                                        <w:top w:val="none" w:sz="0" w:space="0" w:color="auto"/>
                                                        <w:left w:val="none" w:sz="0" w:space="0" w:color="auto"/>
                                                        <w:bottom w:val="none" w:sz="0" w:space="0" w:color="auto"/>
                                                        <w:right w:val="none" w:sz="0" w:space="0" w:color="auto"/>
                                                      </w:divBdr>
                                                      <w:divsChild>
                                                        <w:div w:id="3130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3261">
                                              <w:marLeft w:val="0"/>
                                              <w:marRight w:val="0"/>
                                              <w:marTop w:val="0"/>
                                              <w:marBottom w:val="0"/>
                                              <w:divBdr>
                                                <w:top w:val="none" w:sz="0" w:space="0" w:color="auto"/>
                                                <w:left w:val="none" w:sz="0" w:space="0" w:color="auto"/>
                                                <w:bottom w:val="none" w:sz="0" w:space="0" w:color="auto"/>
                                                <w:right w:val="none" w:sz="0" w:space="0" w:color="auto"/>
                                              </w:divBdr>
                                              <w:divsChild>
                                                <w:div w:id="630523725">
                                                  <w:marLeft w:val="0"/>
                                                  <w:marRight w:val="0"/>
                                                  <w:marTop w:val="0"/>
                                                  <w:marBottom w:val="0"/>
                                                  <w:divBdr>
                                                    <w:top w:val="none" w:sz="0" w:space="0" w:color="auto"/>
                                                    <w:left w:val="none" w:sz="0" w:space="0" w:color="auto"/>
                                                    <w:bottom w:val="none" w:sz="0" w:space="0" w:color="auto"/>
                                                    <w:right w:val="none" w:sz="0" w:space="0" w:color="auto"/>
                                                  </w:divBdr>
                                                  <w:divsChild>
                                                    <w:div w:id="888344902">
                                                      <w:marLeft w:val="0"/>
                                                      <w:marRight w:val="0"/>
                                                      <w:marTop w:val="0"/>
                                                      <w:marBottom w:val="0"/>
                                                      <w:divBdr>
                                                        <w:top w:val="none" w:sz="0" w:space="0" w:color="auto"/>
                                                        <w:left w:val="none" w:sz="0" w:space="0" w:color="auto"/>
                                                        <w:bottom w:val="none" w:sz="0" w:space="0" w:color="auto"/>
                                                        <w:right w:val="none" w:sz="0" w:space="0" w:color="auto"/>
                                                      </w:divBdr>
                                                      <w:divsChild>
                                                        <w:div w:id="8303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6881509">
          <w:marLeft w:val="0"/>
          <w:marRight w:val="0"/>
          <w:marTop w:val="0"/>
          <w:marBottom w:val="0"/>
          <w:divBdr>
            <w:top w:val="none" w:sz="0" w:space="0" w:color="auto"/>
            <w:left w:val="none" w:sz="0" w:space="0" w:color="auto"/>
            <w:bottom w:val="none" w:sz="0" w:space="0" w:color="auto"/>
            <w:right w:val="none" w:sz="0" w:space="0" w:color="auto"/>
          </w:divBdr>
          <w:divsChild>
            <w:div w:id="605893812">
              <w:marLeft w:val="0"/>
              <w:marRight w:val="0"/>
              <w:marTop w:val="0"/>
              <w:marBottom w:val="0"/>
              <w:divBdr>
                <w:top w:val="none" w:sz="0" w:space="0" w:color="auto"/>
                <w:left w:val="none" w:sz="0" w:space="0" w:color="auto"/>
                <w:bottom w:val="none" w:sz="0" w:space="0" w:color="auto"/>
                <w:right w:val="none" w:sz="0" w:space="0" w:color="auto"/>
              </w:divBdr>
              <w:divsChild>
                <w:div w:id="1507094847">
                  <w:marLeft w:val="0"/>
                  <w:marRight w:val="0"/>
                  <w:marTop w:val="0"/>
                  <w:marBottom w:val="0"/>
                  <w:divBdr>
                    <w:top w:val="none" w:sz="0" w:space="0" w:color="auto"/>
                    <w:left w:val="none" w:sz="0" w:space="0" w:color="auto"/>
                    <w:bottom w:val="none" w:sz="0" w:space="0" w:color="auto"/>
                    <w:right w:val="none" w:sz="0" w:space="0" w:color="auto"/>
                  </w:divBdr>
                  <w:divsChild>
                    <w:div w:id="21197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21828">
      <w:bodyDiv w:val="1"/>
      <w:marLeft w:val="0"/>
      <w:marRight w:val="0"/>
      <w:marTop w:val="0"/>
      <w:marBottom w:val="0"/>
      <w:divBdr>
        <w:top w:val="none" w:sz="0" w:space="0" w:color="auto"/>
        <w:left w:val="none" w:sz="0" w:space="0" w:color="auto"/>
        <w:bottom w:val="none" w:sz="0" w:space="0" w:color="auto"/>
        <w:right w:val="none" w:sz="0" w:space="0" w:color="auto"/>
      </w:divBdr>
      <w:divsChild>
        <w:div w:id="185296782">
          <w:marLeft w:val="0"/>
          <w:marRight w:val="0"/>
          <w:marTop w:val="0"/>
          <w:marBottom w:val="0"/>
          <w:divBdr>
            <w:top w:val="none" w:sz="0" w:space="0" w:color="auto"/>
            <w:left w:val="none" w:sz="0" w:space="0" w:color="auto"/>
            <w:bottom w:val="none" w:sz="0" w:space="0" w:color="auto"/>
            <w:right w:val="none" w:sz="0" w:space="0" w:color="auto"/>
          </w:divBdr>
          <w:divsChild>
            <w:div w:id="208802027">
              <w:marLeft w:val="0"/>
              <w:marRight w:val="0"/>
              <w:marTop w:val="0"/>
              <w:marBottom w:val="0"/>
              <w:divBdr>
                <w:top w:val="none" w:sz="0" w:space="0" w:color="auto"/>
                <w:left w:val="none" w:sz="0" w:space="0" w:color="auto"/>
                <w:bottom w:val="none" w:sz="0" w:space="0" w:color="auto"/>
                <w:right w:val="none" w:sz="0" w:space="0" w:color="auto"/>
              </w:divBdr>
              <w:divsChild>
                <w:div w:id="1077706658">
                  <w:marLeft w:val="0"/>
                  <w:marRight w:val="0"/>
                  <w:marTop w:val="0"/>
                  <w:marBottom w:val="0"/>
                  <w:divBdr>
                    <w:top w:val="none" w:sz="0" w:space="0" w:color="auto"/>
                    <w:left w:val="none" w:sz="0" w:space="0" w:color="auto"/>
                    <w:bottom w:val="none" w:sz="0" w:space="0" w:color="auto"/>
                    <w:right w:val="none" w:sz="0" w:space="0" w:color="auto"/>
                  </w:divBdr>
                  <w:divsChild>
                    <w:div w:id="1893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9812">
          <w:marLeft w:val="0"/>
          <w:marRight w:val="0"/>
          <w:marTop w:val="0"/>
          <w:marBottom w:val="0"/>
          <w:divBdr>
            <w:top w:val="none" w:sz="0" w:space="0" w:color="auto"/>
            <w:left w:val="none" w:sz="0" w:space="0" w:color="auto"/>
            <w:bottom w:val="none" w:sz="0" w:space="0" w:color="auto"/>
            <w:right w:val="none" w:sz="0" w:space="0" w:color="auto"/>
          </w:divBdr>
          <w:divsChild>
            <w:div w:id="511535745">
              <w:marLeft w:val="0"/>
              <w:marRight w:val="0"/>
              <w:marTop w:val="0"/>
              <w:marBottom w:val="0"/>
              <w:divBdr>
                <w:top w:val="none" w:sz="0" w:space="0" w:color="auto"/>
                <w:left w:val="none" w:sz="0" w:space="0" w:color="auto"/>
                <w:bottom w:val="none" w:sz="0" w:space="0" w:color="auto"/>
                <w:right w:val="none" w:sz="0" w:space="0" w:color="auto"/>
              </w:divBdr>
              <w:divsChild>
                <w:div w:id="917712059">
                  <w:marLeft w:val="0"/>
                  <w:marRight w:val="0"/>
                  <w:marTop w:val="0"/>
                  <w:marBottom w:val="0"/>
                  <w:divBdr>
                    <w:top w:val="none" w:sz="0" w:space="0" w:color="auto"/>
                    <w:left w:val="none" w:sz="0" w:space="0" w:color="auto"/>
                    <w:bottom w:val="none" w:sz="0" w:space="0" w:color="auto"/>
                    <w:right w:val="none" w:sz="0" w:space="0" w:color="auto"/>
                  </w:divBdr>
                  <w:divsChild>
                    <w:div w:id="165144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551375">
      <w:bodyDiv w:val="1"/>
      <w:marLeft w:val="0"/>
      <w:marRight w:val="0"/>
      <w:marTop w:val="0"/>
      <w:marBottom w:val="0"/>
      <w:divBdr>
        <w:top w:val="none" w:sz="0" w:space="0" w:color="auto"/>
        <w:left w:val="none" w:sz="0" w:space="0" w:color="auto"/>
        <w:bottom w:val="none" w:sz="0" w:space="0" w:color="auto"/>
        <w:right w:val="none" w:sz="0" w:space="0" w:color="auto"/>
      </w:divBdr>
      <w:divsChild>
        <w:div w:id="225577805">
          <w:marLeft w:val="0"/>
          <w:marRight w:val="0"/>
          <w:marTop w:val="0"/>
          <w:marBottom w:val="0"/>
          <w:divBdr>
            <w:top w:val="none" w:sz="0" w:space="0" w:color="auto"/>
            <w:left w:val="none" w:sz="0" w:space="0" w:color="auto"/>
            <w:bottom w:val="none" w:sz="0" w:space="0" w:color="auto"/>
            <w:right w:val="none" w:sz="0" w:space="0" w:color="auto"/>
          </w:divBdr>
          <w:divsChild>
            <w:div w:id="73748953">
              <w:marLeft w:val="0"/>
              <w:marRight w:val="0"/>
              <w:marTop w:val="0"/>
              <w:marBottom w:val="0"/>
              <w:divBdr>
                <w:top w:val="none" w:sz="0" w:space="0" w:color="auto"/>
                <w:left w:val="none" w:sz="0" w:space="0" w:color="auto"/>
                <w:bottom w:val="none" w:sz="0" w:space="0" w:color="auto"/>
                <w:right w:val="none" w:sz="0" w:space="0" w:color="auto"/>
              </w:divBdr>
              <w:divsChild>
                <w:div w:id="965745539">
                  <w:marLeft w:val="0"/>
                  <w:marRight w:val="0"/>
                  <w:marTop w:val="0"/>
                  <w:marBottom w:val="0"/>
                  <w:divBdr>
                    <w:top w:val="none" w:sz="0" w:space="0" w:color="auto"/>
                    <w:left w:val="none" w:sz="0" w:space="0" w:color="auto"/>
                    <w:bottom w:val="none" w:sz="0" w:space="0" w:color="auto"/>
                    <w:right w:val="none" w:sz="0" w:space="0" w:color="auto"/>
                  </w:divBdr>
                  <w:divsChild>
                    <w:div w:id="1167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177248">
      <w:bodyDiv w:val="1"/>
      <w:marLeft w:val="0"/>
      <w:marRight w:val="0"/>
      <w:marTop w:val="0"/>
      <w:marBottom w:val="0"/>
      <w:divBdr>
        <w:top w:val="none" w:sz="0" w:space="0" w:color="auto"/>
        <w:left w:val="none" w:sz="0" w:space="0" w:color="auto"/>
        <w:bottom w:val="none" w:sz="0" w:space="0" w:color="auto"/>
        <w:right w:val="none" w:sz="0" w:space="0" w:color="auto"/>
      </w:divBdr>
    </w:div>
    <w:div w:id="239948104">
      <w:bodyDiv w:val="1"/>
      <w:marLeft w:val="0"/>
      <w:marRight w:val="0"/>
      <w:marTop w:val="0"/>
      <w:marBottom w:val="0"/>
      <w:divBdr>
        <w:top w:val="none" w:sz="0" w:space="0" w:color="auto"/>
        <w:left w:val="none" w:sz="0" w:space="0" w:color="auto"/>
        <w:bottom w:val="none" w:sz="0" w:space="0" w:color="auto"/>
        <w:right w:val="none" w:sz="0" w:space="0" w:color="auto"/>
      </w:divBdr>
    </w:div>
    <w:div w:id="241456056">
      <w:bodyDiv w:val="1"/>
      <w:marLeft w:val="0"/>
      <w:marRight w:val="0"/>
      <w:marTop w:val="0"/>
      <w:marBottom w:val="0"/>
      <w:divBdr>
        <w:top w:val="none" w:sz="0" w:space="0" w:color="auto"/>
        <w:left w:val="none" w:sz="0" w:space="0" w:color="auto"/>
        <w:bottom w:val="none" w:sz="0" w:space="0" w:color="auto"/>
        <w:right w:val="none" w:sz="0" w:space="0" w:color="auto"/>
      </w:divBdr>
    </w:div>
    <w:div w:id="257102811">
      <w:bodyDiv w:val="1"/>
      <w:marLeft w:val="0"/>
      <w:marRight w:val="0"/>
      <w:marTop w:val="0"/>
      <w:marBottom w:val="0"/>
      <w:divBdr>
        <w:top w:val="none" w:sz="0" w:space="0" w:color="auto"/>
        <w:left w:val="none" w:sz="0" w:space="0" w:color="auto"/>
        <w:bottom w:val="none" w:sz="0" w:space="0" w:color="auto"/>
        <w:right w:val="none" w:sz="0" w:space="0" w:color="auto"/>
      </w:divBdr>
    </w:div>
    <w:div w:id="274480547">
      <w:bodyDiv w:val="1"/>
      <w:marLeft w:val="0"/>
      <w:marRight w:val="0"/>
      <w:marTop w:val="0"/>
      <w:marBottom w:val="0"/>
      <w:divBdr>
        <w:top w:val="none" w:sz="0" w:space="0" w:color="auto"/>
        <w:left w:val="none" w:sz="0" w:space="0" w:color="auto"/>
        <w:bottom w:val="none" w:sz="0" w:space="0" w:color="auto"/>
        <w:right w:val="none" w:sz="0" w:space="0" w:color="auto"/>
      </w:divBdr>
    </w:div>
    <w:div w:id="285935280">
      <w:bodyDiv w:val="1"/>
      <w:marLeft w:val="0"/>
      <w:marRight w:val="0"/>
      <w:marTop w:val="0"/>
      <w:marBottom w:val="0"/>
      <w:divBdr>
        <w:top w:val="none" w:sz="0" w:space="0" w:color="auto"/>
        <w:left w:val="none" w:sz="0" w:space="0" w:color="auto"/>
        <w:bottom w:val="none" w:sz="0" w:space="0" w:color="auto"/>
        <w:right w:val="none" w:sz="0" w:space="0" w:color="auto"/>
      </w:divBdr>
      <w:divsChild>
        <w:div w:id="1011252275">
          <w:marLeft w:val="0"/>
          <w:marRight w:val="0"/>
          <w:marTop w:val="0"/>
          <w:marBottom w:val="0"/>
          <w:divBdr>
            <w:top w:val="none" w:sz="0" w:space="0" w:color="auto"/>
            <w:left w:val="none" w:sz="0" w:space="0" w:color="auto"/>
            <w:bottom w:val="none" w:sz="0" w:space="0" w:color="auto"/>
            <w:right w:val="none" w:sz="0" w:space="0" w:color="auto"/>
          </w:divBdr>
          <w:divsChild>
            <w:div w:id="687951692">
              <w:marLeft w:val="0"/>
              <w:marRight w:val="0"/>
              <w:marTop w:val="0"/>
              <w:marBottom w:val="0"/>
              <w:divBdr>
                <w:top w:val="none" w:sz="0" w:space="0" w:color="auto"/>
                <w:left w:val="none" w:sz="0" w:space="0" w:color="auto"/>
                <w:bottom w:val="none" w:sz="0" w:space="0" w:color="auto"/>
                <w:right w:val="none" w:sz="0" w:space="0" w:color="auto"/>
              </w:divBdr>
              <w:divsChild>
                <w:div w:id="1032652514">
                  <w:marLeft w:val="0"/>
                  <w:marRight w:val="0"/>
                  <w:marTop w:val="0"/>
                  <w:marBottom w:val="0"/>
                  <w:divBdr>
                    <w:top w:val="none" w:sz="0" w:space="0" w:color="auto"/>
                    <w:left w:val="none" w:sz="0" w:space="0" w:color="auto"/>
                    <w:bottom w:val="none" w:sz="0" w:space="0" w:color="auto"/>
                    <w:right w:val="none" w:sz="0" w:space="0" w:color="auto"/>
                  </w:divBdr>
                  <w:divsChild>
                    <w:div w:id="12566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3581">
          <w:marLeft w:val="0"/>
          <w:marRight w:val="0"/>
          <w:marTop w:val="0"/>
          <w:marBottom w:val="0"/>
          <w:divBdr>
            <w:top w:val="none" w:sz="0" w:space="0" w:color="auto"/>
            <w:left w:val="none" w:sz="0" w:space="0" w:color="auto"/>
            <w:bottom w:val="none" w:sz="0" w:space="0" w:color="auto"/>
            <w:right w:val="none" w:sz="0" w:space="0" w:color="auto"/>
          </w:divBdr>
          <w:divsChild>
            <w:div w:id="1708070211">
              <w:marLeft w:val="0"/>
              <w:marRight w:val="0"/>
              <w:marTop w:val="0"/>
              <w:marBottom w:val="0"/>
              <w:divBdr>
                <w:top w:val="none" w:sz="0" w:space="0" w:color="auto"/>
                <w:left w:val="none" w:sz="0" w:space="0" w:color="auto"/>
                <w:bottom w:val="none" w:sz="0" w:space="0" w:color="auto"/>
                <w:right w:val="none" w:sz="0" w:space="0" w:color="auto"/>
              </w:divBdr>
              <w:divsChild>
                <w:div w:id="1461075815">
                  <w:marLeft w:val="0"/>
                  <w:marRight w:val="0"/>
                  <w:marTop w:val="0"/>
                  <w:marBottom w:val="0"/>
                  <w:divBdr>
                    <w:top w:val="none" w:sz="0" w:space="0" w:color="auto"/>
                    <w:left w:val="none" w:sz="0" w:space="0" w:color="auto"/>
                    <w:bottom w:val="none" w:sz="0" w:space="0" w:color="auto"/>
                    <w:right w:val="none" w:sz="0" w:space="0" w:color="auto"/>
                  </w:divBdr>
                  <w:divsChild>
                    <w:div w:id="15198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010589">
      <w:bodyDiv w:val="1"/>
      <w:marLeft w:val="0"/>
      <w:marRight w:val="0"/>
      <w:marTop w:val="0"/>
      <w:marBottom w:val="0"/>
      <w:divBdr>
        <w:top w:val="none" w:sz="0" w:space="0" w:color="auto"/>
        <w:left w:val="none" w:sz="0" w:space="0" w:color="auto"/>
        <w:bottom w:val="none" w:sz="0" w:space="0" w:color="auto"/>
        <w:right w:val="none" w:sz="0" w:space="0" w:color="auto"/>
      </w:divBdr>
      <w:divsChild>
        <w:div w:id="461848380">
          <w:marLeft w:val="0"/>
          <w:marRight w:val="0"/>
          <w:marTop w:val="0"/>
          <w:marBottom w:val="0"/>
          <w:divBdr>
            <w:top w:val="none" w:sz="0" w:space="0" w:color="auto"/>
            <w:left w:val="none" w:sz="0" w:space="0" w:color="auto"/>
            <w:bottom w:val="none" w:sz="0" w:space="0" w:color="auto"/>
            <w:right w:val="none" w:sz="0" w:space="0" w:color="auto"/>
          </w:divBdr>
          <w:divsChild>
            <w:div w:id="2057047702">
              <w:marLeft w:val="0"/>
              <w:marRight w:val="0"/>
              <w:marTop w:val="0"/>
              <w:marBottom w:val="0"/>
              <w:divBdr>
                <w:top w:val="none" w:sz="0" w:space="0" w:color="auto"/>
                <w:left w:val="none" w:sz="0" w:space="0" w:color="auto"/>
                <w:bottom w:val="none" w:sz="0" w:space="0" w:color="auto"/>
                <w:right w:val="none" w:sz="0" w:space="0" w:color="auto"/>
              </w:divBdr>
              <w:divsChild>
                <w:div w:id="1743748401">
                  <w:marLeft w:val="0"/>
                  <w:marRight w:val="0"/>
                  <w:marTop w:val="0"/>
                  <w:marBottom w:val="0"/>
                  <w:divBdr>
                    <w:top w:val="none" w:sz="0" w:space="0" w:color="auto"/>
                    <w:left w:val="none" w:sz="0" w:space="0" w:color="auto"/>
                    <w:bottom w:val="none" w:sz="0" w:space="0" w:color="auto"/>
                    <w:right w:val="none" w:sz="0" w:space="0" w:color="auto"/>
                  </w:divBdr>
                  <w:divsChild>
                    <w:div w:id="12500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082">
          <w:marLeft w:val="0"/>
          <w:marRight w:val="0"/>
          <w:marTop w:val="0"/>
          <w:marBottom w:val="0"/>
          <w:divBdr>
            <w:top w:val="none" w:sz="0" w:space="0" w:color="auto"/>
            <w:left w:val="none" w:sz="0" w:space="0" w:color="auto"/>
            <w:bottom w:val="none" w:sz="0" w:space="0" w:color="auto"/>
            <w:right w:val="none" w:sz="0" w:space="0" w:color="auto"/>
          </w:divBdr>
          <w:divsChild>
            <w:div w:id="1342391120">
              <w:marLeft w:val="0"/>
              <w:marRight w:val="0"/>
              <w:marTop w:val="0"/>
              <w:marBottom w:val="0"/>
              <w:divBdr>
                <w:top w:val="none" w:sz="0" w:space="0" w:color="auto"/>
                <w:left w:val="none" w:sz="0" w:space="0" w:color="auto"/>
                <w:bottom w:val="none" w:sz="0" w:space="0" w:color="auto"/>
                <w:right w:val="none" w:sz="0" w:space="0" w:color="auto"/>
              </w:divBdr>
              <w:divsChild>
                <w:div w:id="784466813">
                  <w:marLeft w:val="0"/>
                  <w:marRight w:val="0"/>
                  <w:marTop w:val="0"/>
                  <w:marBottom w:val="0"/>
                  <w:divBdr>
                    <w:top w:val="none" w:sz="0" w:space="0" w:color="auto"/>
                    <w:left w:val="none" w:sz="0" w:space="0" w:color="auto"/>
                    <w:bottom w:val="none" w:sz="0" w:space="0" w:color="auto"/>
                    <w:right w:val="none" w:sz="0" w:space="0" w:color="auto"/>
                  </w:divBdr>
                  <w:divsChild>
                    <w:div w:id="20890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81378">
      <w:bodyDiv w:val="1"/>
      <w:marLeft w:val="0"/>
      <w:marRight w:val="0"/>
      <w:marTop w:val="0"/>
      <w:marBottom w:val="0"/>
      <w:divBdr>
        <w:top w:val="none" w:sz="0" w:space="0" w:color="auto"/>
        <w:left w:val="none" w:sz="0" w:space="0" w:color="auto"/>
        <w:bottom w:val="none" w:sz="0" w:space="0" w:color="auto"/>
        <w:right w:val="none" w:sz="0" w:space="0" w:color="auto"/>
      </w:divBdr>
    </w:div>
    <w:div w:id="309362457">
      <w:bodyDiv w:val="1"/>
      <w:marLeft w:val="0"/>
      <w:marRight w:val="0"/>
      <w:marTop w:val="0"/>
      <w:marBottom w:val="0"/>
      <w:divBdr>
        <w:top w:val="none" w:sz="0" w:space="0" w:color="auto"/>
        <w:left w:val="none" w:sz="0" w:space="0" w:color="auto"/>
        <w:bottom w:val="none" w:sz="0" w:space="0" w:color="auto"/>
        <w:right w:val="none" w:sz="0" w:space="0" w:color="auto"/>
      </w:divBdr>
    </w:div>
    <w:div w:id="329139972">
      <w:bodyDiv w:val="1"/>
      <w:marLeft w:val="0"/>
      <w:marRight w:val="0"/>
      <w:marTop w:val="0"/>
      <w:marBottom w:val="0"/>
      <w:divBdr>
        <w:top w:val="none" w:sz="0" w:space="0" w:color="auto"/>
        <w:left w:val="none" w:sz="0" w:space="0" w:color="auto"/>
        <w:bottom w:val="none" w:sz="0" w:space="0" w:color="auto"/>
        <w:right w:val="none" w:sz="0" w:space="0" w:color="auto"/>
      </w:divBdr>
    </w:div>
    <w:div w:id="334651786">
      <w:bodyDiv w:val="1"/>
      <w:marLeft w:val="0"/>
      <w:marRight w:val="0"/>
      <w:marTop w:val="0"/>
      <w:marBottom w:val="0"/>
      <w:divBdr>
        <w:top w:val="none" w:sz="0" w:space="0" w:color="auto"/>
        <w:left w:val="none" w:sz="0" w:space="0" w:color="auto"/>
        <w:bottom w:val="none" w:sz="0" w:space="0" w:color="auto"/>
        <w:right w:val="none" w:sz="0" w:space="0" w:color="auto"/>
      </w:divBdr>
    </w:div>
    <w:div w:id="344790222">
      <w:bodyDiv w:val="1"/>
      <w:marLeft w:val="0"/>
      <w:marRight w:val="0"/>
      <w:marTop w:val="0"/>
      <w:marBottom w:val="0"/>
      <w:divBdr>
        <w:top w:val="none" w:sz="0" w:space="0" w:color="auto"/>
        <w:left w:val="none" w:sz="0" w:space="0" w:color="auto"/>
        <w:bottom w:val="none" w:sz="0" w:space="0" w:color="auto"/>
        <w:right w:val="none" w:sz="0" w:space="0" w:color="auto"/>
      </w:divBdr>
    </w:div>
    <w:div w:id="349720018">
      <w:bodyDiv w:val="1"/>
      <w:marLeft w:val="0"/>
      <w:marRight w:val="0"/>
      <w:marTop w:val="0"/>
      <w:marBottom w:val="0"/>
      <w:divBdr>
        <w:top w:val="none" w:sz="0" w:space="0" w:color="auto"/>
        <w:left w:val="none" w:sz="0" w:space="0" w:color="auto"/>
        <w:bottom w:val="none" w:sz="0" w:space="0" w:color="auto"/>
        <w:right w:val="none" w:sz="0" w:space="0" w:color="auto"/>
      </w:divBdr>
    </w:div>
    <w:div w:id="356545717">
      <w:bodyDiv w:val="1"/>
      <w:marLeft w:val="0"/>
      <w:marRight w:val="0"/>
      <w:marTop w:val="0"/>
      <w:marBottom w:val="0"/>
      <w:divBdr>
        <w:top w:val="none" w:sz="0" w:space="0" w:color="auto"/>
        <w:left w:val="none" w:sz="0" w:space="0" w:color="auto"/>
        <w:bottom w:val="none" w:sz="0" w:space="0" w:color="auto"/>
        <w:right w:val="none" w:sz="0" w:space="0" w:color="auto"/>
      </w:divBdr>
    </w:div>
    <w:div w:id="367222798">
      <w:bodyDiv w:val="1"/>
      <w:marLeft w:val="0"/>
      <w:marRight w:val="0"/>
      <w:marTop w:val="0"/>
      <w:marBottom w:val="0"/>
      <w:divBdr>
        <w:top w:val="none" w:sz="0" w:space="0" w:color="auto"/>
        <w:left w:val="none" w:sz="0" w:space="0" w:color="auto"/>
        <w:bottom w:val="none" w:sz="0" w:space="0" w:color="auto"/>
        <w:right w:val="none" w:sz="0" w:space="0" w:color="auto"/>
      </w:divBdr>
      <w:divsChild>
        <w:div w:id="600797882">
          <w:marLeft w:val="0"/>
          <w:marRight w:val="0"/>
          <w:marTop w:val="0"/>
          <w:marBottom w:val="0"/>
          <w:divBdr>
            <w:top w:val="none" w:sz="0" w:space="0" w:color="auto"/>
            <w:left w:val="none" w:sz="0" w:space="0" w:color="auto"/>
            <w:bottom w:val="none" w:sz="0" w:space="0" w:color="auto"/>
            <w:right w:val="none" w:sz="0" w:space="0" w:color="auto"/>
          </w:divBdr>
          <w:divsChild>
            <w:div w:id="1618634640">
              <w:marLeft w:val="0"/>
              <w:marRight w:val="0"/>
              <w:marTop w:val="0"/>
              <w:marBottom w:val="0"/>
              <w:divBdr>
                <w:top w:val="none" w:sz="0" w:space="0" w:color="auto"/>
                <w:left w:val="none" w:sz="0" w:space="0" w:color="auto"/>
                <w:bottom w:val="none" w:sz="0" w:space="0" w:color="auto"/>
                <w:right w:val="none" w:sz="0" w:space="0" w:color="auto"/>
              </w:divBdr>
              <w:divsChild>
                <w:div w:id="314452547">
                  <w:marLeft w:val="0"/>
                  <w:marRight w:val="0"/>
                  <w:marTop w:val="0"/>
                  <w:marBottom w:val="0"/>
                  <w:divBdr>
                    <w:top w:val="none" w:sz="0" w:space="0" w:color="auto"/>
                    <w:left w:val="none" w:sz="0" w:space="0" w:color="auto"/>
                    <w:bottom w:val="none" w:sz="0" w:space="0" w:color="auto"/>
                    <w:right w:val="none" w:sz="0" w:space="0" w:color="auto"/>
                  </w:divBdr>
                  <w:divsChild>
                    <w:div w:id="4723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700">
          <w:marLeft w:val="0"/>
          <w:marRight w:val="0"/>
          <w:marTop w:val="0"/>
          <w:marBottom w:val="0"/>
          <w:divBdr>
            <w:top w:val="none" w:sz="0" w:space="0" w:color="auto"/>
            <w:left w:val="none" w:sz="0" w:space="0" w:color="auto"/>
            <w:bottom w:val="none" w:sz="0" w:space="0" w:color="auto"/>
            <w:right w:val="none" w:sz="0" w:space="0" w:color="auto"/>
          </w:divBdr>
          <w:divsChild>
            <w:div w:id="1665744422">
              <w:marLeft w:val="0"/>
              <w:marRight w:val="0"/>
              <w:marTop w:val="0"/>
              <w:marBottom w:val="0"/>
              <w:divBdr>
                <w:top w:val="none" w:sz="0" w:space="0" w:color="auto"/>
                <w:left w:val="none" w:sz="0" w:space="0" w:color="auto"/>
                <w:bottom w:val="none" w:sz="0" w:space="0" w:color="auto"/>
                <w:right w:val="none" w:sz="0" w:space="0" w:color="auto"/>
              </w:divBdr>
              <w:divsChild>
                <w:div w:id="1474250049">
                  <w:marLeft w:val="0"/>
                  <w:marRight w:val="0"/>
                  <w:marTop w:val="0"/>
                  <w:marBottom w:val="0"/>
                  <w:divBdr>
                    <w:top w:val="none" w:sz="0" w:space="0" w:color="auto"/>
                    <w:left w:val="none" w:sz="0" w:space="0" w:color="auto"/>
                    <w:bottom w:val="none" w:sz="0" w:space="0" w:color="auto"/>
                    <w:right w:val="none" w:sz="0" w:space="0" w:color="auto"/>
                  </w:divBdr>
                  <w:divsChild>
                    <w:div w:id="16365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90768">
      <w:bodyDiv w:val="1"/>
      <w:marLeft w:val="0"/>
      <w:marRight w:val="0"/>
      <w:marTop w:val="0"/>
      <w:marBottom w:val="0"/>
      <w:divBdr>
        <w:top w:val="none" w:sz="0" w:space="0" w:color="auto"/>
        <w:left w:val="none" w:sz="0" w:space="0" w:color="auto"/>
        <w:bottom w:val="none" w:sz="0" w:space="0" w:color="auto"/>
        <w:right w:val="none" w:sz="0" w:space="0" w:color="auto"/>
      </w:divBdr>
    </w:div>
    <w:div w:id="371155259">
      <w:bodyDiv w:val="1"/>
      <w:marLeft w:val="0"/>
      <w:marRight w:val="0"/>
      <w:marTop w:val="0"/>
      <w:marBottom w:val="0"/>
      <w:divBdr>
        <w:top w:val="none" w:sz="0" w:space="0" w:color="auto"/>
        <w:left w:val="none" w:sz="0" w:space="0" w:color="auto"/>
        <w:bottom w:val="none" w:sz="0" w:space="0" w:color="auto"/>
        <w:right w:val="none" w:sz="0" w:space="0" w:color="auto"/>
      </w:divBdr>
    </w:div>
    <w:div w:id="372509449">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394932637">
      <w:bodyDiv w:val="1"/>
      <w:marLeft w:val="0"/>
      <w:marRight w:val="0"/>
      <w:marTop w:val="0"/>
      <w:marBottom w:val="0"/>
      <w:divBdr>
        <w:top w:val="none" w:sz="0" w:space="0" w:color="auto"/>
        <w:left w:val="none" w:sz="0" w:space="0" w:color="auto"/>
        <w:bottom w:val="none" w:sz="0" w:space="0" w:color="auto"/>
        <w:right w:val="none" w:sz="0" w:space="0" w:color="auto"/>
      </w:divBdr>
    </w:div>
    <w:div w:id="404843574">
      <w:bodyDiv w:val="1"/>
      <w:marLeft w:val="0"/>
      <w:marRight w:val="0"/>
      <w:marTop w:val="0"/>
      <w:marBottom w:val="0"/>
      <w:divBdr>
        <w:top w:val="none" w:sz="0" w:space="0" w:color="auto"/>
        <w:left w:val="none" w:sz="0" w:space="0" w:color="auto"/>
        <w:bottom w:val="none" w:sz="0" w:space="0" w:color="auto"/>
        <w:right w:val="none" w:sz="0" w:space="0" w:color="auto"/>
      </w:divBdr>
    </w:div>
    <w:div w:id="405037389">
      <w:bodyDiv w:val="1"/>
      <w:marLeft w:val="0"/>
      <w:marRight w:val="0"/>
      <w:marTop w:val="0"/>
      <w:marBottom w:val="0"/>
      <w:divBdr>
        <w:top w:val="none" w:sz="0" w:space="0" w:color="auto"/>
        <w:left w:val="none" w:sz="0" w:space="0" w:color="auto"/>
        <w:bottom w:val="none" w:sz="0" w:space="0" w:color="auto"/>
        <w:right w:val="none" w:sz="0" w:space="0" w:color="auto"/>
      </w:divBdr>
    </w:div>
    <w:div w:id="416219653">
      <w:bodyDiv w:val="1"/>
      <w:marLeft w:val="0"/>
      <w:marRight w:val="0"/>
      <w:marTop w:val="0"/>
      <w:marBottom w:val="0"/>
      <w:divBdr>
        <w:top w:val="none" w:sz="0" w:space="0" w:color="auto"/>
        <w:left w:val="none" w:sz="0" w:space="0" w:color="auto"/>
        <w:bottom w:val="none" w:sz="0" w:space="0" w:color="auto"/>
        <w:right w:val="none" w:sz="0" w:space="0" w:color="auto"/>
      </w:divBdr>
    </w:div>
    <w:div w:id="434790563">
      <w:bodyDiv w:val="1"/>
      <w:marLeft w:val="0"/>
      <w:marRight w:val="0"/>
      <w:marTop w:val="0"/>
      <w:marBottom w:val="0"/>
      <w:divBdr>
        <w:top w:val="none" w:sz="0" w:space="0" w:color="auto"/>
        <w:left w:val="none" w:sz="0" w:space="0" w:color="auto"/>
        <w:bottom w:val="none" w:sz="0" w:space="0" w:color="auto"/>
        <w:right w:val="none" w:sz="0" w:space="0" w:color="auto"/>
      </w:divBdr>
      <w:divsChild>
        <w:div w:id="956764848">
          <w:marLeft w:val="0"/>
          <w:marRight w:val="0"/>
          <w:marTop w:val="0"/>
          <w:marBottom w:val="0"/>
          <w:divBdr>
            <w:top w:val="none" w:sz="0" w:space="0" w:color="auto"/>
            <w:left w:val="none" w:sz="0" w:space="0" w:color="auto"/>
            <w:bottom w:val="none" w:sz="0" w:space="0" w:color="auto"/>
            <w:right w:val="none" w:sz="0" w:space="0" w:color="auto"/>
          </w:divBdr>
          <w:divsChild>
            <w:div w:id="364059361">
              <w:marLeft w:val="0"/>
              <w:marRight w:val="0"/>
              <w:marTop w:val="0"/>
              <w:marBottom w:val="0"/>
              <w:divBdr>
                <w:top w:val="none" w:sz="0" w:space="0" w:color="auto"/>
                <w:left w:val="none" w:sz="0" w:space="0" w:color="auto"/>
                <w:bottom w:val="none" w:sz="0" w:space="0" w:color="auto"/>
                <w:right w:val="none" w:sz="0" w:space="0" w:color="auto"/>
              </w:divBdr>
              <w:divsChild>
                <w:div w:id="519053341">
                  <w:marLeft w:val="0"/>
                  <w:marRight w:val="0"/>
                  <w:marTop w:val="0"/>
                  <w:marBottom w:val="0"/>
                  <w:divBdr>
                    <w:top w:val="none" w:sz="0" w:space="0" w:color="auto"/>
                    <w:left w:val="none" w:sz="0" w:space="0" w:color="auto"/>
                    <w:bottom w:val="none" w:sz="0" w:space="0" w:color="auto"/>
                    <w:right w:val="none" w:sz="0" w:space="0" w:color="auto"/>
                  </w:divBdr>
                  <w:divsChild>
                    <w:div w:id="6110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786">
          <w:marLeft w:val="0"/>
          <w:marRight w:val="0"/>
          <w:marTop w:val="0"/>
          <w:marBottom w:val="0"/>
          <w:divBdr>
            <w:top w:val="none" w:sz="0" w:space="0" w:color="auto"/>
            <w:left w:val="none" w:sz="0" w:space="0" w:color="auto"/>
            <w:bottom w:val="none" w:sz="0" w:space="0" w:color="auto"/>
            <w:right w:val="none" w:sz="0" w:space="0" w:color="auto"/>
          </w:divBdr>
          <w:divsChild>
            <w:div w:id="957638079">
              <w:marLeft w:val="0"/>
              <w:marRight w:val="0"/>
              <w:marTop w:val="0"/>
              <w:marBottom w:val="0"/>
              <w:divBdr>
                <w:top w:val="none" w:sz="0" w:space="0" w:color="auto"/>
                <w:left w:val="none" w:sz="0" w:space="0" w:color="auto"/>
                <w:bottom w:val="none" w:sz="0" w:space="0" w:color="auto"/>
                <w:right w:val="none" w:sz="0" w:space="0" w:color="auto"/>
              </w:divBdr>
              <w:divsChild>
                <w:div w:id="1827041583">
                  <w:marLeft w:val="0"/>
                  <w:marRight w:val="0"/>
                  <w:marTop w:val="0"/>
                  <w:marBottom w:val="0"/>
                  <w:divBdr>
                    <w:top w:val="none" w:sz="0" w:space="0" w:color="auto"/>
                    <w:left w:val="none" w:sz="0" w:space="0" w:color="auto"/>
                    <w:bottom w:val="none" w:sz="0" w:space="0" w:color="auto"/>
                    <w:right w:val="none" w:sz="0" w:space="0" w:color="auto"/>
                  </w:divBdr>
                  <w:divsChild>
                    <w:div w:id="1765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230220">
      <w:bodyDiv w:val="1"/>
      <w:marLeft w:val="0"/>
      <w:marRight w:val="0"/>
      <w:marTop w:val="0"/>
      <w:marBottom w:val="0"/>
      <w:divBdr>
        <w:top w:val="none" w:sz="0" w:space="0" w:color="auto"/>
        <w:left w:val="none" w:sz="0" w:space="0" w:color="auto"/>
        <w:bottom w:val="none" w:sz="0" w:space="0" w:color="auto"/>
        <w:right w:val="none" w:sz="0" w:space="0" w:color="auto"/>
      </w:divBdr>
    </w:div>
    <w:div w:id="447896718">
      <w:bodyDiv w:val="1"/>
      <w:marLeft w:val="0"/>
      <w:marRight w:val="0"/>
      <w:marTop w:val="0"/>
      <w:marBottom w:val="0"/>
      <w:divBdr>
        <w:top w:val="none" w:sz="0" w:space="0" w:color="auto"/>
        <w:left w:val="none" w:sz="0" w:space="0" w:color="auto"/>
        <w:bottom w:val="none" w:sz="0" w:space="0" w:color="auto"/>
        <w:right w:val="none" w:sz="0" w:space="0" w:color="auto"/>
      </w:divBdr>
      <w:divsChild>
        <w:div w:id="205025806">
          <w:marLeft w:val="0"/>
          <w:marRight w:val="0"/>
          <w:marTop w:val="0"/>
          <w:marBottom w:val="0"/>
          <w:divBdr>
            <w:top w:val="none" w:sz="0" w:space="0" w:color="auto"/>
            <w:left w:val="none" w:sz="0" w:space="0" w:color="auto"/>
            <w:bottom w:val="none" w:sz="0" w:space="0" w:color="auto"/>
            <w:right w:val="none" w:sz="0" w:space="0" w:color="auto"/>
          </w:divBdr>
          <w:divsChild>
            <w:div w:id="1184710327">
              <w:marLeft w:val="0"/>
              <w:marRight w:val="0"/>
              <w:marTop w:val="0"/>
              <w:marBottom w:val="0"/>
              <w:divBdr>
                <w:top w:val="none" w:sz="0" w:space="0" w:color="auto"/>
                <w:left w:val="none" w:sz="0" w:space="0" w:color="auto"/>
                <w:bottom w:val="none" w:sz="0" w:space="0" w:color="auto"/>
                <w:right w:val="none" w:sz="0" w:space="0" w:color="auto"/>
              </w:divBdr>
              <w:divsChild>
                <w:div w:id="1646738228">
                  <w:marLeft w:val="0"/>
                  <w:marRight w:val="0"/>
                  <w:marTop w:val="0"/>
                  <w:marBottom w:val="0"/>
                  <w:divBdr>
                    <w:top w:val="none" w:sz="0" w:space="0" w:color="auto"/>
                    <w:left w:val="none" w:sz="0" w:space="0" w:color="auto"/>
                    <w:bottom w:val="none" w:sz="0" w:space="0" w:color="auto"/>
                    <w:right w:val="none" w:sz="0" w:space="0" w:color="auto"/>
                  </w:divBdr>
                  <w:divsChild>
                    <w:div w:id="13820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2848">
          <w:marLeft w:val="0"/>
          <w:marRight w:val="0"/>
          <w:marTop w:val="0"/>
          <w:marBottom w:val="0"/>
          <w:divBdr>
            <w:top w:val="none" w:sz="0" w:space="0" w:color="auto"/>
            <w:left w:val="none" w:sz="0" w:space="0" w:color="auto"/>
            <w:bottom w:val="none" w:sz="0" w:space="0" w:color="auto"/>
            <w:right w:val="none" w:sz="0" w:space="0" w:color="auto"/>
          </w:divBdr>
          <w:divsChild>
            <w:div w:id="1179269851">
              <w:marLeft w:val="0"/>
              <w:marRight w:val="0"/>
              <w:marTop w:val="0"/>
              <w:marBottom w:val="0"/>
              <w:divBdr>
                <w:top w:val="none" w:sz="0" w:space="0" w:color="auto"/>
                <w:left w:val="none" w:sz="0" w:space="0" w:color="auto"/>
                <w:bottom w:val="none" w:sz="0" w:space="0" w:color="auto"/>
                <w:right w:val="none" w:sz="0" w:space="0" w:color="auto"/>
              </w:divBdr>
              <w:divsChild>
                <w:div w:id="1891767776">
                  <w:marLeft w:val="0"/>
                  <w:marRight w:val="0"/>
                  <w:marTop w:val="0"/>
                  <w:marBottom w:val="0"/>
                  <w:divBdr>
                    <w:top w:val="none" w:sz="0" w:space="0" w:color="auto"/>
                    <w:left w:val="none" w:sz="0" w:space="0" w:color="auto"/>
                    <w:bottom w:val="none" w:sz="0" w:space="0" w:color="auto"/>
                    <w:right w:val="none" w:sz="0" w:space="0" w:color="auto"/>
                  </w:divBdr>
                  <w:divsChild>
                    <w:div w:id="10061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16699">
      <w:bodyDiv w:val="1"/>
      <w:marLeft w:val="0"/>
      <w:marRight w:val="0"/>
      <w:marTop w:val="0"/>
      <w:marBottom w:val="0"/>
      <w:divBdr>
        <w:top w:val="none" w:sz="0" w:space="0" w:color="auto"/>
        <w:left w:val="none" w:sz="0" w:space="0" w:color="auto"/>
        <w:bottom w:val="none" w:sz="0" w:space="0" w:color="auto"/>
        <w:right w:val="none" w:sz="0" w:space="0" w:color="auto"/>
      </w:divBdr>
    </w:div>
    <w:div w:id="454372933">
      <w:bodyDiv w:val="1"/>
      <w:marLeft w:val="0"/>
      <w:marRight w:val="0"/>
      <w:marTop w:val="0"/>
      <w:marBottom w:val="0"/>
      <w:divBdr>
        <w:top w:val="none" w:sz="0" w:space="0" w:color="auto"/>
        <w:left w:val="none" w:sz="0" w:space="0" w:color="auto"/>
        <w:bottom w:val="none" w:sz="0" w:space="0" w:color="auto"/>
        <w:right w:val="none" w:sz="0" w:space="0" w:color="auto"/>
      </w:divBdr>
      <w:divsChild>
        <w:div w:id="1598173938">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5892">
          <w:marLeft w:val="0"/>
          <w:marRight w:val="0"/>
          <w:marTop w:val="0"/>
          <w:marBottom w:val="0"/>
          <w:divBdr>
            <w:top w:val="none" w:sz="0" w:space="0" w:color="auto"/>
            <w:left w:val="none" w:sz="0" w:space="0" w:color="auto"/>
            <w:bottom w:val="none" w:sz="0" w:space="0" w:color="auto"/>
            <w:right w:val="none" w:sz="0" w:space="0" w:color="auto"/>
          </w:divBdr>
          <w:divsChild>
            <w:div w:id="517239262">
              <w:marLeft w:val="0"/>
              <w:marRight w:val="0"/>
              <w:marTop w:val="0"/>
              <w:marBottom w:val="0"/>
              <w:divBdr>
                <w:top w:val="none" w:sz="0" w:space="0" w:color="auto"/>
                <w:left w:val="none" w:sz="0" w:space="0" w:color="auto"/>
                <w:bottom w:val="none" w:sz="0" w:space="0" w:color="auto"/>
                <w:right w:val="none" w:sz="0" w:space="0" w:color="auto"/>
              </w:divBdr>
              <w:divsChild>
                <w:div w:id="73937874">
                  <w:marLeft w:val="0"/>
                  <w:marRight w:val="0"/>
                  <w:marTop w:val="0"/>
                  <w:marBottom w:val="0"/>
                  <w:divBdr>
                    <w:top w:val="none" w:sz="0" w:space="0" w:color="auto"/>
                    <w:left w:val="none" w:sz="0" w:space="0" w:color="auto"/>
                    <w:bottom w:val="none" w:sz="0" w:space="0" w:color="auto"/>
                    <w:right w:val="none" w:sz="0" w:space="0" w:color="auto"/>
                  </w:divBdr>
                  <w:divsChild>
                    <w:div w:id="21290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98240">
      <w:bodyDiv w:val="1"/>
      <w:marLeft w:val="0"/>
      <w:marRight w:val="0"/>
      <w:marTop w:val="0"/>
      <w:marBottom w:val="0"/>
      <w:divBdr>
        <w:top w:val="none" w:sz="0" w:space="0" w:color="auto"/>
        <w:left w:val="none" w:sz="0" w:space="0" w:color="auto"/>
        <w:bottom w:val="none" w:sz="0" w:space="0" w:color="auto"/>
        <w:right w:val="none" w:sz="0" w:space="0" w:color="auto"/>
      </w:divBdr>
      <w:divsChild>
        <w:div w:id="495535031">
          <w:marLeft w:val="0"/>
          <w:marRight w:val="0"/>
          <w:marTop w:val="0"/>
          <w:marBottom w:val="0"/>
          <w:divBdr>
            <w:top w:val="none" w:sz="0" w:space="0" w:color="auto"/>
            <w:left w:val="none" w:sz="0" w:space="0" w:color="auto"/>
            <w:bottom w:val="none" w:sz="0" w:space="0" w:color="auto"/>
            <w:right w:val="none" w:sz="0" w:space="0" w:color="auto"/>
          </w:divBdr>
          <w:divsChild>
            <w:div w:id="309746365">
              <w:marLeft w:val="0"/>
              <w:marRight w:val="0"/>
              <w:marTop w:val="0"/>
              <w:marBottom w:val="0"/>
              <w:divBdr>
                <w:top w:val="none" w:sz="0" w:space="0" w:color="auto"/>
                <w:left w:val="none" w:sz="0" w:space="0" w:color="auto"/>
                <w:bottom w:val="none" w:sz="0" w:space="0" w:color="auto"/>
                <w:right w:val="none" w:sz="0" w:space="0" w:color="auto"/>
              </w:divBdr>
              <w:divsChild>
                <w:div w:id="1764837281">
                  <w:marLeft w:val="0"/>
                  <w:marRight w:val="0"/>
                  <w:marTop w:val="0"/>
                  <w:marBottom w:val="0"/>
                  <w:divBdr>
                    <w:top w:val="none" w:sz="0" w:space="0" w:color="auto"/>
                    <w:left w:val="none" w:sz="0" w:space="0" w:color="auto"/>
                    <w:bottom w:val="none" w:sz="0" w:space="0" w:color="auto"/>
                    <w:right w:val="none" w:sz="0" w:space="0" w:color="auto"/>
                  </w:divBdr>
                  <w:divsChild>
                    <w:div w:id="10680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493">
          <w:marLeft w:val="0"/>
          <w:marRight w:val="0"/>
          <w:marTop w:val="0"/>
          <w:marBottom w:val="0"/>
          <w:divBdr>
            <w:top w:val="none" w:sz="0" w:space="0" w:color="auto"/>
            <w:left w:val="none" w:sz="0" w:space="0" w:color="auto"/>
            <w:bottom w:val="none" w:sz="0" w:space="0" w:color="auto"/>
            <w:right w:val="none" w:sz="0" w:space="0" w:color="auto"/>
          </w:divBdr>
          <w:divsChild>
            <w:div w:id="700279571">
              <w:marLeft w:val="0"/>
              <w:marRight w:val="0"/>
              <w:marTop w:val="0"/>
              <w:marBottom w:val="0"/>
              <w:divBdr>
                <w:top w:val="none" w:sz="0" w:space="0" w:color="auto"/>
                <w:left w:val="none" w:sz="0" w:space="0" w:color="auto"/>
                <w:bottom w:val="none" w:sz="0" w:space="0" w:color="auto"/>
                <w:right w:val="none" w:sz="0" w:space="0" w:color="auto"/>
              </w:divBdr>
              <w:divsChild>
                <w:div w:id="367920503">
                  <w:marLeft w:val="0"/>
                  <w:marRight w:val="0"/>
                  <w:marTop w:val="0"/>
                  <w:marBottom w:val="0"/>
                  <w:divBdr>
                    <w:top w:val="none" w:sz="0" w:space="0" w:color="auto"/>
                    <w:left w:val="none" w:sz="0" w:space="0" w:color="auto"/>
                    <w:bottom w:val="none" w:sz="0" w:space="0" w:color="auto"/>
                    <w:right w:val="none" w:sz="0" w:space="0" w:color="auto"/>
                  </w:divBdr>
                  <w:divsChild>
                    <w:div w:id="16131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96040">
      <w:bodyDiv w:val="1"/>
      <w:marLeft w:val="0"/>
      <w:marRight w:val="0"/>
      <w:marTop w:val="0"/>
      <w:marBottom w:val="0"/>
      <w:divBdr>
        <w:top w:val="none" w:sz="0" w:space="0" w:color="auto"/>
        <w:left w:val="none" w:sz="0" w:space="0" w:color="auto"/>
        <w:bottom w:val="none" w:sz="0" w:space="0" w:color="auto"/>
        <w:right w:val="none" w:sz="0" w:space="0" w:color="auto"/>
      </w:divBdr>
    </w:div>
    <w:div w:id="475682352">
      <w:bodyDiv w:val="1"/>
      <w:marLeft w:val="0"/>
      <w:marRight w:val="0"/>
      <w:marTop w:val="0"/>
      <w:marBottom w:val="0"/>
      <w:divBdr>
        <w:top w:val="none" w:sz="0" w:space="0" w:color="auto"/>
        <w:left w:val="none" w:sz="0" w:space="0" w:color="auto"/>
        <w:bottom w:val="none" w:sz="0" w:space="0" w:color="auto"/>
        <w:right w:val="none" w:sz="0" w:space="0" w:color="auto"/>
      </w:divBdr>
    </w:div>
    <w:div w:id="482166213">
      <w:bodyDiv w:val="1"/>
      <w:marLeft w:val="0"/>
      <w:marRight w:val="0"/>
      <w:marTop w:val="0"/>
      <w:marBottom w:val="0"/>
      <w:divBdr>
        <w:top w:val="none" w:sz="0" w:space="0" w:color="auto"/>
        <w:left w:val="none" w:sz="0" w:space="0" w:color="auto"/>
        <w:bottom w:val="none" w:sz="0" w:space="0" w:color="auto"/>
        <w:right w:val="none" w:sz="0" w:space="0" w:color="auto"/>
      </w:divBdr>
    </w:div>
    <w:div w:id="505829535">
      <w:bodyDiv w:val="1"/>
      <w:marLeft w:val="0"/>
      <w:marRight w:val="0"/>
      <w:marTop w:val="0"/>
      <w:marBottom w:val="0"/>
      <w:divBdr>
        <w:top w:val="none" w:sz="0" w:space="0" w:color="auto"/>
        <w:left w:val="none" w:sz="0" w:space="0" w:color="auto"/>
        <w:bottom w:val="none" w:sz="0" w:space="0" w:color="auto"/>
        <w:right w:val="none" w:sz="0" w:space="0" w:color="auto"/>
      </w:divBdr>
    </w:div>
    <w:div w:id="507839487">
      <w:bodyDiv w:val="1"/>
      <w:marLeft w:val="0"/>
      <w:marRight w:val="0"/>
      <w:marTop w:val="0"/>
      <w:marBottom w:val="0"/>
      <w:divBdr>
        <w:top w:val="none" w:sz="0" w:space="0" w:color="auto"/>
        <w:left w:val="none" w:sz="0" w:space="0" w:color="auto"/>
        <w:bottom w:val="none" w:sz="0" w:space="0" w:color="auto"/>
        <w:right w:val="none" w:sz="0" w:space="0" w:color="auto"/>
      </w:divBdr>
    </w:div>
    <w:div w:id="518356284">
      <w:bodyDiv w:val="1"/>
      <w:marLeft w:val="0"/>
      <w:marRight w:val="0"/>
      <w:marTop w:val="0"/>
      <w:marBottom w:val="0"/>
      <w:divBdr>
        <w:top w:val="none" w:sz="0" w:space="0" w:color="auto"/>
        <w:left w:val="none" w:sz="0" w:space="0" w:color="auto"/>
        <w:bottom w:val="none" w:sz="0" w:space="0" w:color="auto"/>
        <w:right w:val="none" w:sz="0" w:space="0" w:color="auto"/>
      </w:divBdr>
      <w:divsChild>
        <w:div w:id="1972787467">
          <w:marLeft w:val="0"/>
          <w:marRight w:val="0"/>
          <w:marTop w:val="0"/>
          <w:marBottom w:val="0"/>
          <w:divBdr>
            <w:top w:val="none" w:sz="0" w:space="0" w:color="auto"/>
            <w:left w:val="none" w:sz="0" w:space="0" w:color="auto"/>
            <w:bottom w:val="none" w:sz="0" w:space="0" w:color="auto"/>
            <w:right w:val="none" w:sz="0" w:space="0" w:color="auto"/>
          </w:divBdr>
          <w:divsChild>
            <w:div w:id="1029918905">
              <w:marLeft w:val="0"/>
              <w:marRight w:val="0"/>
              <w:marTop w:val="0"/>
              <w:marBottom w:val="0"/>
              <w:divBdr>
                <w:top w:val="none" w:sz="0" w:space="0" w:color="auto"/>
                <w:left w:val="none" w:sz="0" w:space="0" w:color="auto"/>
                <w:bottom w:val="none" w:sz="0" w:space="0" w:color="auto"/>
                <w:right w:val="none" w:sz="0" w:space="0" w:color="auto"/>
              </w:divBdr>
              <w:divsChild>
                <w:div w:id="191496917">
                  <w:marLeft w:val="0"/>
                  <w:marRight w:val="0"/>
                  <w:marTop w:val="0"/>
                  <w:marBottom w:val="0"/>
                  <w:divBdr>
                    <w:top w:val="none" w:sz="0" w:space="0" w:color="auto"/>
                    <w:left w:val="none" w:sz="0" w:space="0" w:color="auto"/>
                    <w:bottom w:val="none" w:sz="0" w:space="0" w:color="auto"/>
                    <w:right w:val="none" w:sz="0" w:space="0" w:color="auto"/>
                  </w:divBdr>
                  <w:divsChild>
                    <w:div w:id="8931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473780">
      <w:bodyDiv w:val="1"/>
      <w:marLeft w:val="0"/>
      <w:marRight w:val="0"/>
      <w:marTop w:val="0"/>
      <w:marBottom w:val="0"/>
      <w:divBdr>
        <w:top w:val="none" w:sz="0" w:space="0" w:color="auto"/>
        <w:left w:val="none" w:sz="0" w:space="0" w:color="auto"/>
        <w:bottom w:val="none" w:sz="0" w:space="0" w:color="auto"/>
        <w:right w:val="none" w:sz="0" w:space="0" w:color="auto"/>
      </w:divBdr>
    </w:div>
    <w:div w:id="522092234">
      <w:bodyDiv w:val="1"/>
      <w:marLeft w:val="0"/>
      <w:marRight w:val="0"/>
      <w:marTop w:val="0"/>
      <w:marBottom w:val="0"/>
      <w:divBdr>
        <w:top w:val="none" w:sz="0" w:space="0" w:color="auto"/>
        <w:left w:val="none" w:sz="0" w:space="0" w:color="auto"/>
        <w:bottom w:val="none" w:sz="0" w:space="0" w:color="auto"/>
        <w:right w:val="none" w:sz="0" w:space="0" w:color="auto"/>
      </w:divBdr>
    </w:div>
    <w:div w:id="524289966">
      <w:bodyDiv w:val="1"/>
      <w:marLeft w:val="0"/>
      <w:marRight w:val="0"/>
      <w:marTop w:val="0"/>
      <w:marBottom w:val="0"/>
      <w:divBdr>
        <w:top w:val="none" w:sz="0" w:space="0" w:color="auto"/>
        <w:left w:val="none" w:sz="0" w:space="0" w:color="auto"/>
        <w:bottom w:val="none" w:sz="0" w:space="0" w:color="auto"/>
        <w:right w:val="none" w:sz="0" w:space="0" w:color="auto"/>
      </w:divBdr>
    </w:div>
    <w:div w:id="524370911">
      <w:bodyDiv w:val="1"/>
      <w:marLeft w:val="0"/>
      <w:marRight w:val="0"/>
      <w:marTop w:val="0"/>
      <w:marBottom w:val="0"/>
      <w:divBdr>
        <w:top w:val="none" w:sz="0" w:space="0" w:color="auto"/>
        <w:left w:val="none" w:sz="0" w:space="0" w:color="auto"/>
        <w:bottom w:val="none" w:sz="0" w:space="0" w:color="auto"/>
        <w:right w:val="none" w:sz="0" w:space="0" w:color="auto"/>
      </w:divBdr>
    </w:div>
    <w:div w:id="532039757">
      <w:bodyDiv w:val="1"/>
      <w:marLeft w:val="0"/>
      <w:marRight w:val="0"/>
      <w:marTop w:val="0"/>
      <w:marBottom w:val="0"/>
      <w:divBdr>
        <w:top w:val="none" w:sz="0" w:space="0" w:color="auto"/>
        <w:left w:val="none" w:sz="0" w:space="0" w:color="auto"/>
        <w:bottom w:val="none" w:sz="0" w:space="0" w:color="auto"/>
        <w:right w:val="none" w:sz="0" w:space="0" w:color="auto"/>
      </w:divBdr>
    </w:div>
    <w:div w:id="562722381">
      <w:bodyDiv w:val="1"/>
      <w:marLeft w:val="0"/>
      <w:marRight w:val="0"/>
      <w:marTop w:val="0"/>
      <w:marBottom w:val="0"/>
      <w:divBdr>
        <w:top w:val="none" w:sz="0" w:space="0" w:color="auto"/>
        <w:left w:val="none" w:sz="0" w:space="0" w:color="auto"/>
        <w:bottom w:val="none" w:sz="0" w:space="0" w:color="auto"/>
        <w:right w:val="none" w:sz="0" w:space="0" w:color="auto"/>
      </w:divBdr>
    </w:div>
    <w:div w:id="572936880">
      <w:bodyDiv w:val="1"/>
      <w:marLeft w:val="0"/>
      <w:marRight w:val="0"/>
      <w:marTop w:val="0"/>
      <w:marBottom w:val="0"/>
      <w:divBdr>
        <w:top w:val="none" w:sz="0" w:space="0" w:color="auto"/>
        <w:left w:val="none" w:sz="0" w:space="0" w:color="auto"/>
        <w:bottom w:val="none" w:sz="0" w:space="0" w:color="auto"/>
        <w:right w:val="none" w:sz="0" w:space="0" w:color="auto"/>
      </w:divBdr>
    </w:div>
    <w:div w:id="573783900">
      <w:bodyDiv w:val="1"/>
      <w:marLeft w:val="0"/>
      <w:marRight w:val="0"/>
      <w:marTop w:val="0"/>
      <w:marBottom w:val="0"/>
      <w:divBdr>
        <w:top w:val="none" w:sz="0" w:space="0" w:color="auto"/>
        <w:left w:val="none" w:sz="0" w:space="0" w:color="auto"/>
        <w:bottom w:val="none" w:sz="0" w:space="0" w:color="auto"/>
        <w:right w:val="none" w:sz="0" w:space="0" w:color="auto"/>
      </w:divBdr>
    </w:div>
    <w:div w:id="580605725">
      <w:bodyDiv w:val="1"/>
      <w:marLeft w:val="0"/>
      <w:marRight w:val="0"/>
      <w:marTop w:val="0"/>
      <w:marBottom w:val="0"/>
      <w:divBdr>
        <w:top w:val="none" w:sz="0" w:space="0" w:color="auto"/>
        <w:left w:val="none" w:sz="0" w:space="0" w:color="auto"/>
        <w:bottom w:val="none" w:sz="0" w:space="0" w:color="auto"/>
        <w:right w:val="none" w:sz="0" w:space="0" w:color="auto"/>
      </w:divBdr>
    </w:div>
    <w:div w:id="607084335">
      <w:bodyDiv w:val="1"/>
      <w:marLeft w:val="0"/>
      <w:marRight w:val="0"/>
      <w:marTop w:val="0"/>
      <w:marBottom w:val="0"/>
      <w:divBdr>
        <w:top w:val="none" w:sz="0" w:space="0" w:color="auto"/>
        <w:left w:val="none" w:sz="0" w:space="0" w:color="auto"/>
        <w:bottom w:val="none" w:sz="0" w:space="0" w:color="auto"/>
        <w:right w:val="none" w:sz="0" w:space="0" w:color="auto"/>
      </w:divBdr>
    </w:div>
    <w:div w:id="632445149">
      <w:bodyDiv w:val="1"/>
      <w:marLeft w:val="0"/>
      <w:marRight w:val="0"/>
      <w:marTop w:val="0"/>
      <w:marBottom w:val="0"/>
      <w:divBdr>
        <w:top w:val="none" w:sz="0" w:space="0" w:color="auto"/>
        <w:left w:val="none" w:sz="0" w:space="0" w:color="auto"/>
        <w:bottom w:val="none" w:sz="0" w:space="0" w:color="auto"/>
        <w:right w:val="none" w:sz="0" w:space="0" w:color="auto"/>
      </w:divBdr>
    </w:div>
    <w:div w:id="632951873">
      <w:bodyDiv w:val="1"/>
      <w:marLeft w:val="0"/>
      <w:marRight w:val="0"/>
      <w:marTop w:val="0"/>
      <w:marBottom w:val="0"/>
      <w:divBdr>
        <w:top w:val="none" w:sz="0" w:space="0" w:color="auto"/>
        <w:left w:val="none" w:sz="0" w:space="0" w:color="auto"/>
        <w:bottom w:val="none" w:sz="0" w:space="0" w:color="auto"/>
        <w:right w:val="none" w:sz="0" w:space="0" w:color="auto"/>
      </w:divBdr>
    </w:div>
    <w:div w:id="633220244">
      <w:bodyDiv w:val="1"/>
      <w:marLeft w:val="0"/>
      <w:marRight w:val="0"/>
      <w:marTop w:val="0"/>
      <w:marBottom w:val="0"/>
      <w:divBdr>
        <w:top w:val="none" w:sz="0" w:space="0" w:color="auto"/>
        <w:left w:val="none" w:sz="0" w:space="0" w:color="auto"/>
        <w:bottom w:val="none" w:sz="0" w:space="0" w:color="auto"/>
        <w:right w:val="none" w:sz="0" w:space="0" w:color="auto"/>
      </w:divBdr>
    </w:div>
    <w:div w:id="633675031">
      <w:bodyDiv w:val="1"/>
      <w:marLeft w:val="0"/>
      <w:marRight w:val="0"/>
      <w:marTop w:val="0"/>
      <w:marBottom w:val="0"/>
      <w:divBdr>
        <w:top w:val="none" w:sz="0" w:space="0" w:color="auto"/>
        <w:left w:val="none" w:sz="0" w:space="0" w:color="auto"/>
        <w:bottom w:val="none" w:sz="0" w:space="0" w:color="auto"/>
        <w:right w:val="none" w:sz="0" w:space="0" w:color="auto"/>
      </w:divBdr>
      <w:divsChild>
        <w:div w:id="15429893">
          <w:marLeft w:val="0"/>
          <w:marRight w:val="0"/>
          <w:marTop w:val="0"/>
          <w:marBottom w:val="0"/>
          <w:divBdr>
            <w:top w:val="none" w:sz="0" w:space="0" w:color="auto"/>
            <w:left w:val="none" w:sz="0" w:space="0" w:color="auto"/>
            <w:bottom w:val="none" w:sz="0" w:space="0" w:color="auto"/>
            <w:right w:val="none" w:sz="0" w:space="0" w:color="auto"/>
          </w:divBdr>
          <w:divsChild>
            <w:div w:id="447817203">
              <w:marLeft w:val="0"/>
              <w:marRight w:val="0"/>
              <w:marTop w:val="0"/>
              <w:marBottom w:val="0"/>
              <w:divBdr>
                <w:top w:val="none" w:sz="0" w:space="0" w:color="auto"/>
                <w:left w:val="none" w:sz="0" w:space="0" w:color="auto"/>
                <w:bottom w:val="none" w:sz="0" w:space="0" w:color="auto"/>
                <w:right w:val="none" w:sz="0" w:space="0" w:color="auto"/>
              </w:divBdr>
              <w:divsChild>
                <w:div w:id="1201361463">
                  <w:marLeft w:val="0"/>
                  <w:marRight w:val="0"/>
                  <w:marTop w:val="0"/>
                  <w:marBottom w:val="0"/>
                  <w:divBdr>
                    <w:top w:val="none" w:sz="0" w:space="0" w:color="auto"/>
                    <w:left w:val="none" w:sz="0" w:space="0" w:color="auto"/>
                    <w:bottom w:val="none" w:sz="0" w:space="0" w:color="auto"/>
                    <w:right w:val="none" w:sz="0" w:space="0" w:color="auto"/>
                  </w:divBdr>
                  <w:divsChild>
                    <w:div w:id="13090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16087">
          <w:marLeft w:val="0"/>
          <w:marRight w:val="0"/>
          <w:marTop w:val="0"/>
          <w:marBottom w:val="0"/>
          <w:divBdr>
            <w:top w:val="none" w:sz="0" w:space="0" w:color="auto"/>
            <w:left w:val="none" w:sz="0" w:space="0" w:color="auto"/>
            <w:bottom w:val="none" w:sz="0" w:space="0" w:color="auto"/>
            <w:right w:val="none" w:sz="0" w:space="0" w:color="auto"/>
          </w:divBdr>
          <w:divsChild>
            <w:div w:id="275410684">
              <w:marLeft w:val="0"/>
              <w:marRight w:val="0"/>
              <w:marTop w:val="0"/>
              <w:marBottom w:val="0"/>
              <w:divBdr>
                <w:top w:val="none" w:sz="0" w:space="0" w:color="auto"/>
                <w:left w:val="none" w:sz="0" w:space="0" w:color="auto"/>
                <w:bottom w:val="none" w:sz="0" w:space="0" w:color="auto"/>
                <w:right w:val="none" w:sz="0" w:space="0" w:color="auto"/>
              </w:divBdr>
              <w:divsChild>
                <w:div w:id="1286540743">
                  <w:marLeft w:val="0"/>
                  <w:marRight w:val="0"/>
                  <w:marTop w:val="0"/>
                  <w:marBottom w:val="0"/>
                  <w:divBdr>
                    <w:top w:val="none" w:sz="0" w:space="0" w:color="auto"/>
                    <w:left w:val="none" w:sz="0" w:space="0" w:color="auto"/>
                    <w:bottom w:val="none" w:sz="0" w:space="0" w:color="auto"/>
                    <w:right w:val="none" w:sz="0" w:space="0" w:color="auto"/>
                  </w:divBdr>
                  <w:divsChild>
                    <w:div w:id="1943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260136">
      <w:bodyDiv w:val="1"/>
      <w:marLeft w:val="0"/>
      <w:marRight w:val="0"/>
      <w:marTop w:val="0"/>
      <w:marBottom w:val="0"/>
      <w:divBdr>
        <w:top w:val="none" w:sz="0" w:space="0" w:color="auto"/>
        <w:left w:val="none" w:sz="0" w:space="0" w:color="auto"/>
        <w:bottom w:val="none" w:sz="0" w:space="0" w:color="auto"/>
        <w:right w:val="none" w:sz="0" w:space="0" w:color="auto"/>
      </w:divBdr>
    </w:div>
    <w:div w:id="640696438">
      <w:bodyDiv w:val="1"/>
      <w:marLeft w:val="0"/>
      <w:marRight w:val="0"/>
      <w:marTop w:val="0"/>
      <w:marBottom w:val="0"/>
      <w:divBdr>
        <w:top w:val="none" w:sz="0" w:space="0" w:color="auto"/>
        <w:left w:val="none" w:sz="0" w:space="0" w:color="auto"/>
        <w:bottom w:val="none" w:sz="0" w:space="0" w:color="auto"/>
        <w:right w:val="none" w:sz="0" w:space="0" w:color="auto"/>
      </w:divBdr>
    </w:div>
    <w:div w:id="656500865">
      <w:bodyDiv w:val="1"/>
      <w:marLeft w:val="0"/>
      <w:marRight w:val="0"/>
      <w:marTop w:val="0"/>
      <w:marBottom w:val="0"/>
      <w:divBdr>
        <w:top w:val="none" w:sz="0" w:space="0" w:color="auto"/>
        <w:left w:val="none" w:sz="0" w:space="0" w:color="auto"/>
        <w:bottom w:val="none" w:sz="0" w:space="0" w:color="auto"/>
        <w:right w:val="none" w:sz="0" w:space="0" w:color="auto"/>
      </w:divBdr>
    </w:div>
    <w:div w:id="658772214">
      <w:bodyDiv w:val="1"/>
      <w:marLeft w:val="0"/>
      <w:marRight w:val="0"/>
      <w:marTop w:val="0"/>
      <w:marBottom w:val="0"/>
      <w:divBdr>
        <w:top w:val="none" w:sz="0" w:space="0" w:color="auto"/>
        <w:left w:val="none" w:sz="0" w:space="0" w:color="auto"/>
        <w:bottom w:val="none" w:sz="0" w:space="0" w:color="auto"/>
        <w:right w:val="none" w:sz="0" w:space="0" w:color="auto"/>
      </w:divBdr>
    </w:div>
    <w:div w:id="662928324">
      <w:bodyDiv w:val="1"/>
      <w:marLeft w:val="0"/>
      <w:marRight w:val="0"/>
      <w:marTop w:val="0"/>
      <w:marBottom w:val="0"/>
      <w:divBdr>
        <w:top w:val="none" w:sz="0" w:space="0" w:color="auto"/>
        <w:left w:val="none" w:sz="0" w:space="0" w:color="auto"/>
        <w:bottom w:val="none" w:sz="0" w:space="0" w:color="auto"/>
        <w:right w:val="none" w:sz="0" w:space="0" w:color="auto"/>
      </w:divBdr>
      <w:divsChild>
        <w:div w:id="1159922886">
          <w:marLeft w:val="0"/>
          <w:marRight w:val="0"/>
          <w:marTop w:val="0"/>
          <w:marBottom w:val="0"/>
          <w:divBdr>
            <w:top w:val="none" w:sz="0" w:space="0" w:color="auto"/>
            <w:left w:val="none" w:sz="0" w:space="0" w:color="auto"/>
            <w:bottom w:val="none" w:sz="0" w:space="0" w:color="auto"/>
            <w:right w:val="none" w:sz="0" w:space="0" w:color="auto"/>
          </w:divBdr>
          <w:divsChild>
            <w:div w:id="530146610">
              <w:marLeft w:val="0"/>
              <w:marRight w:val="0"/>
              <w:marTop w:val="0"/>
              <w:marBottom w:val="0"/>
              <w:divBdr>
                <w:top w:val="none" w:sz="0" w:space="0" w:color="auto"/>
                <w:left w:val="none" w:sz="0" w:space="0" w:color="auto"/>
                <w:bottom w:val="none" w:sz="0" w:space="0" w:color="auto"/>
                <w:right w:val="none" w:sz="0" w:space="0" w:color="auto"/>
              </w:divBdr>
              <w:divsChild>
                <w:div w:id="1688749011">
                  <w:marLeft w:val="0"/>
                  <w:marRight w:val="0"/>
                  <w:marTop w:val="0"/>
                  <w:marBottom w:val="0"/>
                  <w:divBdr>
                    <w:top w:val="none" w:sz="0" w:space="0" w:color="auto"/>
                    <w:left w:val="none" w:sz="0" w:space="0" w:color="auto"/>
                    <w:bottom w:val="none" w:sz="0" w:space="0" w:color="auto"/>
                    <w:right w:val="none" w:sz="0" w:space="0" w:color="auto"/>
                  </w:divBdr>
                  <w:divsChild>
                    <w:div w:id="1298340358">
                      <w:marLeft w:val="0"/>
                      <w:marRight w:val="0"/>
                      <w:marTop w:val="0"/>
                      <w:marBottom w:val="0"/>
                      <w:divBdr>
                        <w:top w:val="none" w:sz="0" w:space="0" w:color="auto"/>
                        <w:left w:val="none" w:sz="0" w:space="0" w:color="auto"/>
                        <w:bottom w:val="none" w:sz="0" w:space="0" w:color="auto"/>
                        <w:right w:val="none" w:sz="0" w:space="0" w:color="auto"/>
                      </w:divBdr>
                      <w:divsChild>
                        <w:div w:id="1272006696">
                          <w:marLeft w:val="0"/>
                          <w:marRight w:val="0"/>
                          <w:marTop w:val="0"/>
                          <w:marBottom w:val="0"/>
                          <w:divBdr>
                            <w:top w:val="none" w:sz="0" w:space="0" w:color="auto"/>
                            <w:left w:val="none" w:sz="0" w:space="0" w:color="auto"/>
                            <w:bottom w:val="none" w:sz="0" w:space="0" w:color="auto"/>
                            <w:right w:val="none" w:sz="0" w:space="0" w:color="auto"/>
                          </w:divBdr>
                          <w:divsChild>
                            <w:div w:id="50739516">
                              <w:marLeft w:val="0"/>
                              <w:marRight w:val="0"/>
                              <w:marTop w:val="0"/>
                              <w:marBottom w:val="0"/>
                              <w:divBdr>
                                <w:top w:val="none" w:sz="0" w:space="0" w:color="auto"/>
                                <w:left w:val="none" w:sz="0" w:space="0" w:color="auto"/>
                                <w:bottom w:val="none" w:sz="0" w:space="0" w:color="auto"/>
                                <w:right w:val="none" w:sz="0" w:space="0" w:color="auto"/>
                              </w:divBdr>
                              <w:divsChild>
                                <w:div w:id="2104492636">
                                  <w:marLeft w:val="0"/>
                                  <w:marRight w:val="0"/>
                                  <w:marTop w:val="0"/>
                                  <w:marBottom w:val="0"/>
                                  <w:divBdr>
                                    <w:top w:val="none" w:sz="0" w:space="0" w:color="auto"/>
                                    <w:left w:val="none" w:sz="0" w:space="0" w:color="auto"/>
                                    <w:bottom w:val="none" w:sz="0" w:space="0" w:color="auto"/>
                                    <w:right w:val="none" w:sz="0" w:space="0" w:color="auto"/>
                                  </w:divBdr>
                                  <w:divsChild>
                                    <w:div w:id="1698389822">
                                      <w:marLeft w:val="0"/>
                                      <w:marRight w:val="0"/>
                                      <w:marTop w:val="0"/>
                                      <w:marBottom w:val="0"/>
                                      <w:divBdr>
                                        <w:top w:val="none" w:sz="0" w:space="0" w:color="auto"/>
                                        <w:left w:val="none" w:sz="0" w:space="0" w:color="auto"/>
                                        <w:bottom w:val="none" w:sz="0" w:space="0" w:color="auto"/>
                                        <w:right w:val="none" w:sz="0" w:space="0" w:color="auto"/>
                                      </w:divBdr>
                                      <w:divsChild>
                                        <w:div w:id="1889758051">
                                          <w:marLeft w:val="0"/>
                                          <w:marRight w:val="0"/>
                                          <w:marTop w:val="0"/>
                                          <w:marBottom w:val="0"/>
                                          <w:divBdr>
                                            <w:top w:val="none" w:sz="0" w:space="0" w:color="auto"/>
                                            <w:left w:val="none" w:sz="0" w:space="0" w:color="auto"/>
                                            <w:bottom w:val="none" w:sz="0" w:space="0" w:color="auto"/>
                                            <w:right w:val="none" w:sz="0" w:space="0" w:color="auto"/>
                                          </w:divBdr>
                                          <w:divsChild>
                                            <w:div w:id="967200364">
                                              <w:marLeft w:val="0"/>
                                              <w:marRight w:val="0"/>
                                              <w:marTop w:val="0"/>
                                              <w:marBottom w:val="0"/>
                                              <w:divBdr>
                                                <w:top w:val="none" w:sz="0" w:space="0" w:color="auto"/>
                                                <w:left w:val="none" w:sz="0" w:space="0" w:color="auto"/>
                                                <w:bottom w:val="none" w:sz="0" w:space="0" w:color="auto"/>
                                                <w:right w:val="none" w:sz="0" w:space="0" w:color="auto"/>
                                              </w:divBdr>
                                              <w:divsChild>
                                                <w:div w:id="1495485246">
                                                  <w:marLeft w:val="0"/>
                                                  <w:marRight w:val="0"/>
                                                  <w:marTop w:val="0"/>
                                                  <w:marBottom w:val="0"/>
                                                  <w:divBdr>
                                                    <w:top w:val="none" w:sz="0" w:space="0" w:color="auto"/>
                                                    <w:left w:val="none" w:sz="0" w:space="0" w:color="auto"/>
                                                    <w:bottom w:val="none" w:sz="0" w:space="0" w:color="auto"/>
                                                    <w:right w:val="none" w:sz="0" w:space="0" w:color="auto"/>
                                                  </w:divBdr>
                                                  <w:divsChild>
                                                    <w:div w:id="1756894562">
                                                      <w:marLeft w:val="0"/>
                                                      <w:marRight w:val="0"/>
                                                      <w:marTop w:val="0"/>
                                                      <w:marBottom w:val="0"/>
                                                      <w:divBdr>
                                                        <w:top w:val="none" w:sz="0" w:space="0" w:color="auto"/>
                                                        <w:left w:val="none" w:sz="0" w:space="0" w:color="auto"/>
                                                        <w:bottom w:val="none" w:sz="0" w:space="0" w:color="auto"/>
                                                        <w:right w:val="none" w:sz="0" w:space="0" w:color="auto"/>
                                                      </w:divBdr>
                                                      <w:divsChild>
                                                        <w:div w:id="15969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93443">
                                              <w:marLeft w:val="0"/>
                                              <w:marRight w:val="0"/>
                                              <w:marTop w:val="0"/>
                                              <w:marBottom w:val="0"/>
                                              <w:divBdr>
                                                <w:top w:val="none" w:sz="0" w:space="0" w:color="auto"/>
                                                <w:left w:val="none" w:sz="0" w:space="0" w:color="auto"/>
                                                <w:bottom w:val="none" w:sz="0" w:space="0" w:color="auto"/>
                                                <w:right w:val="none" w:sz="0" w:space="0" w:color="auto"/>
                                              </w:divBdr>
                                              <w:divsChild>
                                                <w:div w:id="821042101">
                                                  <w:marLeft w:val="0"/>
                                                  <w:marRight w:val="0"/>
                                                  <w:marTop w:val="0"/>
                                                  <w:marBottom w:val="0"/>
                                                  <w:divBdr>
                                                    <w:top w:val="none" w:sz="0" w:space="0" w:color="auto"/>
                                                    <w:left w:val="none" w:sz="0" w:space="0" w:color="auto"/>
                                                    <w:bottom w:val="none" w:sz="0" w:space="0" w:color="auto"/>
                                                    <w:right w:val="none" w:sz="0" w:space="0" w:color="auto"/>
                                                  </w:divBdr>
                                                  <w:divsChild>
                                                    <w:div w:id="2052268603">
                                                      <w:marLeft w:val="0"/>
                                                      <w:marRight w:val="0"/>
                                                      <w:marTop w:val="0"/>
                                                      <w:marBottom w:val="0"/>
                                                      <w:divBdr>
                                                        <w:top w:val="none" w:sz="0" w:space="0" w:color="auto"/>
                                                        <w:left w:val="none" w:sz="0" w:space="0" w:color="auto"/>
                                                        <w:bottom w:val="none" w:sz="0" w:space="0" w:color="auto"/>
                                                        <w:right w:val="none" w:sz="0" w:space="0" w:color="auto"/>
                                                      </w:divBdr>
                                                      <w:divsChild>
                                                        <w:div w:id="7124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34409">
          <w:marLeft w:val="0"/>
          <w:marRight w:val="0"/>
          <w:marTop w:val="0"/>
          <w:marBottom w:val="0"/>
          <w:divBdr>
            <w:top w:val="none" w:sz="0" w:space="0" w:color="auto"/>
            <w:left w:val="none" w:sz="0" w:space="0" w:color="auto"/>
            <w:bottom w:val="none" w:sz="0" w:space="0" w:color="auto"/>
            <w:right w:val="none" w:sz="0" w:space="0" w:color="auto"/>
          </w:divBdr>
          <w:divsChild>
            <w:div w:id="101078379">
              <w:marLeft w:val="0"/>
              <w:marRight w:val="0"/>
              <w:marTop w:val="0"/>
              <w:marBottom w:val="0"/>
              <w:divBdr>
                <w:top w:val="none" w:sz="0" w:space="0" w:color="auto"/>
                <w:left w:val="none" w:sz="0" w:space="0" w:color="auto"/>
                <w:bottom w:val="none" w:sz="0" w:space="0" w:color="auto"/>
                <w:right w:val="none" w:sz="0" w:space="0" w:color="auto"/>
              </w:divBdr>
              <w:divsChild>
                <w:div w:id="1231231134">
                  <w:marLeft w:val="0"/>
                  <w:marRight w:val="0"/>
                  <w:marTop w:val="0"/>
                  <w:marBottom w:val="0"/>
                  <w:divBdr>
                    <w:top w:val="none" w:sz="0" w:space="0" w:color="auto"/>
                    <w:left w:val="none" w:sz="0" w:space="0" w:color="auto"/>
                    <w:bottom w:val="none" w:sz="0" w:space="0" w:color="auto"/>
                    <w:right w:val="none" w:sz="0" w:space="0" w:color="auto"/>
                  </w:divBdr>
                  <w:divsChild>
                    <w:div w:id="58827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1046">
      <w:bodyDiv w:val="1"/>
      <w:marLeft w:val="0"/>
      <w:marRight w:val="0"/>
      <w:marTop w:val="0"/>
      <w:marBottom w:val="0"/>
      <w:divBdr>
        <w:top w:val="none" w:sz="0" w:space="0" w:color="auto"/>
        <w:left w:val="none" w:sz="0" w:space="0" w:color="auto"/>
        <w:bottom w:val="none" w:sz="0" w:space="0" w:color="auto"/>
        <w:right w:val="none" w:sz="0" w:space="0" w:color="auto"/>
      </w:divBdr>
      <w:divsChild>
        <w:div w:id="1242181433">
          <w:marLeft w:val="0"/>
          <w:marRight w:val="0"/>
          <w:marTop w:val="0"/>
          <w:marBottom w:val="0"/>
          <w:divBdr>
            <w:top w:val="none" w:sz="0" w:space="0" w:color="auto"/>
            <w:left w:val="none" w:sz="0" w:space="0" w:color="auto"/>
            <w:bottom w:val="none" w:sz="0" w:space="0" w:color="auto"/>
            <w:right w:val="none" w:sz="0" w:space="0" w:color="auto"/>
          </w:divBdr>
          <w:divsChild>
            <w:div w:id="845558045">
              <w:marLeft w:val="0"/>
              <w:marRight w:val="0"/>
              <w:marTop w:val="0"/>
              <w:marBottom w:val="0"/>
              <w:divBdr>
                <w:top w:val="none" w:sz="0" w:space="0" w:color="auto"/>
                <w:left w:val="none" w:sz="0" w:space="0" w:color="auto"/>
                <w:bottom w:val="none" w:sz="0" w:space="0" w:color="auto"/>
                <w:right w:val="none" w:sz="0" w:space="0" w:color="auto"/>
              </w:divBdr>
              <w:divsChild>
                <w:div w:id="306057692">
                  <w:marLeft w:val="0"/>
                  <w:marRight w:val="0"/>
                  <w:marTop w:val="0"/>
                  <w:marBottom w:val="0"/>
                  <w:divBdr>
                    <w:top w:val="none" w:sz="0" w:space="0" w:color="auto"/>
                    <w:left w:val="none" w:sz="0" w:space="0" w:color="auto"/>
                    <w:bottom w:val="none" w:sz="0" w:space="0" w:color="auto"/>
                    <w:right w:val="none" w:sz="0" w:space="0" w:color="auto"/>
                  </w:divBdr>
                  <w:divsChild>
                    <w:div w:id="12698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340392">
      <w:bodyDiv w:val="1"/>
      <w:marLeft w:val="0"/>
      <w:marRight w:val="0"/>
      <w:marTop w:val="0"/>
      <w:marBottom w:val="0"/>
      <w:divBdr>
        <w:top w:val="none" w:sz="0" w:space="0" w:color="auto"/>
        <w:left w:val="none" w:sz="0" w:space="0" w:color="auto"/>
        <w:bottom w:val="none" w:sz="0" w:space="0" w:color="auto"/>
        <w:right w:val="none" w:sz="0" w:space="0" w:color="auto"/>
      </w:divBdr>
    </w:div>
    <w:div w:id="678041082">
      <w:bodyDiv w:val="1"/>
      <w:marLeft w:val="0"/>
      <w:marRight w:val="0"/>
      <w:marTop w:val="0"/>
      <w:marBottom w:val="0"/>
      <w:divBdr>
        <w:top w:val="none" w:sz="0" w:space="0" w:color="auto"/>
        <w:left w:val="none" w:sz="0" w:space="0" w:color="auto"/>
        <w:bottom w:val="none" w:sz="0" w:space="0" w:color="auto"/>
        <w:right w:val="none" w:sz="0" w:space="0" w:color="auto"/>
      </w:divBdr>
      <w:divsChild>
        <w:div w:id="1151753875">
          <w:marLeft w:val="0"/>
          <w:marRight w:val="0"/>
          <w:marTop w:val="0"/>
          <w:marBottom w:val="0"/>
          <w:divBdr>
            <w:top w:val="none" w:sz="0" w:space="0" w:color="auto"/>
            <w:left w:val="none" w:sz="0" w:space="0" w:color="auto"/>
            <w:bottom w:val="none" w:sz="0" w:space="0" w:color="auto"/>
            <w:right w:val="none" w:sz="0" w:space="0" w:color="auto"/>
          </w:divBdr>
          <w:divsChild>
            <w:div w:id="2052070090">
              <w:marLeft w:val="0"/>
              <w:marRight w:val="0"/>
              <w:marTop w:val="0"/>
              <w:marBottom w:val="0"/>
              <w:divBdr>
                <w:top w:val="none" w:sz="0" w:space="0" w:color="auto"/>
                <w:left w:val="none" w:sz="0" w:space="0" w:color="auto"/>
                <w:bottom w:val="none" w:sz="0" w:space="0" w:color="auto"/>
                <w:right w:val="none" w:sz="0" w:space="0" w:color="auto"/>
              </w:divBdr>
              <w:divsChild>
                <w:div w:id="341200855">
                  <w:marLeft w:val="0"/>
                  <w:marRight w:val="0"/>
                  <w:marTop w:val="0"/>
                  <w:marBottom w:val="0"/>
                  <w:divBdr>
                    <w:top w:val="none" w:sz="0" w:space="0" w:color="auto"/>
                    <w:left w:val="none" w:sz="0" w:space="0" w:color="auto"/>
                    <w:bottom w:val="none" w:sz="0" w:space="0" w:color="auto"/>
                    <w:right w:val="none" w:sz="0" w:space="0" w:color="auto"/>
                  </w:divBdr>
                  <w:divsChild>
                    <w:div w:id="16177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7995">
          <w:marLeft w:val="0"/>
          <w:marRight w:val="0"/>
          <w:marTop w:val="0"/>
          <w:marBottom w:val="0"/>
          <w:divBdr>
            <w:top w:val="none" w:sz="0" w:space="0" w:color="auto"/>
            <w:left w:val="none" w:sz="0" w:space="0" w:color="auto"/>
            <w:bottom w:val="none" w:sz="0" w:space="0" w:color="auto"/>
            <w:right w:val="none" w:sz="0" w:space="0" w:color="auto"/>
          </w:divBdr>
          <w:divsChild>
            <w:div w:id="1692950495">
              <w:marLeft w:val="0"/>
              <w:marRight w:val="0"/>
              <w:marTop w:val="0"/>
              <w:marBottom w:val="0"/>
              <w:divBdr>
                <w:top w:val="none" w:sz="0" w:space="0" w:color="auto"/>
                <w:left w:val="none" w:sz="0" w:space="0" w:color="auto"/>
                <w:bottom w:val="none" w:sz="0" w:space="0" w:color="auto"/>
                <w:right w:val="none" w:sz="0" w:space="0" w:color="auto"/>
              </w:divBdr>
              <w:divsChild>
                <w:div w:id="1823351136">
                  <w:marLeft w:val="0"/>
                  <w:marRight w:val="0"/>
                  <w:marTop w:val="0"/>
                  <w:marBottom w:val="0"/>
                  <w:divBdr>
                    <w:top w:val="none" w:sz="0" w:space="0" w:color="auto"/>
                    <w:left w:val="none" w:sz="0" w:space="0" w:color="auto"/>
                    <w:bottom w:val="none" w:sz="0" w:space="0" w:color="auto"/>
                    <w:right w:val="none" w:sz="0" w:space="0" w:color="auto"/>
                  </w:divBdr>
                  <w:divsChild>
                    <w:div w:id="12322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41271">
      <w:bodyDiv w:val="1"/>
      <w:marLeft w:val="0"/>
      <w:marRight w:val="0"/>
      <w:marTop w:val="0"/>
      <w:marBottom w:val="0"/>
      <w:divBdr>
        <w:top w:val="none" w:sz="0" w:space="0" w:color="auto"/>
        <w:left w:val="none" w:sz="0" w:space="0" w:color="auto"/>
        <w:bottom w:val="none" w:sz="0" w:space="0" w:color="auto"/>
        <w:right w:val="none" w:sz="0" w:space="0" w:color="auto"/>
      </w:divBdr>
    </w:div>
    <w:div w:id="681510809">
      <w:bodyDiv w:val="1"/>
      <w:marLeft w:val="0"/>
      <w:marRight w:val="0"/>
      <w:marTop w:val="0"/>
      <w:marBottom w:val="0"/>
      <w:divBdr>
        <w:top w:val="none" w:sz="0" w:space="0" w:color="auto"/>
        <w:left w:val="none" w:sz="0" w:space="0" w:color="auto"/>
        <w:bottom w:val="none" w:sz="0" w:space="0" w:color="auto"/>
        <w:right w:val="none" w:sz="0" w:space="0" w:color="auto"/>
      </w:divBdr>
      <w:divsChild>
        <w:div w:id="41444780">
          <w:marLeft w:val="0"/>
          <w:marRight w:val="0"/>
          <w:marTop w:val="0"/>
          <w:marBottom w:val="0"/>
          <w:divBdr>
            <w:top w:val="none" w:sz="0" w:space="0" w:color="auto"/>
            <w:left w:val="none" w:sz="0" w:space="0" w:color="auto"/>
            <w:bottom w:val="none" w:sz="0" w:space="0" w:color="auto"/>
            <w:right w:val="none" w:sz="0" w:space="0" w:color="auto"/>
          </w:divBdr>
          <w:divsChild>
            <w:div w:id="103502373">
              <w:marLeft w:val="0"/>
              <w:marRight w:val="0"/>
              <w:marTop w:val="0"/>
              <w:marBottom w:val="0"/>
              <w:divBdr>
                <w:top w:val="none" w:sz="0" w:space="0" w:color="auto"/>
                <w:left w:val="none" w:sz="0" w:space="0" w:color="auto"/>
                <w:bottom w:val="none" w:sz="0" w:space="0" w:color="auto"/>
                <w:right w:val="none" w:sz="0" w:space="0" w:color="auto"/>
              </w:divBdr>
              <w:divsChild>
                <w:div w:id="278991206">
                  <w:marLeft w:val="0"/>
                  <w:marRight w:val="0"/>
                  <w:marTop w:val="0"/>
                  <w:marBottom w:val="0"/>
                  <w:divBdr>
                    <w:top w:val="none" w:sz="0" w:space="0" w:color="auto"/>
                    <w:left w:val="none" w:sz="0" w:space="0" w:color="auto"/>
                    <w:bottom w:val="none" w:sz="0" w:space="0" w:color="auto"/>
                    <w:right w:val="none" w:sz="0" w:space="0" w:color="auto"/>
                  </w:divBdr>
                  <w:divsChild>
                    <w:div w:id="1125004112">
                      <w:marLeft w:val="0"/>
                      <w:marRight w:val="0"/>
                      <w:marTop w:val="0"/>
                      <w:marBottom w:val="0"/>
                      <w:divBdr>
                        <w:top w:val="none" w:sz="0" w:space="0" w:color="auto"/>
                        <w:left w:val="none" w:sz="0" w:space="0" w:color="auto"/>
                        <w:bottom w:val="none" w:sz="0" w:space="0" w:color="auto"/>
                        <w:right w:val="none" w:sz="0" w:space="0" w:color="auto"/>
                      </w:divBdr>
                      <w:divsChild>
                        <w:div w:id="1088773442">
                          <w:marLeft w:val="0"/>
                          <w:marRight w:val="0"/>
                          <w:marTop w:val="0"/>
                          <w:marBottom w:val="0"/>
                          <w:divBdr>
                            <w:top w:val="none" w:sz="0" w:space="0" w:color="auto"/>
                            <w:left w:val="none" w:sz="0" w:space="0" w:color="auto"/>
                            <w:bottom w:val="none" w:sz="0" w:space="0" w:color="auto"/>
                            <w:right w:val="none" w:sz="0" w:space="0" w:color="auto"/>
                          </w:divBdr>
                          <w:divsChild>
                            <w:div w:id="1031298893">
                              <w:marLeft w:val="0"/>
                              <w:marRight w:val="0"/>
                              <w:marTop w:val="0"/>
                              <w:marBottom w:val="0"/>
                              <w:divBdr>
                                <w:top w:val="none" w:sz="0" w:space="0" w:color="auto"/>
                                <w:left w:val="none" w:sz="0" w:space="0" w:color="auto"/>
                                <w:bottom w:val="none" w:sz="0" w:space="0" w:color="auto"/>
                                <w:right w:val="none" w:sz="0" w:space="0" w:color="auto"/>
                              </w:divBdr>
                              <w:divsChild>
                                <w:div w:id="1746143511">
                                  <w:marLeft w:val="0"/>
                                  <w:marRight w:val="0"/>
                                  <w:marTop w:val="0"/>
                                  <w:marBottom w:val="0"/>
                                  <w:divBdr>
                                    <w:top w:val="none" w:sz="0" w:space="0" w:color="auto"/>
                                    <w:left w:val="none" w:sz="0" w:space="0" w:color="auto"/>
                                    <w:bottom w:val="none" w:sz="0" w:space="0" w:color="auto"/>
                                    <w:right w:val="none" w:sz="0" w:space="0" w:color="auto"/>
                                  </w:divBdr>
                                  <w:divsChild>
                                    <w:div w:id="1680960369">
                                      <w:marLeft w:val="0"/>
                                      <w:marRight w:val="0"/>
                                      <w:marTop w:val="0"/>
                                      <w:marBottom w:val="0"/>
                                      <w:divBdr>
                                        <w:top w:val="none" w:sz="0" w:space="0" w:color="auto"/>
                                        <w:left w:val="none" w:sz="0" w:space="0" w:color="auto"/>
                                        <w:bottom w:val="none" w:sz="0" w:space="0" w:color="auto"/>
                                        <w:right w:val="none" w:sz="0" w:space="0" w:color="auto"/>
                                      </w:divBdr>
                                      <w:divsChild>
                                        <w:div w:id="1456487481">
                                          <w:marLeft w:val="0"/>
                                          <w:marRight w:val="0"/>
                                          <w:marTop w:val="0"/>
                                          <w:marBottom w:val="0"/>
                                          <w:divBdr>
                                            <w:top w:val="none" w:sz="0" w:space="0" w:color="auto"/>
                                            <w:left w:val="none" w:sz="0" w:space="0" w:color="auto"/>
                                            <w:bottom w:val="none" w:sz="0" w:space="0" w:color="auto"/>
                                            <w:right w:val="none" w:sz="0" w:space="0" w:color="auto"/>
                                          </w:divBdr>
                                          <w:divsChild>
                                            <w:div w:id="1649901488">
                                              <w:marLeft w:val="0"/>
                                              <w:marRight w:val="0"/>
                                              <w:marTop w:val="0"/>
                                              <w:marBottom w:val="0"/>
                                              <w:divBdr>
                                                <w:top w:val="none" w:sz="0" w:space="0" w:color="auto"/>
                                                <w:left w:val="none" w:sz="0" w:space="0" w:color="auto"/>
                                                <w:bottom w:val="none" w:sz="0" w:space="0" w:color="auto"/>
                                                <w:right w:val="none" w:sz="0" w:space="0" w:color="auto"/>
                                              </w:divBdr>
                                              <w:divsChild>
                                                <w:div w:id="1520584151">
                                                  <w:marLeft w:val="0"/>
                                                  <w:marRight w:val="0"/>
                                                  <w:marTop w:val="0"/>
                                                  <w:marBottom w:val="0"/>
                                                  <w:divBdr>
                                                    <w:top w:val="none" w:sz="0" w:space="0" w:color="auto"/>
                                                    <w:left w:val="none" w:sz="0" w:space="0" w:color="auto"/>
                                                    <w:bottom w:val="none" w:sz="0" w:space="0" w:color="auto"/>
                                                    <w:right w:val="none" w:sz="0" w:space="0" w:color="auto"/>
                                                  </w:divBdr>
                                                  <w:divsChild>
                                                    <w:div w:id="265622118">
                                                      <w:marLeft w:val="0"/>
                                                      <w:marRight w:val="0"/>
                                                      <w:marTop w:val="0"/>
                                                      <w:marBottom w:val="0"/>
                                                      <w:divBdr>
                                                        <w:top w:val="none" w:sz="0" w:space="0" w:color="auto"/>
                                                        <w:left w:val="none" w:sz="0" w:space="0" w:color="auto"/>
                                                        <w:bottom w:val="none" w:sz="0" w:space="0" w:color="auto"/>
                                                        <w:right w:val="none" w:sz="0" w:space="0" w:color="auto"/>
                                                      </w:divBdr>
                                                      <w:divsChild>
                                                        <w:div w:id="8985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2928">
                                              <w:marLeft w:val="0"/>
                                              <w:marRight w:val="0"/>
                                              <w:marTop w:val="0"/>
                                              <w:marBottom w:val="0"/>
                                              <w:divBdr>
                                                <w:top w:val="none" w:sz="0" w:space="0" w:color="auto"/>
                                                <w:left w:val="none" w:sz="0" w:space="0" w:color="auto"/>
                                                <w:bottom w:val="none" w:sz="0" w:space="0" w:color="auto"/>
                                                <w:right w:val="none" w:sz="0" w:space="0" w:color="auto"/>
                                              </w:divBdr>
                                              <w:divsChild>
                                                <w:div w:id="1754863089">
                                                  <w:marLeft w:val="0"/>
                                                  <w:marRight w:val="0"/>
                                                  <w:marTop w:val="0"/>
                                                  <w:marBottom w:val="0"/>
                                                  <w:divBdr>
                                                    <w:top w:val="none" w:sz="0" w:space="0" w:color="auto"/>
                                                    <w:left w:val="none" w:sz="0" w:space="0" w:color="auto"/>
                                                    <w:bottom w:val="none" w:sz="0" w:space="0" w:color="auto"/>
                                                    <w:right w:val="none" w:sz="0" w:space="0" w:color="auto"/>
                                                  </w:divBdr>
                                                  <w:divsChild>
                                                    <w:div w:id="744763765">
                                                      <w:marLeft w:val="0"/>
                                                      <w:marRight w:val="0"/>
                                                      <w:marTop w:val="0"/>
                                                      <w:marBottom w:val="0"/>
                                                      <w:divBdr>
                                                        <w:top w:val="none" w:sz="0" w:space="0" w:color="auto"/>
                                                        <w:left w:val="none" w:sz="0" w:space="0" w:color="auto"/>
                                                        <w:bottom w:val="none" w:sz="0" w:space="0" w:color="auto"/>
                                                        <w:right w:val="none" w:sz="0" w:space="0" w:color="auto"/>
                                                      </w:divBdr>
                                                      <w:divsChild>
                                                        <w:div w:id="8408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2825115">
          <w:marLeft w:val="0"/>
          <w:marRight w:val="0"/>
          <w:marTop w:val="0"/>
          <w:marBottom w:val="0"/>
          <w:divBdr>
            <w:top w:val="none" w:sz="0" w:space="0" w:color="auto"/>
            <w:left w:val="none" w:sz="0" w:space="0" w:color="auto"/>
            <w:bottom w:val="none" w:sz="0" w:space="0" w:color="auto"/>
            <w:right w:val="none" w:sz="0" w:space="0" w:color="auto"/>
          </w:divBdr>
          <w:divsChild>
            <w:div w:id="220092748">
              <w:marLeft w:val="0"/>
              <w:marRight w:val="0"/>
              <w:marTop w:val="0"/>
              <w:marBottom w:val="0"/>
              <w:divBdr>
                <w:top w:val="none" w:sz="0" w:space="0" w:color="auto"/>
                <w:left w:val="none" w:sz="0" w:space="0" w:color="auto"/>
                <w:bottom w:val="none" w:sz="0" w:space="0" w:color="auto"/>
                <w:right w:val="none" w:sz="0" w:space="0" w:color="auto"/>
              </w:divBdr>
              <w:divsChild>
                <w:div w:id="770008909">
                  <w:marLeft w:val="0"/>
                  <w:marRight w:val="0"/>
                  <w:marTop w:val="0"/>
                  <w:marBottom w:val="0"/>
                  <w:divBdr>
                    <w:top w:val="none" w:sz="0" w:space="0" w:color="auto"/>
                    <w:left w:val="none" w:sz="0" w:space="0" w:color="auto"/>
                    <w:bottom w:val="none" w:sz="0" w:space="0" w:color="auto"/>
                    <w:right w:val="none" w:sz="0" w:space="0" w:color="auto"/>
                  </w:divBdr>
                  <w:divsChild>
                    <w:div w:id="100223136">
                      <w:marLeft w:val="0"/>
                      <w:marRight w:val="0"/>
                      <w:marTop w:val="0"/>
                      <w:marBottom w:val="0"/>
                      <w:divBdr>
                        <w:top w:val="none" w:sz="0" w:space="0" w:color="auto"/>
                        <w:left w:val="none" w:sz="0" w:space="0" w:color="auto"/>
                        <w:bottom w:val="none" w:sz="0" w:space="0" w:color="auto"/>
                        <w:right w:val="none" w:sz="0" w:space="0" w:color="auto"/>
                      </w:divBdr>
                      <w:divsChild>
                        <w:div w:id="163788420">
                          <w:marLeft w:val="0"/>
                          <w:marRight w:val="0"/>
                          <w:marTop w:val="0"/>
                          <w:marBottom w:val="0"/>
                          <w:divBdr>
                            <w:top w:val="none" w:sz="0" w:space="0" w:color="auto"/>
                            <w:left w:val="none" w:sz="0" w:space="0" w:color="auto"/>
                            <w:bottom w:val="none" w:sz="0" w:space="0" w:color="auto"/>
                            <w:right w:val="none" w:sz="0" w:space="0" w:color="auto"/>
                          </w:divBdr>
                          <w:divsChild>
                            <w:div w:id="641227813">
                              <w:marLeft w:val="0"/>
                              <w:marRight w:val="0"/>
                              <w:marTop w:val="0"/>
                              <w:marBottom w:val="0"/>
                              <w:divBdr>
                                <w:top w:val="none" w:sz="0" w:space="0" w:color="auto"/>
                                <w:left w:val="none" w:sz="0" w:space="0" w:color="auto"/>
                                <w:bottom w:val="none" w:sz="0" w:space="0" w:color="auto"/>
                                <w:right w:val="none" w:sz="0" w:space="0" w:color="auto"/>
                              </w:divBdr>
                              <w:divsChild>
                                <w:div w:id="1821847870">
                                  <w:marLeft w:val="0"/>
                                  <w:marRight w:val="0"/>
                                  <w:marTop w:val="0"/>
                                  <w:marBottom w:val="0"/>
                                  <w:divBdr>
                                    <w:top w:val="none" w:sz="0" w:space="0" w:color="auto"/>
                                    <w:left w:val="none" w:sz="0" w:space="0" w:color="auto"/>
                                    <w:bottom w:val="none" w:sz="0" w:space="0" w:color="auto"/>
                                    <w:right w:val="none" w:sz="0" w:space="0" w:color="auto"/>
                                  </w:divBdr>
                                  <w:divsChild>
                                    <w:div w:id="1683436167">
                                      <w:marLeft w:val="0"/>
                                      <w:marRight w:val="0"/>
                                      <w:marTop w:val="0"/>
                                      <w:marBottom w:val="0"/>
                                      <w:divBdr>
                                        <w:top w:val="none" w:sz="0" w:space="0" w:color="auto"/>
                                        <w:left w:val="none" w:sz="0" w:space="0" w:color="auto"/>
                                        <w:bottom w:val="none" w:sz="0" w:space="0" w:color="auto"/>
                                        <w:right w:val="none" w:sz="0" w:space="0" w:color="auto"/>
                                      </w:divBdr>
                                      <w:divsChild>
                                        <w:div w:id="1578974428">
                                          <w:marLeft w:val="0"/>
                                          <w:marRight w:val="0"/>
                                          <w:marTop w:val="0"/>
                                          <w:marBottom w:val="0"/>
                                          <w:divBdr>
                                            <w:top w:val="none" w:sz="0" w:space="0" w:color="auto"/>
                                            <w:left w:val="none" w:sz="0" w:space="0" w:color="auto"/>
                                            <w:bottom w:val="none" w:sz="0" w:space="0" w:color="auto"/>
                                            <w:right w:val="none" w:sz="0" w:space="0" w:color="auto"/>
                                          </w:divBdr>
                                          <w:divsChild>
                                            <w:div w:id="94981485">
                                              <w:marLeft w:val="0"/>
                                              <w:marRight w:val="0"/>
                                              <w:marTop w:val="0"/>
                                              <w:marBottom w:val="0"/>
                                              <w:divBdr>
                                                <w:top w:val="none" w:sz="0" w:space="0" w:color="auto"/>
                                                <w:left w:val="none" w:sz="0" w:space="0" w:color="auto"/>
                                                <w:bottom w:val="none" w:sz="0" w:space="0" w:color="auto"/>
                                                <w:right w:val="none" w:sz="0" w:space="0" w:color="auto"/>
                                              </w:divBdr>
                                              <w:divsChild>
                                                <w:div w:id="6400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566805">
      <w:bodyDiv w:val="1"/>
      <w:marLeft w:val="0"/>
      <w:marRight w:val="0"/>
      <w:marTop w:val="0"/>
      <w:marBottom w:val="0"/>
      <w:divBdr>
        <w:top w:val="none" w:sz="0" w:space="0" w:color="auto"/>
        <w:left w:val="none" w:sz="0" w:space="0" w:color="auto"/>
        <w:bottom w:val="none" w:sz="0" w:space="0" w:color="auto"/>
        <w:right w:val="none" w:sz="0" w:space="0" w:color="auto"/>
      </w:divBdr>
    </w:div>
    <w:div w:id="698286771">
      <w:bodyDiv w:val="1"/>
      <w:marLeft w:val="0"/>
      <w:marRight w:val="0"/>
      <w:marTop w:val="0"/>
      <w:marBottom w:val="0"/>
      <w:divBdr>
        <w:top w:val="none" w:sz="0" w:space="0" w:color="auto"/>
        <w:left w:val="none" w:sz="0" w:space="0" w:color="auto"/>
        <w:bottom w:val="none" w:sz="0" w:space="0" w:color="auto"/>
        <w:right w:val="none" w:sz="0" w:space="0" w:color="auto"/>
      </w:divBdr>
    </w:div>
    <w:div w:id="717240514">
      <w:bodyDiv w:val="1"/>
      <w:marLeft w:val="0"/>
      <w:marRight w:val="0"/>
      <w:marTop w:val="0"/>
      <w:marBottom w:val="0"/>
      <w:divBdr>
        <w:top w:val="none" w:sz="0" w:space="0" w:color="auto"/>
        <w:left w:val="none" w:sz="0" w:space="0" w:color="auto"/>
        <w:bottom w:val="none" w:sz="0" w:space="0" w:color="auto"/>
        <w:right w:val="none" w:sz="0" w:space="0" w:color="auto"/>
      </w:divBdr>
      <w:divsChild>
        <w:div w:id="1419132074">
          <w:marLeft w:val="0"/>
          <w:marRight w:val="0"/>
          <w:marTop w:val="0"/>
          <w:marBottom w:val="0"/>
          <w:divBdr>
            <w:top w:val="none" w:sz="0" w:space="0" w:color="auto"/>
            <w:left w:val="none" w:sz="0" w:space="0" w:color="auto"/>
            <w:bottom w:val="none" w:sz="0" w:space="0" w:color="auto"/>
            <w:right w:val="none" w:sz="0" w:space="0" w:color="auto"/>
          </w:divBdr>
          <w:divsChild>
            <w:div w:id="43456282">
              <w:marLeft w:val="0"/>
              <w:marRight w:val="0"/>
              <w:marTop w:val="0"/>
              <w:marBottom w:val="0"/>
              <w:divBdr>
                <w:top w:val="none" w:sz="0" w:space="0" w:color="auto"/>
                <w:left w:val="none" w:sz="0" w:space="0" w:color="auto"/>
                <w:bottom w:val="none" w:sz="0" w:space="0" w:color="auto"/>
                <w:right w:val="none" w:sz="0" w:space="0" w:color="auto"/>
              </w:divBdr>
              <w:divsChild>
                <w:div w:id="108743355">
                  <w:marLeft w:val="0"/>
                  <w:marRight w:val="0"/>
                  <w:marTop w:val="0"/>
                  <w:marBottom w:val="0"/>
                  <w:divBdr>
                    <w:top w:val="none" w:sz="0" w:space="0" w:color="auto"/>
                    <w:left w:val="none" w:sz="0" w:space="0" w:color="auto"/>
                    <w:bottom w:val="none" w:sz="0" w:space="0" w:color="auto"/>
                    <w:right w:val="none" w:sz="0" w:space="0" w:color="auto"/>
                  </w:divBdr>
                  <w:divsChild>
                    <w:div w:id="1590039507">
                      <w:marLeft w:val="0"/>
                      <w:marRight w:val="0"/>
                      <w:marTop w:val="0"/>
                      <w:marBottom w:val="0"/>
                      <w:divBdr>
                        <w:top w:val="none" w:sz="0" w:space="0" w:color="auto"/>
                        <w:left w:val="none" w:sz="0" w:space="0" w:color="auto"/>
                        <w:bottom w:val="none" w:sz="0" w:space="0" w:color="auto"/>
                        <w:right w:val="none" w:sz="0" w:space="0" w:color="auto"/>
                      </w:divBdr>
                      <w:divsChild>
                        <w:div w:id="716859435">
                          <w:marLeft w:val="0"/>
                          <w:marRight w:val="0"/>
                          <w:marTop w:val="0"/>
                          <w:marBottom w:val="0"/>
                          <w:divBdr>
                            <w:top w:val="none" w:sz="0" w:space="0" w:color="auto"/>
                            <w:left w:val="none" w:sz="0" w:space="0" w:color="auto"/>
                            <w:bottom w:val="none" w:sz="0" w:space="0" w:color="auto"/>
                            <w:right w:val="none" w:sz="0" w:space="0" w:color="auto"/>
                          </w:divBdr>
                          <w:divsChild>
                            <w:div w:id="1000350810">
                              <w:marLeft w:val="0"/>
                              <w:marRight w:val="0"/>
                              <w:marTop w:val="0"/>
                              <w:marBottom w:val="0"/>
                              <w:divBdr>
                                <w:top w:val="none" w:sz="0" w:space="0" w:color="auto"/>
                                <w:left w:val="none" w:sz="0" w:space="0" w:color="auto"/>
                                <w:bottom w:val="none" w:sz="0" w:space="0" w:color="auto"/>
                                <w:right w:val="none" w:sz="0" w:space="0" w:color="auto"/>
                              </w:divBdr>
                              <w:divsChild>
                                <w:div w:id="1026520170">
                                  <w:marLeft w:val="0"/>
                                  <w:marRight w:val="0"/>
                                  <w:marTop w:val="0"/>
                                  <w:marBottom w:val="0"/>
                                  <w:divBdr>
                                    <w:top w:val="none" w:sz="0" w:space="0" w:color="auto"/>
                                    <w:left w:val="none" w:sz="0" w:space="0" w:color="auto"/>
                                    <w:bottom w:val="none" w:sz="0" w:space="0" w:color="auto"/>
                                    <w:right w:val="none" w:sz="0" w:space="0" w:color="auto"/>
                                  </w:divBdr>
                                  <w:divsChild>
                                    <w:div w:id="994917352">
                                      <w:marLeft w:val="0"/>
                                      <w:marRight w:val="0"/>
                                      <w:marTop w:val="0"/>
                                      <w:marBottom w:val="0"/>
                                      <w:divBdr>
                                        <w:top w:val="none" w:sz="0" w:space="0" w:color="auto"/>
                                        <w:left w:val="none" w:sz="0" w:space="0" w:color="auto"/>
                                        <w:bottom w:val="none" w:sz="0" w:space="0" w:color="auto"/>
                                        <w:right w:val="none" w:sz="0" w:space="0" w:color="auto"/>
                                      </w:divBdr>
                                      <w:divsChild>
                                        <w:div w:id="1587956336">
                                          <w:marLeft w:val="0"/>
                                          <w:marRight w:val="0"/>
                                          <w:marTop w:val="0"/>
                                          <w:marBottom w:val="0"/>
                                          <w:divBdr>
                                            <w:top w:val="none" w:sz="0" w:space="0" w:color="auto"/>
                                            <w:left w:val="none" w:sz="0" w:space="0" w:color="auto"/>
                                            <w:bottom w:val="none" w:sz="0" w:space="0" w:color="auto"/>
                                            <w:right w:val="none" w:sz="0" w:space="0" w:color="auto"/>
                                          </w:divBdr>
                                          <w:divsChild>
                                            <w:div w:id="1376659422">
                                              <w:marLeft w:val="0"/>
                                              <w:marRight w:val="0"/>
                                              <w:marTop w:val="0"/>
                                              <w:marBottom w:val="0"/>
                                              <w:divBdr>
                                                <w:top w:val="none" w:sz="0" w:space="0" w:color="auto"/>
                                                <w:left w:val="none" w:sz="0" w:space="0" w:color="auto"/>
                                                <w:bottom w:val="none" w:sz="0" w:space="0" w:color="auto"/>
                                                <w:right w:val="none" w:sz="0" w:space="0" w:color="auto"/>
                                              </w:divBdr>
                                              <w:divsChild>
                                                <w:div w:id="1945992306">
                                                  <w:marLeft w:val="0"/>
                                                  <w:marRight w:val="0"/>
                                                  <w:marTop w:val="0"/>
                                                  <w:marBottom w:val="0"/>
                                                  <w:divBdr>
                                                    <w:top w:val="none" w:sz="0" w:space="0" w:color="auto"/>
                                                    <w:left w:val="none" w:sz="0" w:space="0" w:color="auto"/>
                                                    <w:bottom w:val="none" w:sz="0" w:space="0" w:color="auto"/>
                                                    <w:right w:val="none" w:sz="0" w:space="0" w:color="auto"/>
                                                  </w:divBdr>
                                                  <w:divsChild>
                                                    <w:div w:id="1693722309">
                                                      <w:marLeft w:val="0"/>
                                                      <w:marRight w:val="0"/>
                                                      <w:marTop w:val="0"/>
                                                      <w:marBottom w:val="0"/>
                                                      <w:divBdr>
                                                        <w:top w:val="none" w:sz="0" w:space="0" w:color="auto"/>
                                                        <w:left w:val="none" w:sz="0" w:space="0" w:color="auto"/>
                                                        <w:bottom w:val="none" w:sz="0" w:space="0" w:color="auto"/>
                                                        <w:right w:val="none" w:sz="0" w:space="0" w:color="auto"/>
                                                      </w:divBdr>
                                                      <w:divsChild>
                                                        <w:div w:id="15277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6072">
                                              <w:marLeft w:val="0"/>
                                              <w:marRight w:val="0"/>
                                              <w:marTop w:val="0"/>
                                              <w:marBottom w:val="0"/>
                                              <w:divBdr>
                                                <w:top w:val="none" w:sz="0" w:space="0" w:color="auto"/>
                                                <w:left w:val="none" w:sz="0" w:space="0" w:color="auto"/>
                                                <w:bottom w:val="none" w:sz="0" w:space="0" w:color="auto"/>
                                                <w:right w:val="none" w:sz="0" w:space="0" w:color="auto"/>
                                              </w:divBdr>
                                              <w:divsChild>
                                                <w:div w:id="2026975578">
                                                  <w:marLeft w:val="0"/>
                                                  <w:marRight w:val="0"/>
                                                  <w:marTop w:val="0"/>
                                                  <w:marBottom w:val="0"/>
                                                  <w:divBdr>
                                                    <w:top w:val="none" w:sz="0" w:space="0" w:color="auto"/>
                                                    <w:left w:val="none" w:sz="0" w:space="0" w:color="auto"/>
                                                    <w:bottom w:val="none" w:sz="0" w:space="0" w:color="auto"/>
                                                    <w:right w:val="none" w:sz="0" w:space="0" w:color="auto"/>
                                                  </w:divBdr>
                                                  <w:divsChild>
                                                    <w:div w:id="318995998">
                                                      <w:marLeft w:val="0"/>
                                                      <w:marRight w:val="0"/>
                                                      <w:marTop w:val="0"/>
                                                      <w:marBottom w:val="0"/>
                                                      <w:divBdr>
                                                        <w:top w:val="none" w:sz="0" w:space="0" w:color="auto"/>
                                                        <w:left w:val="none" w:sz="0" w:space="0" w:color="auto"/>
                                                        <w:bottom w:val="none" w:sz="0" w:space="0" w:color="auto"/>
                                                        <w:right w:val="none" w:sz="0" w:space="0" w:color="auto"/>
                                                      </w:divBdr>
                                                      <w:divsChild>
                                                        <w:div w:id="2821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934545">
          <w:marLeft w:val="0"/>
          <w:marRight w:val="0"/>
          <w:marTop w:val="0"/>
          <w:marBottom w:val="0"/>
          <w:divBdr>
            <w:top w:val="none" w:sz="0" w:space="0" w:color="auto"/>
            <w:left w:val="none" w:sz="0" w:space="0" w:color="auto"/>
            <w:bottom w:val="none" w:sz="0" w:space="0" w:color="auto"/>
            <w:right w:val="none" w:sz="0" w:space="0" w:color="auto"/>
          </w:divBdr>
          <w:divsChild>
            <w:div w:id="374542676">
              <w:marLeft w:val="0"/>
              <w:marRight w:val="0"/>
              <w:marTop w:val="0"/>
              <w:marBottom w:val="0"/>
              <w:divBdr>
                <w:top w:val="none" w:sz="0" w:space="0" w:color="auto"/>
                <w:left w:val="none" w:sz="0" w:space="0" w:color="auto"/>
                <w:bottom w:val="none" w:sz="0" w:space="0" w:color="auto"/>
                <w:right w:val="none" w:sz="0" w:space="0" w:color="auto"/>
              </w:divBdr>
              <w:divsChild>
                <w:div w:id="2006127898">
                  <w:marLeft w:val="0"/>
                  <w:marRight w:val="0"/>
                  <w:marTop w:val="0"/>
                  <w:marBottom w:val="0"/>
                  <w:divBdr>
                    <w:top w:val="none" w:sz="0" w:space="0" w:color="auto"/>
                    <w:left w:val="none" w:sz="0" w:space="0" w:color="auto"/>
                    <w:bottom w:val="none" w:sz="0" w:space="0" w:color="auto"/>
                    <w:right w:val="none" w:sz="0" w:space="0" w:color="auto"/>
                  </w:divBdr>
                  <w:divsChild>
                    <w:div w:id="1793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321881">
      <w:bodyDiv w:val="1"/>
      <w:marLeft w:val="0"/>
      <w:marRight w:val="0"/>
      <w:marTop w:val="0"/>
      <w:marBottom w:val="0"/>
      <w:divBdr>
        <w:top w:val="none" w:sz="0" w:space="0" w:color="auto"/>
        <w:left w:val="none" w:sz="0" w:space="0" w:color="auto"/>
        <w:bottom w:val="none" w:sz="0" w:space="0" w:color="auto"/>
        <w:right w:val="none" w:sz="0" w:space="0" w:color="auto"/>
      </w:divBdr>
    </w:div>
    <w:div w:id="766540868">
      <w:bodyDiv w:val="1"/>
      <w:marLeft w:val="0"/>
      <w:marRight w:val="0"/>
      <w:marTop w:val="0"/>
      <w:marBottom w:val="0"/>
      <w:divBdr>
        <w:top w:val="none" w:sz="0" w:space="0" w:color="auto"/>
        <w:left w:val="none" w:sz="0" w:space="0" w:color="auto"/>
        <w:bottom w:val="none" w:sz="0" w:space="0" w:color="auto"/>
        <w:right w:val="none" w:sz="0" w:space="0" w:color="auto"/>
      </w:divBdr>
    </w:div>
    <w:div w:id="770706890">
      <w:bodyDiv w:val="1"/>
      <w:marLeft w:val="0"/>
      <w:marRight w:val="0"/>
      <w:marTop w:val="0"/>
      <w:marBottom w:val="0"/>
      <w:divBdr>
        <w:top w:val="none" w:sz="0" w:space="0" w:color="auto"/>
        <w:left w:val="none" w:sz="0" w:space="0" w:color="auto"/>
        <w:bottom w:val="none" w:sz="0" w:space="0" w:color="auto"/>
        <w:right w:val="none" w:sz="0" w:space="0" w:color="auto"/>
      </w:divBdr>
    </w:div>
    <w:div w:id="773398186">
      <w:bodyDiv w:val="1"/>
      <w:marLeft w:val="0"/>
      <w:marRight w:val="0"/>
      <w:marTop w:val="0"/>
      <w:marBottom w:val="0"/>
      <w:divBdr>
        <w:top w:val="none" w:sz="0" w:space="0" w:color="auto"/>
        <w:left w:val="none" w:sz="0" w:space="0" w:color="auto"/>
        <w:bottom w:val="none" w:sz="0" w:space="0" w:color="auto"/>
        <w:right w:val="none" w:sz="0" w:space="0" w:color="auto"/>
      </w:divBdr>
    </w:div>
    <w:div w:id="775441960">
      <w:bodyDiv w:val="1"/>
      <w:marLeft w:val="0"/>
      <w:marRight w:val="0"/>
      <w:marTop w:val="0"/>
      <w:marBottom w:val="0"/>
      <w:divBdr>
        <w:top w:val="none" w:sz="0" w:space="0" w:color="auto"/>
        <w:left w:val="none" w:sz="0" w:space="0" w:color="auto"/>
        <w:bottom w:val="none" w:sz="0" w:space="0" w:color="auto"/>
        <w:right w:val="none" w:sz="0" w:space="0" w:color="auto"/>
      </w:divBdr>
    </w:div>
    <w:div w:id="781605392">
      <w:bodyDiv w:val="1"/>
      <w:marLeft w:val="0"/>
      <w:marRight w:val="0"/>
      <w:marTop w:val="0"/>
      <w:marBottom w:val="0"/>
      <w:divBdr>
        <w:top w:val="none" w:sz="0" w:space="0" w:color="auto"/>
        <w:left w:val="none" w:sz="0" w:space="0" w:color="auto"/>
        <w:bottom w:val="none" w:sz="0" w:space="0" w:color="auto"/>
        <w:right w:val="none" w:sz="0" w:space="0" w:color="auto"/>
      </w:divBdr>
    </w:div>
    <w:div w:id="787435294">
      <w:bodyDiv w:val="1"/>
      <w:marLeft w:val="0"/>
      <w:marRight w:val="0"/>
      <w:marTop w:val="0"/>
      <w:marBottom w:val="0"/>
      <w:divBdr>
        <w:top w:val="none" w:sz="0" w:space="0" w:color="auto"/>
        <w:left w:val="none" w:sz="0" w:space="0" w:color="auto"/>
        <w:bottom w:val="none" w:sz="0" w:space="0" w:color="auto"/>
        <w:right w:val="none" w:sz="0" w:space="0" w:color="auto"/>
      </w:divBdr>
    </w:div>
    <w:div w:id="792292276">
      <w:bodyDiv w:val="1"/>
      <w:marLeft w:val="0"/>
      <w:marRight w:val="0"/>
      <w:marTop w:val="0"/>
      <w:marBottom w:val="0"/>
      <w:divBdr>
        <w:top w:val="none" w:sz="0" w:space="0" w:color="auto"/>
        <w:left w:val="none" w:sz="0" w:space="0" w:color="auto"/>
        <w:bottom w:val="none" w:sz="0" w:space="0" w:color="auto"/>
        <w:right w:val="none" w:sz="0" w:space="0" w:color="auto"/>
      </w:divBdr>
    </w:div>
    <w:div w:id="798498098">
      <w:bodyDiv w:val="1"/>
      <w:marLeft w:val="0"/>
      <w:marRight w:val="0"/>
      <w:marTop w:val="0"/>
      <w:marBottom w:val="0"/>
      <w:divBdr>
        <w:top w:val="none" w:sz="0" w:space="0" w:color="auto"/>
        <w:left w:val="none" w:sz="0" w:space="0" w:color="auto"/>
        <w:bottom w:val="none" w:sz="0" w:space="0" w:color="auto"/>
        <w:right w:val="none" w:sz="0" w:space="0" w:color="auto"/>
      </w:divBdr>
    </w:div>
    <w:div w:id="801574963">
      <w:bodyDiv w:val="1"/>
      <w:marLeft w:val="0"/>
      <w:marRight w:val="0"/>
      <w:marTop w:val="0"/>
      <w:marBottom w:val="0"/>
      <w:divBdr>
        <w:top w:val="none" w:sz="0" w:space="0" w:color="auto"/>
        <w:left w:val="none" w:sz="0" w:space="0" w:color="auto"/>
        <w:bottom w:val="none" w:sz="0" w:space="0" w:color="auto"/>
        <w:right w:val="none" w:sz="0" w:space="0" w:color="auto"/>
      </w:divBdr>
    </w:div>
    <w:div w:id="815726830">
      <w:bodyDiv w:val="1"/>
      <w:marLeft w:val="0"/>
      <w:marRight w:val="0"/>
      <w:marTop w:val="0"/>
      <w:marBottom w:val="0"/>
      <w:divBdr>
        <w:top w:val="none" w:sz="0" w:space="0" w:color="auto"/>
        <w:left w:val="none" w:sz="0" w:space="0" w:color="auto"/>
        <w:bottom w:val="none" w:sz="0" w:space="0" w:color="auto"/>
        <w:right w:val="none" w:sz="0" w:space="0" w:color="auto"/>
      </w:divBdr>
    </w:div>
    <w:div w:id="819227423">
      <w:bodyDiv w:val="1"/>
      <w:marLeft w:val="0"/>
      <w:marRight w:val="0"/>
      <w:marTop w:val="0"/>
      <w:marBottom w:val="0"/>
      <w:divBdr>
        <w:top w:val="none" w:sz="0" w:space="0" w:color="auto"/>
        <w:left w:val="none" w:sz="0" w:space="0" w:color="auto"/>
        <w:bottom w:val="none" w:sz="0" w:space="0" w:color="auto"/>
        <w:right w:val="none" w:sz="0" w:space="0" w:color="auto"/>
      </w:divBdr>
    </w:div>
    <w:div w:id="862014624">
      <w:bodyDiv w:val="1"/>
      <w:marLeft w:val="0"/>
      <w:marRight w:val="0"/>
      <w:marTop w:val="0"/>
      <w:marBottom w:val="0"/>
      <w:divBdr>
        <w:top w:val="none" w:sz="0" w:space="0" w:color="auto"/>
        <w:left w:val="none" w:sz="0" w:space="0" w:color="auto"/>
        <w:bottom w:val="none" w:sz="0" w:space="0" w:color="auto"/>
        <w:right w:val="none" w:sz="0" w:space="0" w:color="auto"/>
      </w:divBdr>
      <w:divsChild>
        <w:div w:id="1443383065">
          <w:marLeft w:val="0"/>
          <w:marRight w:val="0"/>
          <w:marTop w:val="0"/>
          <w:marBottom w:val="0"/>
          <w:divBdr>
            <w:top w:val="none" w:sz="0" w:space="0" w:color="auto"/>
            <w:left w:val="none" w:sz="0" w:space="0" w:color="auto"/>
            <w:bottom w:val="none" w:sz="0" w:space="0" w:color="auto"/>
            <w:right w:val="none" w:sz="0" w:space="0" w:color="auto"/>
          </w:divBdr>
          <w:divsChild>
            <w:div w:id="1702584599">
              <w:marLeft w:val="0"/>
              <w:marRight w:val="0"/>
              <w:marTop w:val="0"/>
              <w:marBottom w:val="0"/>
              <w:divBdr>
                <w:top w:val="none" w:sz="0" w:space="0" w:color="auto"/>
                <w:left w:val="none" w:sz="0" w:space="0" w:color="auto"/>
                <w:bottom w:val="none" w:sz="0" w:space="0" w:color="auto"/>
                <w:right w:val="none" w:sz="0" w:space="0" w:color="auto"/>
              </w:divBdr>
              <w:divsChild>
                <w:div w:id="1365910493">
                  <w:marLeft w:val="0"/>
                  <w:marRight w:val="0"/>
                  <w:marTop w:val="0"/>
                  <w:marBottom w:val="0"/>
                  <w:divBdr>
                    <w:top w:val="none" w:sz="0" w:space="0" w:color="auto"/>
                    <w:left w:val="none" w:sz="0" w:space="0" w:color="auto"/>
                    <w:bottom w:val="none" w:sz="0" w:space="0" w:color="auto"/>
                    <w:right w:val="none" w:sz="0" w:space="0" w:color="auto"/>
                  </w:divBdr>
                  <w:divsChild>
                    <w:div w:id="145963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0046">
          <w:marLeft w:val="0"/>
          <w:marRight w:val="0"/>
          <w:marTop w:val="0"/>
          <w:marBottom w:val="0"/>
          <w:divBdr>
            <w:top w:val="none" w:sz="0" w:space="0" w:color="auto"/>
            <w:left w:val="none" w:sz="0" w:space="0" w:color="auto"/>
            <w:bottom w:val="none" w:sz="0" w:space="0" w:color="auto"/>
            <w:right w:val="none" w:sz="0" w:space="0" w:color="auto"/>
          </w:divBdr>
          <w:divsChild>
            <w:div w:id="1525054541">
              <w:marLeft w:val="0"/>
              <w:marRight w:val="0"/>
              <w:marTop w:val="0"/>
              <w:marBottom w:val="0"/>
              <w:divBdr>
                <w:top w:val="none" w:sz="0" w:space="0" w:color="auto"/>
                <w:left w:val="none" w:sz="0" w:space="0" w:color="auto"/>
                <w:bottom w:val="none" w:sz="0" w:space="0" w:color="auto"/>
                <w:right w:val="none" w:sz="0" w:space="0" w:color="auto"/>
              </w:divBdr>
              <w:divsChild>
                <w:div w:id="673412176">
                  <w:marLeft w:val="0"/>
                  <w:marRight w:val="0"/>
                  <w:marTop w:val="0"/>
                  <w:marBottom w:val="0"/>
                  <w:divBdr>
                    <w:top w:val="none" w:sz="0" w:space="0" w:color="auto"/>
                    <w:left w:val="none" w:sz="0" w:space="0" w:color="auto"/>
                    <w:bottom w:val="none" w:sz="0" w:space="0" w:color="auto"/>
                    <w:right w:val="none" w:sz="0" w:space="0" w:color="auto"/>
                  </w:divBdr>
                  <w:divsChild>
                    <w:div w:id="6326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135933">
      <w:bodyDiv w:val="1"/>
      <w:marLeft w:val="0"/>
      <w:marRight w:val="0"/>
      <w:marTop w:val="0"/>
      <w:marBottom w:val="0"/>
      <w:divBdr>
        <w:top w:val="none" w:sz="0" w:space="0" w:color="auto"/>
        <w:left w:val="none" w:sz="0" w:space="0" w:color="auto"/>
        <w:bottom w:val="none" w:sz="0" w:space="0" w:color="auto"/>
        <w:right w:val="none" w:sz="0" w:space="0" w:color="auto"/>
      </w:divBdr>
    </w:div>
    <w:div w:id="870069704">
      <w:bodyDiv w:val="1"/>
      <w:marLeft w:val="0"/>
      <w:marRight w:val="0"/>
      <w:marTop w:val="0"/>
      <w:marBottom w:val="0"/>
      <w:divBdr>
        <w:top w:val="none" w:sz="0" w:space="0" w:color="auto"/>
        <w:left w:val="none" w:sz="0" w:space="0" w:color="auto"/>
        <w:bottom w:val="none" w:sz="0" w:space="0" w:color="auto"/>
        <w:right w:val="none" w:sz="0" w:space="0" w:color="auto"/>
      </w:divBdr>
      <w:divsChild>
        <w:div w:id="643969679">
          <w:marLeft w:val="0"/>
          <w:marRight w:val="0"/>
          <w:marTop w:val="0"/>
          <w:marBottom w:val="0"/>
          <w:divBdr>
            <w:top w:val="none" w:sz="0" w:space="0" w:color="auto"/>
            <w:left w:val="none" w:sz="0" w:space="0" w:color="auto"/>
            <w:bottom w:val="none" w:sz="0" w:space="0" w:color="auto"/>
            <w:right w:val="none" w:sz="0" w:space="0" w:color="auto"/>
          </w:divBdr>
          <w:divsChild>
            <w:div w:id="1792550205">
              <w:marLeft w:val="0"/>
              <w:marRight w:val="0"/>
              <w:marTop w:val="0"/>
              <w:marBottom w:val="0"/>
              <w:divBdr>
                <w:top w:val="none" w:sz="0" w:space="0" w:color="auto"/>
                <w:left w:val="none" w:sz="0" w:space="0" w:color="auto"/>
                <w:bottom w:val="none" w:sz="0" w:space="0" w:color="auto"/>
                <w:right w:val="none" w:sz="0" w:space="0" w:color="auto"/>
              </w:divBdr>
              <w:divsChild>
                <w:div w:id="1423065345">
                  <w:marLeft w:val="0"/>
                  <w:marRight w:val="0"/>
                  <w:marTop w:val="0"/>
                  <w:marBottom w:val="0"/>
                  <w:divBdr>
                    <w:top w:val="none" w:sz="0" w:space="0" w:color="auto"/>
                    <w:left w:val="none" w:sz="0" w:space="0" w:color="auto"/>
                    <w:bottom w:val="none" w:sz="0" w:space="0" w:color="auto"/>
                    <w:right w:val="none" w:sz="0" w:space="0" w:color="auto"/>
                  </w:divBdr>
                  <w:divsChild>
                    <w:div w:id="8988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39860">
          <w:marLeft w:val="0"/>
          <w:marRight w:val="0"/>
          <w:marTop w:val="0"/>
          <w:marBottom w:val="0"/>
          <w:divBdr>
            <w:top w:val="none" w:sz="0" w:space="0" w:color="auto"/>
            <w:left w:val="none" w:sz="0" w:space="0" w:color="auto"/>
            <w:bottom w:val="none" w:sz="0" w:space="0" w:color="auto"/>
            <w:right w:val="none" w:sz="0" w:space="0" w:color="auto"/>
          </w:divBdr>
          <w:divsChild>
            <w:div w:id="423187991">
              <w:marLeft w:val="0"/>
              <w:marRight w:val="0"/>
              <w:marTop w:val="0"/>
              <w:marBottom w:val="0"/>
              <w:divBdr>
                <w:top w:val="none" w:sz="0" w:space="0" w:color="auto"/>
                <w:left w:val="none" w:sz="0" w:space="0" w:color="auto"/>
                <w:bottom w:val="none" w:sz="0" w:space="0" w:color="auto"/>
                <w:right w:val="none" w:sz="0" w:space="0" w:color="auto"/>
              </w:divBdr>
              <w:divsChild>
                <w:div w:id="629019747">
                  <w:marLeft w:val="0"/>
                  <w:marRight w:val="0"/>
                  <w:marTop w:val="0"/>
                  <w:marBottom w:val="0"/>
                  <w:divBdr>
                    <w:top w:val="none" w:sz="0" w:space="0" w:color="auto"/>
                    <w:left w:val="none" w:sz="0" w:space="0" w:color="auto"/>
                    <w:bottom w:val="none" w:sz="0" w:space="0" w:color="auto"/>
                    <w:right w:val="none" w:sz="0" w:space="0" w:color="auto"/>
                  </w:divBdr>
                  <w:divsChild>
                    <w:div w:id="72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111588">
      <w:bodyDiv w:val="1"/>
      <w:marLeft w:val="0"/>
      <w:marRight w:val="0"/>
      <w:marTop w:val="0"/>
      <w:marBottom w:val="0"/>
      <w:divBdr>
        <w:top w:val="none" w:sz="0" w:space="0" w:color="auto"/>
        <w:left w:val="none" w:sz="0" w:space="0" w:color="auto"/>
        <w:bottom w:val="none" w:sz="0" w:space="0" w:color="auto"/>
        <w:right w:val="none" w:sz="0" w:space="0" w:color="auto"/>
      </w:divBdr>
    </w:div>
    <w:div w:id="880288111">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15092682">
      <w:bodyDiv w:val="1"/>
      <w:marLeft w:val="0"/>
      <w:marRight w:val="0"/>
      <w:marTop w:val="0"/>
      <w:marBottom w:val="0"/>
      <w:divBdr>
        <w:top w:val="none" w:sz="0" w:space="0" w:color="auto"/>
        <w:left w:val="none" w:sz="0" w:space="0" w:color="auto"/>
        <w:bottom w:val="none" w:sz="0" w:space="0" w:color="auto"/>
        <w:right w:val="none" w:sz="0" w:space="0" w:color="auto"/>
      </w:divBdr>
    </w:div>
    <w:div w:id="928470540">
      <w:bodyDiv w:val="1"/>
      <w:marLeft w:val="0"/>
      <w:marRight w:val="0"/>
      <w:marTop w:val="0"/>
      <w:marBottom w:val="0"/>
      <w:divBdr>
        <w:top w:val="none" w:sz="0" w:space="0" w:color="auto"/>
        <w:left w:val="none" w:sz="0" w:space="0" w:color="auto"/>
        <w:bottom w:val="none" w:sz="0" w:space="0" w:color="auto"/>
        <w:right w:val="none" w:sz="0" w:space="0" w:color="auto"/>
      </w:divBdr>
    </w:div>
    <w:div w:id="938757593">
      <w:bodyDiv w:val="1"/>
      <w:marLeft w:val="0"/>
      <w:marRight w:val="0"/>
      <w:marTop w:val="0"/>
      <w:marBottom w:val="0"/>
      <w:divBdr>
        <w:top w:val="none" w:sz="0" w:space="0" w:color="auto"/>
        <w:left w:val="none" w:sz="0" w:space="0" w:color="auto"/>
        <w:bottom w:val="none" w:sz="0" w:space="0" w:color="auto"/>
        <w:right w:val="none" w:sz="0" w:space="0" w:color="auto"/>
      </w:divBdr>
    </w:div>
    <w:div w:id="940339140">
      <w:bodyDiv w:val="1"/>
      <w:marLeft w:val="0"/>
      <w:marRight w:val="0"/>
      <w:marTop w:val="0"/>
      <w:marBottom w:val="0"/>
      <w:divBdr>
        <w:top w:val="none" w:sz="0" w:space="0" w:color="auto"/>
        <w:left w:val="none" w:sz="0" w:space="0" w:color="auto"/>
        <w:bottom w:val="none" w:sz="0" w:space="0" w:color="auto"/>
        <w:right w:val="none" w:sz="0" w:space="0" w:color="auto"/>
      </w:divBdr>
      <w:divsChild>
        <w:div w:id="491020228">
          <w:marLeft w:val="0"/>
          <w:marRight w:val="0"/>
          <w:marTop w:val="0"/>
          <w:marBottom w:val="0"/>
          <w:divBdr>
            <w:top w:val="none" w:sz="0" w:space="0" w:color="auto"/>
            <w:left w:val="none" w:sz="0" w:space="0" w:color="auto"/>
            <w:bottom w:val="none" w:sz="0" w:space="0" w:color="auto"/>
            <w:right w:val="none" w:sz="0" w:space="0" w:color="auto"/>
          </w:divBdr>
          <w:divsChild>
            <w:div w:id="156698668">
              <w:marLeft w:val="0"/>
              <w:marRight w:val="0"/>
              <w:marTop w:val="0"/>
              <w:marBottom w:val="0"/>
              <w:divBdr>
                <w:top w:val="none" w:sz="0" w:space="0" w:color="auto"/>
                <w:left w:val="none" w:sz="0" w:space="0" w:color="auto"/>
                <w:bottom w:val="none" w:sz="0" w:space="0" w:color="auto"/>
                <w:right w:val="none" w:sz="0" w:space="0" w:color="auto"/>
              </w:divBdr>
              <w:divsChild>
                <w:div w:id="1306203891">
                  <w:marLeft w:val="0"/>
                  <w:marRight w:val="0"/>
                  <w:marTop w:val="0"/>
                  <w:marBottom w:val="0"/>
                  <w:divBdr>
                    <w:top w:val="none" w:sz="0" w:space="0" w:color="auto"/>
                    <w:left w:val="none" w:sz="0" w:space="0" w:color="auto"/>
                    <w:bottom w:val="none" w:sz="0" w:space="0" w:color="auto"/>
                    <w:right w:val="none" w:sz="0" w:space="0" w:color="auto"/>
                  </w:divBdr>
                  <w:divsChild>
                    <w:div w:id="1193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50639">
          <w:marLeft w:val="0"/>
          <w:marRight w:val="0"/>
          <w:marTop w:val="0"/>
          <w:marBottom w:val="0"/>
          <w:divBdr>
            <w:top w:val="none" w:sz="0" w:space="0" w:color="auto"/>
            <w:left w:val="none" w:sz="0" w:space="0" w:color="auto"/>
            <w:bottom w:val="none" w:sz="0" w:space="0" w:color="auto"/>
            <w:right w:val="none" w:sz="0" w:space="0" w:color="auto"/>
          </w:divBdr>
          <w:divsChild>
            <w:div w:id="2040741510">
              <w:marLeft w:val="0"/>
              <w:marRight w:val="0"/>
              <w:marTop w:val="0"/>
              <w:marBottom w:val="0"/>
              <w:divBdr>
                <w:top w:val="none" w:sz="0" w:space="0" w:color="auto"/>
                <w:left w:val="none" w:sz="0" w:space="0" w:color="auto"/>
                <w:bottom w:val="none" w:sz="0" w:space="0" w:color="auto"/>
                <w:right w:val="none" w:sz="0" w:space="0" w:color="auto"/>
              </w:divBdr>
              <w:divsChild>
                <w:div w:id="1295402466">
                  <w:marLeft w:val="0"/>
                  <w:marRight w:val="0"/>
                  <w:marTop w:val="0"/>
                  <w:marBottom w:val="0"/>
                  <w:divBdr>
                    <w:top w:val="none" w:sz="0" w:space="0" w:color="auto"/>
                    <w:left w:val="none" w:sz="0" w:space="0" w:color="auto"/>
                    <w:bottom w:val="none" w:sz="0" w:space="0" w:color="auto"/>
                    <w:right w:val="none" w:sz="0" w:space="0" w:color="auto"/>
                  </w:divBdr>
                  <w:divsChild>
                    <w:div w:id="2429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653280">
      <w:bodyDiv w:val="1"/>
      <w:marLeft w:val="0"/>
      <w:marRight w:val="0"/>
      <w:marTop w:val="0"/>
      <w:marBottom w:val="0"/>
      <w:divBdr>
        <w:top w:val="none" w:sz="0" w:space="0" w:color="auto"/>
        <w:left w:val="none" w:sz="0" w:space="0" w:color="auto"/>
        <w:bottom w:val="none" w:sz="0" w:space="0" w:color="auto"/>
        <w:right w:val="none" w:sz="0" w:space="0" w:color="auto"/>
      </w:divBdr>
    </w:div>
    <w:div w:id="971053416">
      <w:bodyDiv w:val="1"/>
      <w:marLeft w:val="0"/>
      <w:marRight w:val="0"/>
      <w:marTop w:val="0"/>
      <w:marBottom w:val="0"/>
      <w:divBdr>
        <w:top w:val="none" w:sz="0" w:space="0" w:color="auto"/>
        <w:left w:val="none" w:sz="0" w:space="0" w:color="auto"/>
        <w:bottom w:val="none" w:sz="0" w:space="0" w:color="auto"/>
        <w:right w:val="none" w:sz="0" w:space="0" w:color="auto"/>
      </w:divBdr>
      <w:divsChild>
        <w:div w:id="1546677441">
          <w:marLeft w:val="0"/>
          <w:marRight w:val="0"/>
          <w:marTop w:val="0"/>
          <w:marBottom w:val="0"/>
          <w:divBdr>
            <w:top w:val="none" w:sz="0" w:space="0" w:color="auto"/>
            <w:left w:val="none" w:sz="0" w:space="0" w:color="auto"/>
            <w:bottom w:val="none" w:sz="0" w:space="0" w:color="auto"/>
            <w:right w:val="none" w:sz="0" w:space="0" w:color="auto"/>
          </w:divBdr>
          <w:divsChild>
            <w:div w:id="217788929">
              <w:marLeft w:val="0"/>
              <w:marRight w:val="0"/>
              <w:marTop w:val="0"/>
              <w:marBottom w:val="0"/>
              <w:divBdr>
                <w:top w:val="none" w:sz="0" w:space="0" w:color="auto"/>
                <w:left w:val="none" w:sz="0" w:space="0" w:color="auto"/>
                <w:bottom w:val="none" w:sz="0" w:space="0" w:color="auto"/>
                <w:right w:val="none" w:sz="0" w:space="0" w:color="auto"/>
              </w:divBdr>
              <w:divsChild>
                <w:div w:id="1476681958">
                  <w:marLeft w:val="0"/>
                  <w:marRight w:val="0"/>
                  <w:marTop w:val="0"/>
                  <w:marBottom w:val="0"/>
                  <w:divBdr>
                    <w:top w:val="none" w:sz="0" w:space="0" w:color="auto"/>
                    <w:left w:val="none" w:sz="0" w:space="0" w:color="auto"/>
                    <w:bottom w:val="none" w:sz="0" w:space="0" w:color="auto"/>
                    <w:right w:val="none" w:sz="0" w:space="0" w:color="auto"/>
                  </w:divBdr>
                  <w:divsChild>
                    <w:div w:id="2094668173">
                      <w:marLeft w:val="0"/>
                      <w:marRight w:val="0"/>
                      <w:marTop w:val="0"/>
                      <w:marBottom w:val="0"/>
                      <w:divBdr>
                        <w:top w:val="none" w:sz="0" w:space="0" w:color="auto"/>
                        <w:left w:val="none" w:sz="0" w:space="0" w:color="auto"/>
                        <w:bottom w:val="none" w:sz="0" w:space="0" w:color="auto"/>
                        <w:right w:val="none" w:sz="0" w:space="0" w:color="auto"/>
                      </w:divBdr>
                      <w:divsChild>
                        <w:div w:id="1960381504">
                          <w:marLeft w:val="0"/>
                          <w:marRight w:val="0"/>
                          <w:marTop w:val="0"/>
                          <w:marBottom w:val="0"/>
                          <w:divBdr>
                            <w:top w:val="none" w:sz="0" w:space="0" w:color="auto"/>
                            <w:left w:val="none" w:sz="0" w:space="0" w:color="auto"/>
                            <w:bottom w:val="none" w:sz="0" w:space="0" w:color="auto"/>
                            <w:right w:val="none" w:sz="0" w:space="0" w:color="auto"/>
                          </w:divBdr>
                          <w:divsChild>
                            <w:div w:id="593898622">
                              <w:marLeft w:val="0"/>
                              <w:marRight w:val="0"/>
                              <w:marTop w:val="0"/>
                              <w:marBottom w:val="0"/>
                              <w:divBdr>
                                <w:top w:val="none" w:sz="0" w:space="0" w:color="auto"/>
                                <w:left w:val="none" w:sz="0" w:space="0" w:color="auto"/>
                                <w:bottom w:val="none" w:sz="0" w:space="0" w:color="auto"/>
                                <w:right w:val="none" w:sz="0" w:space="0" w:color="auto"/>
                              </w:divBdr>
                              <w:divsChild>
                                <w:div w:id="1526091852">
                                  <w:marLeft w:val="0"/>
                                  <w:marRight w:val="0"/>
                                  <w:marTop w:val="0"/>
                                  <w:marBottom w:val="0"/>
                                  <w:divBdr>
                                    <w:top w:val="none" w:sz="0" w:space="0" w:color="auto"/>
                                    <w:left w:val="none" w:sz="0" w:space="0" w:color="auto"/>
                                    <w:bottom w:val="none" w:sz="0" w:space="0" w:color="auto"/>
                                    <w:right w:val="none" w:sz="0" w:space="0" w:color="auto"/>
                                  </w:divBdr>
                                  <w:divsChild>
                                    <w:div w:id="1640265665">
                                      <w:marLeft w:val="0"/>
                                      <w:marRight w:val="0"/>
                                      <w:marTop w:val="0"/>
                                      <w:marBottom w:val="0"/>
                                      <w:divBdr>
                                        <w:top w:val="none" w:sz="0" w:space="0" w:color="auto"/>
                                        <w:left w:val="none" w:sz="0" w:space="0" w:color="auto"/>
                                        <w:bottom w:val="none" w:sz="0" w:space="0" w:color="auto"/>
                                        <w:right w:val="none" w:sz="0" w:space="0" w:color="auto"/>
                                      </w:divBdr>
                                      <w:divsChild>
                                        <w:div w:id="737944110">
                                          <w:marLeft w:val="0"/>
                                          <w:marRight w:val="0"/>
                                          <w:marTop w:val="0"/>
                                          <w:marBottom w:val="0"/>
                                          <w:divBdr>
                                            <w:top w:val="none" w:sz="0" w:space="0" w:color="auto"/>
                                            <w:left w:val="none" w:sz="0" w:space="0" w:color="auto"/>
                                            <w:bottom w:val="none" w:sz="0" w:space="0" w:color="auto"/>
                                            <w:right w:val="none" w:sz="0" w:space="0" w:color="auto"/>
                                          </w:divBdr>
                                          <w:divsChild>
                                            <w:div w:id="970550272">
                                              <w:marLeft w:val="0"/>
                                              <w:marRight w:val="0"/>
                                              <w:marTop w:val="0"/>
                                              <w:marBottom w:val="0"/>
                                              <w:divBdr>
                                                <w:top w:val="none" w:sz="0" w:space="0" w:color="auto"/>
                                                <w:left w:val="none" w:sz="0" w:space="0" w:color="auto"/>
                                                <w:bottom w:val="none" w:sz="0" w:space="0" w:color="auto"/>
                                                <w:right w:val="none" w:sz="0" w:space="0" w:color="auto"/>
                                              </w:divBdr>
                                              <w:divsChild>
                                                <w:div w:id="1711607033">
                                                  <w:marLeft w:val="0"/>
                                                  <w:marRight w:val="0"/>
                                                  <w:marTop w:val="0"/>
                                                  <w:marBottom w:val="0"/>
                                                  <w:divBdr>
                                                    <w:top w:val="none" w:sz="0" w:space="0" w:color="auto"/>
                                                    <w:left w:val="none" w:sz="0" w:space="0" w:color="auto"/>
                                                    <w:bottom w:val="none" w:sz="0" w:space="0" w:color="auto"/>
                                                    <w:right w:val="none" w:sz="0" w:space="0" w:color="auto"/>
                                                  </w:divBdr>
                                                  <w:divsChild>
                                                    <w:div w:id="1596667557">
                                                      <w:marLeft w:val="0"/>
                                                      <w:marRight w:val="0"/>
                                                      <w:marTop w:val="0"/>
                                                      <w:marBottom w:val="0"/>
                                                      <w:divBdr>
                                                        <w:top w:val="none" w:sz="0" w:space="0" w:color="auto"/>
                                                        <w:left w:val="none" w:sz="0" w:space="0" w:color="auto"/>
                                                        <w:bottom w:val="none" w:sz="0" w:space="0" w:color="auto"/>
                                                        <w:right w:val="none" w:sz="0" w:space="0" w:color="auto"/>
                                                      </w:divBdr>
                                                      <w:divsChild>
                                                        <w:div w:id="11824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4017">
                                              <w:marLeft w:val="0"/>
                                              <w:marRight w:val="0"/>
                                              <w:marTop w:val="0"/>
                                              <w:marBottom w:val="0"/>
                                              <w:divBdr>
                                                <w:top w:val="none" w:sz="0" w:space="0" w:color="auto"/>
                                                <w:left w:val="none" w:sz="0" w:space="0" w:color="auto"/>
                                                <w:bottom w:val="none" w:sz="0" w:space="0" w:color="auto"/>
                                                <w:right w:val="none" w:sz="0" w:space="0" w:color="auto"/>
                                              </w:divBdr>
                                              <w:divsChild>
                                                <w:div w:id="867984935">
                                                  <w:marLeft w:val="0"/>
                                                  <w:marRight w:val="0"/>
                                                  <w:marTop w:val="0"/>
                                                  <w:marBottom w:val="0"/>
                                                  <w:divBdr>
                                                    <w:top w:val="none" w:sz="0" w:space="0" w:color="auto"/>
                                                    <w:left w:val="none" w:sz="0" w:space="0" w:color="auto"/>
                                                    <w:bottom w:val="none" w:sz="0" w:space="0" w:color="auto"/>
                                                    <w:right w:val="none" w:sz="0" w:space="0" w:color="auto"/>
                                                  </w:divBdr>
                                                  <w:divsChild>
                                                    <w:div w:id="1528061049">
                                                      <w:marLeft w:val="0"/>
                                                      <w:marRight w:val="0"/>
                                                      <w:marTop w:val="0"/>
                                                      <w:marBottom w:val="0"/>
                                                      <w:divBdr>
                                                        <w:top w:val="none" w:sz="0" w:space="0" w:color="auto"/>
                                                        <w:left w:val="none" w:sz="0" w:space="0" w:color="auto"/>
                                                        <w:bottom w:val="none" w:sz="0" w:space="0" w:color="auto"/>
                                                        <w:right w:val="none" w:sz="0" w:space="0" w:color="auto"/>
                                                      </w:divBdr>
                                                      <w:divsChild>
                                                        <w:div w:id="19452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3427728">
          <w:marLeft w:val="0"/>
          <w:marRight w:val="0"/>
          <w:marTop w:val="0"/>
          <w:marBottom w:val="0"/>
          <w:divBdr>
            <w:top w:val="none" w:sz="0" w:space="0" w:color="auto"/>
            <w:left w:val="none" w:sz="0" w:space="0" w:color="auto"/>
            <w:bottom w:val="none" w:sz="0" w:space="0" w:color="auto"/>
            <w:right w:val="none" w:sz="0" w:space="0" w:color="auto"/>
          </w:divBdr>
          <w:divsChild>
            <w:div w:id="232738790">
              <w:marLeft w:val="0"/>
              <w:marRight w:val="0"/>
              <w:marTop w:val="0"/>
              <w:marBottom w:val="0"/>
              <w:divBdr>
                <w:top w:val="none" w:sz="0" w:space="0" w:color="auto"/>
                <w:left w:val="none" w:sz="0" w:space="0" w:color="auto"/>
                <w:bottom w:val="none" w:sz="0" w:space="0" w:color="auto"/>
                <w:right w:val="none" w:sz="0" w:space="0" w:color="auto"/>
              </w:divBdr>
              <w:divsChild>
                <w:div w:id="1885603197">
                  <w:marLeft w:val="0"/>
                  <w:marRight w:val="0"/>
                  <w:marTop w:val="0"/>
                  <w:marBottom w:val="0"/>
                  <w:divBdr>
                    <w:top w:val="none" w:sz="0" w:space="0" w:color="auto"/>
                    <w:left w:val="none" w:sz="0" w:space="0" w:color="auto"/>
                    <w:bottom w:val="none" w:sz="0" w:space="0" w:color="auto"/>
                    <w:right w:val="none" w:sz="0" w:space="0" w:color="auto"/>
                  </w:divBdr>
                  <w:divsChild>
                    <w:div w:id="14405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88686">
      <w:bodyDiv w:val="1"/>
      <w:marLeft w:val="0"/>
      <w:marRight w:val="0"/>
      <w:marTop w:val="0"/>
      <w:marBottom w:val="0"/>
      <w:divBdr>
        <w:top w:val="none" w:sz="0" w:space="0" w:color="auto"/>
        <w:left w:val="none" w:sz="0" w:space="0" w:color="auto"/>
        <w:bottom w:val="none" w:sz="0" w:space="0" w:color="auto"/>
        <w:right w:val="none" w:sz="0" w:space="0" w:color="auto"/>
      </w:divBdr>
    </w:div>
    <w:div w:id="997151126">
      <w:bodyDiv w:val="1"/>
      <w:marLeft w:val="0"/>
      <w:marRight w:val="0"/>
      <w:marTop w:val="0"/>
      <w:marBottom w:val="0"/>
      <w:divBdr>
        <w:top w:val="none" w:sz="0" w:space="0" w:color="auto"/>
        <w:left w:val="none" w:sz="0" w:space="0" w:color="auto"/>
        <w:bottom w:val="none" w:sz="0" w:space="0" w:color="auto"/>
        <w:right w:val="none" w:sz="0" w:space="0" w:color="auto"/>
      </w:divBdr>
    </w:div>
    <w:div w:id="1004824614">
      <w:bodyDiv w:val="1"/>
      <w:marLeft w:val="0"/>
      <w:marRight w:val="0"/>
      <w:marTop w:val="0"/>
      <w:marBottom w:val="0"/>
      <w:divBdr>
        <w:top w:val="none" w:sz="0" w:space="0" w:color="auto"/>
        <w:left w:val="none" w:sz="0" w:space="0" w:color="auto"/>
        <w:bottom w:val="none" w:sz="0" w:space="0" w:color="auto"/>
        <w:right w:val="none" w:sz="0" w:space="0" w:color="auto"/>
      </w:divBdr>
      <w:divsChild>
        <w:div w:id="1275861576">
          <w:marLeft w:val="0"/>
          <w:marRight w:val="0"/>
          <w:marTop w:val="0"/>
          <w:marBottom w:val="0"/>
          <w:divBdr>
            <w:top w:val="none" w:sz="0" w:space="0" w:color="auto"/>
            <w:left w:val="none" w:sz="0" w:space="0" w:color="auto"/>
            <w:bottom w:val="none" w:sz="0" w:space="0" w:color="auto"/>
            <w:right w:val="none" w:sz="0" w:space="0" w:color="auto"/>
          </w:divBdr>
          <w:divsChild>
            <w:div w:id="1755198710">
              <w:marLeft w:val="0"/>
              <w:marRight w:val="0"/>
              <w:marTop w:val="0"/>
              <w:marBottom w:val="0"/>
              <w:divBdr>
                <w:top w:val="none" w:sz="0" w:space="0" w:color="auto"/>
                <w:left w:val="none" w:sz="0" w:space="0" w:color="auto"/>
                <w:bottom w:val="none" w:sz="0" w:space="0" w:color="auto"/>
                <w:right w:val="none" w:sz="0" w:space="0" w:color="auto"/>
              </w:divBdr>
              <w:divsChild>
                <w:div w:id="2006207890">
                  <w:marLeft w:val="0"/>
                  <w:marRight w:val="0"/>
                  <w:marTop w:val="0"/>
                  <w:marBottom w:val="0"/>
                  <w:divBdr>
                    <w:top w:val="none" w:sz="0" w:space="0" w:color="auto"/>
                    <w:left w:val="none" w:sz="0" w:space="0" w:color="auto"/>
                    <w:bottom w:val="none" w:sz="0" w:space="0" w:color="auto"/>
                    <w:right w:val="none" w:sz="0" w:space="0" w:color="auto"/>
                  </w:divBdr>
                  <w:divsChild>
                    <w:div w:id="8152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90949">
          <w:marLeft w:val="0"/>
          <w:marRight w:val="0"/>
          <w:marTop w:val="0"/>
          <w:marBottom w:val="0"/>
          <w:divBdr>
            <w:top w:val="none" w:sz="0" w:space="0" w:color="auto"/>
            <w:left w:val="none" w:sz="0" w:space="0" w:color="auto"/>
            <w:bottom w:val="none" w:sz="0" w:space="0" w:color="auto"/>
            <w:right w:val="none" w:sz="0" w:space="0" w:color="auto"/>
          </w:divBdr>
          <w:divsChild>
            <w:div w:id="918945808">
              <w:marLeft w:val="0"/>
              <w:marRight w:val="0"/>
              <w:marTop w:val="0"/>
              <w:marBottom w:val="0"/>
              <w:divBdr>
                <w:top w:val="none" w:sz="0" w:space="0" w:color="auto"/>
                <w:left w:val="none" w:sz="0" w:space="0" w:color="auto"/>
                <w:bottom w:val="none" w:sz="0" w:space="0" w:color="auto"/>
                <w:right w:val="none" w:sz="0" w:space="0" w:color="auto"/>
              </w:divBdr>
              <w:divsChild>
                <w:div w:id="632298139">
                  <w:marLeft w:val="0"/>
                  <w:marRight w:val="0"/>
                  <w:marTop w:val="0"/>
                  <w:marBottom w:val="0"/>
                  <w:divBdr>
                    <w:top w:val="none" w:sz="0" w:space="0" w:color="auto"/>
                    <w:left w:val="none" w:sz="0" w:space="0" w:color="auto"/>
                    <w:bottom w:val="none" w:sz="0" w:space="0" w:color="auto"/>
                    <w:right w:val="none" w:sz="0" w:space="0" w:color="auto"/>
                  </w:divBdr>
                  <w:divsChild>
                    <w:div w:id="112862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3313">
      <w:bodyDiv w:val="1"/>
      <w:marLeft w:val="0"/>
      <w:marRight w:val="0"/>
      <w:marTop w:val="0"/>
      <w:marBottom w:val="0"/>
      <w:divBdr>
        <w:top w:val="none" w:sz="0" w:space="0" w:color="auto"/>
        <w:left w:val="none" w:sz="0" w:space="0" w:color="auto"/>
        <w:bottom w:val="none" w:sz="0" w:space="0" w:color="auto"/>
        <w:right w:val="none" w:sz="0" w:space="0" w:color="auto"/>
      </w:divBdr>
      <w:divsChild>
        <w:div w:id="693843931">
          <w:marLeft w:val="0"/>
          <w:marRight w:val="0"/>
          <w:marTop w:val="0"/>
          <w:marBottom w:val="0"/>
          <w:divBdr>
            <w:top w:val="none" w:sz="0" w:space="0" w:color="auto"/>
            <w:left w:val="none" w:sz="0" w:space="0" w:color="auto"/>
            <w:bottom w:val="none" w:sz="0" w:space="0" w:color="auto"/>
            <w:right w:val="none" w:sz="0" w:space="0" w:color="auto"/>
          </w:divBdr>
          <w:divsChild>
            <w:div w:id="366226890">
              <w:marLeft w:val="0"/>
              <w:marRight w:val="0"/>
              <w:marTop w:val="0"/>
              <w:marBottom w:val="0"/>
              <w:divBdr>
                <w:top w:val="none" w:sz="0" w:space="0" w:color="auto"/>
                <w:left w:val="none" w:sz="0" w:space="0" w:color="auto"/>
                <w:bottom w:val="none" w:sz="0" w:space="0" w:color="auto"/>
                <w:right w:val="none" w:sz="0" w:space="0" w:color="auto"/>
              </w:divBdr>
              <w:divsChild>
                <w:div w:id="273289251">
                  <w:marLeft w:val="0"/>
                  <w:marRight w:val="0"/>
                  <w:marTop w:val="0"/>
                  <w:marBottom w:val="0"/>
                  <w:divBdr>
                    <w:top w:val="none" w:sz="0" w:space="0" w:color="auto"/>
                    <w:left w:val="none" w:sz="0" w:space="0" w:color="auto"/>
                    <w:bottom w:val="none" w:sz="0" w:space="0" w:color="auto"/>
                    <w:right w:val="none" w:sz="0" w:space="0" w:color="auto"/>
                  </w:divBdr>
                  <w:divsChild>
                    <w:div w:id="1988046822">
                      <w:marLeft w:val="0"/>
                      <w:marRight w:val="0"/>
                      <w:marTop w:val="0"/>
                      <w:marBottom w:val="0"/>
                      <w:divBdr>
                        <w:top w:val="none" w:sz="0" w:space="0" w:color="auto"/>
                        <w:left w:val="none" w:sz="0" w:space="0" w:color="auto"/>
                        <w:bottom w:val="none" w:sz="0" w:space="0" w:color="auto"/>
                        <w:right w:val="none" w:sz="0" w:space="0" w:color="auto"/>
                      </w:divBdr>
                      <w:divsChild>
                        <w:div w:id="210582622">
                          <w:marLeft w:val="0"/>
                          <w:marRight w:val="0"/>
                          <w:marTop w:val="0"/>
                          <w:marBottom w:val="0"/>
                          <w:divBdr>
                            <w:top w:val="none" w:sz="0" w:space="0" w:color="auto"/>
                            <w:left w:val="none" w:sz="0" w:space="0" w:color="auto"/>
                            <w:bottom w:val="none" w:sz="0" w:space="0" w:color="auto"/>
                            <w:right w:val="none" w:sz="0" w:space="0" w:color="auto"/>
                          </w:divBdr>
                          <w:divsChild>
                            <w:div w:id="1405646019">
                              <w:marLeft w:val="0"/>
                              <w:marRight w:val="0"/>
                              <w:marTop w:val="0"/>
                              <w:marBottom w:val="0"/>
                              <w:divBdr>
                                <w:top w:val="none" w:sz="0" w:space="0" w:color="auto"/>
                                <w:left w:val="none" w:sz="0" w:space="0" w:color="auto"/>
                                <w:bottom w:val="none" w:sz="0" w:space="0" w:color="auto"/>
                                <w:right w:val="none" w:sz="0" w:space="0" w:color="auto"/>
                              </w:divBdr>
                              <w:divsChild>
                                <w:div w:id="1265915462">
                                  <w:marLeft w:val="0"/>
                                  <w:marRight w:val="0"/>
                                  <w:marTop w:val="0"/>
                                  <w:marBottom w:val="0"/>
                                  <w:divBdr>
                                    <w:top w:val="none" w:sz="0" w:space="0" w:color="auto"/>
                                    <w:left w:val="none" w:sz="0" w:space="0" w:color="auto"/>
                                    <w:bottom w:val="none" w:sz="0" w:space="0" w:color="auto"/>
                                    <w:right w:val="none" w:sz="0" w:space="0" w:color="auto"/>
                                  </w:divBdr>
                                  <w:divsChild>
                                    <w:div w:id="982470910">
                                      <w:marLeft w:val="0"/>
                                      <w:marRight w:val="0"/>
                                      <w:marTop w:val="0"/>
                                      <w:marBottom w:val="0"/>
                                      <w:divBdr>
                                        <w:top w:val="none" w:sz="0" w:space="0" w:color="auto"/>
                                        <w:left w:val="none" w:sz="0" w:space="0" w:color="auto"/>
                                        <w:bottom w:val="none" w:sz="0" w:space="0" w:color="auto"/>
                                        <w:right w:val="none" w:sz="0" w:space="0" w:color="auto"/>
                                      </w:divBdr>
                                      <w:divsChild>
                                        <w:div w:id="1052652299">
                                          <w:marLeft w:val="0"/>
                                          <w:marRight w:val="0"/>
                                          <w:marTop w:val="0"/>
                                          <w:marBottom w:val="0"/>
                                          <w:divBdr>
                                            <w:top w:val="none" w:sz="0" w:space="0" w:color="auto"/>
                                            <w:left w:val="none" w:sz="0" w:space="0" w:color="auto"/>
                                            <w:bottom w:val="none" w:sz="0" w:space="0" w:color="auto"/>
                                            <w:right w:val="none" w:sz="0" w:space="0" w:color="auto"/>
                                          </w:divBdr>
                                          <w:divsChild>
                                            <w:div w:id="931744503">
                                              <w:marLeft w:val="0"/>
                                              <w:marRight w:val="0"/>
                                              <w:marTop w:val="0"/>
                                              <w:marBottom w:val="0"/>
                                              <w:divBdr>
                                                <w:top w:val="none" w:sz="0" w:space="0" w:color="auto"/>
                                                <w:left w:val="none" w:sz="0" w:space="0" w:color="auto"/>
                                                <w:bottom w:val="none" w:sz="0" w:space="0" w:color="auto"/>
                                                <w:right w:val="none" w:sz="0" w:space="0" w:color="auto"/>
                                              </w:divBdr>
                                              <w:divsChild>
                                                <w:div w:id="415247581">
                                                  <w:marLeft w:val="0"/>
                                                  <w:marRight w:val="0"/>
                                                  <w:marTop w:val="0"/>
                                                  <w:marBottom w:val="0"/>
                                                  <w:divBdr>
                                                    <w:top w:val="none" w:sz="0" w:space="0" w:color="auto"/>
                                                    <w:left w:val="none" w:sz="0" w:space="0" w:color="auto"/>
                                                    <w:bottom w:val="none" w:sz="0" w:space="0" w:color="auto"/>
                                                    <w:right w:val="none" w:sz="0" w:space="0" w:color="auto"/>
                                                  </w:divBdr>
                                                  <w:divsChild>
                                                    <w:div w:id="2052537245">
                                                      <w:marLeft w:val="0"/>
                                                      <w:marRight w:val="0"/>
                                                      <w:marTop w:val="0"/>
                                                      <w:marBottom w:val="0"/>
                                                      <w:divBdr>
                                                        <w:top w:val="none" w:sz="0" w:space="0" w:color="auto"/>
                                                        <w:left w:val="none" w:sz="0" w:space="0" w:color="auto"/>
                                                        <w:bottom w:val="none" w:sz="0" w:space="0" w:color="auto"/>
                                                        <w:right w:val="none" w:sz="0" w:space="0" w:color="auto"/>
                                                      </w:divBdr>
                                                      <w:divsChild>
                                                        <w:div w:id="3342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6114">
                                              <w:marLeft w:val="0"/>
                                              <w:marRight w:val="0"/>
                                              <w:marTop w:val="0"/>
                                              <w:marBottom w:val="0"/>
                                              <w:divBdr>
                                                <w:top w:val="none" w:sz="0" w:space="0" w:color="auto"/>
                                                <w:left w:val="none" w:sz="0" w:space="0" w:color="auto"/>
                                                <w:bottom w:val="none" w:sz="0" w:space="0" w:color="auto"/>
                                                <w:right w:val="none" w:sz="0" w:space="0" w:color="auto"/>
                                              </w:divBdr>
                                              <w:divsChild>
                                                <w:div w:id="1661616979">
                                                  <w:marLeft w:val="0"/>
                                                  <w:marRight w:val="0"/>
                                                  <w:marTop w:val="0"/>
                                                  <w:marBottom w:val="0"/>
                                                  <w:divBdr>
                                                    <w:top w:val="none" w:sz="0" w:space="0" w:color="auto"/>
                                                    <w:left w:val="none" w:sz="0" w:space="0" w:color="auto"/>
                                                    <w:bottom w:val="none" w:sz="0" w:space="0" w:color="auto"/>
                                                    <w:right w:val="none" w:sz="0" w:space="0" w:color="auto"/>
                                                  </w:divBdr>
                                                  <w:divsChild>
                                                    <w:div w:id="1142774559">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011320">
          <w:marLeft w:val="0"/>
          <w:marRight w:val="0"/>
          <w:marTop w:val="0"/>
          <w:marBottom w:val="0"/>
          <w:divBdr>
            <w:top w:val="none" w:sz="0" w:space="0" w:color="auto"/>
            <w:left w:val="none" w:sz="0" w:space="0" w:color="auto"/>
            <w:bottom w:val="none" w:sz="0" w:space="0" w:color="auto"/>
            <w:right w:val="none" w:sz="0" w:space="0" w:color="auto"/>
          </w:divBdr>
          <w:divsChild>
            <w:div w:id="1305544067">
              <w:marLeft w:val="0"/>
              <w:marRight w:val="0"/>
              <w:marTop w:val="0"/>
              <w:marBottom w:val="0"/>
              <w:divBdr>
                <w:top w:val="none" w:sz="0" w:space="0" w:color="auto"/>
                <w:left w:val="none" w:sz="0" w:space="0" w:color="auto"/>
                <w:bottom w:val="none" w:sz="0" w:space="0" w:color="auto"/>
                <w:right w:val="none" w:sz="0" w:space="0" w:color="auto"/>
              </w:divBdr>
              <w:divsChild>
                <w:div w:id="47842603">
                  <w:marLeft w:val="0"/>
                  <w:marRight w:val="0"/>
                  <w:marTop w:val="0"/>
                  <w:marBottom w:val="0"/>
                  <w:divBdr>
                    <w:top w:val="none" w:sz="0" w:space="0" w:color="auto"/>
                    <w:left w:val="none" w:sz="0" w:space="0" w:color="auto"/>
                    <w:bottom w:val="none" w:sz="0" w:space="0" w:color="auto"/>
                    <w:right w:val="none" w:sz="0" w:space="0" w:color="auto"/>
                  </w:divBdr>
                  <w:divsChild>
                    <w:div w:id="1612740563">
                      <w:marLeft w:val="0"/>
                      <w:marRight w:val="0"/>
                      <w:marTop w:val="0"/>
                      <w:marBottom w:val="0"/>
                      <w:divBdr>
                        <w:top w:val="none" w:sz="0" w:space="0" w:color="auto"/>
                        <w:left w:val="none" w:sz="0" w:space="0" w:color="auto"/>
                        <w:bottom w:val="none" w:sz="0" w:space="0" w:color="auto"/>
                        <w:right w:val="none" w:sz="0" w:space="0" w:color="auto"/>
                      </w:divBdr>
                      <w:divsChild>
                        <w:div w:id="2015838522">
                          <w:marLeft w:val="0"/>
                          <w:marRight w:val="0"/>
                          <w:marTop w:val="0"/>
                          <w:marBottom w:val="0"/>
                          <w:divBdr>
                            <w:top w:val="none" w:sz="0" w:space="0" w:color="auto"/>
                            <w:left w:val="none" w:sz="0" w:space="0" w:color="auto"/>
                            <w:bottom w:val="none" w:sz="0" w:space="0" w:color="auto"/>
                            <w:right w:val="none" w:sz="0" w:space="0" w:color="auto"/>
                          </w:divBdr>
                          <w:divsChild>
                            <w:div w:id="1343241460">
                              <w:marLeft w:val="0"/>
                              <w:marRight w:val="0"/>
                              <w:marTop w:val="0"/>
                              <w:marBottom w:val="0"/>
                              <w:divBdr>
                                <w:top w:val="none" w:sz="0" w:space="0" w:color="auto"/>
                                <w:left w:val="none" w:sz="0" w:space="0" w:color="auto"/>
                                <w:bottom w:val="none" w:sz="0" w:space="0" w:color="auto"/>
                                <w:right w:val="none" w:sz="0" w:space="0" w:color="auto"/>
                              </w:divBdr>
                              <w:divsChild>
                                <w:div w:id="1546215766">
                                  <w:marLeft w:val="0"/>
                                  <w:marRight w:val="0"/>
                                  <w:marTop w:val="0"/>
                                  <w:marBottom w:val="0"/>
                                  <w:divBdr>
                                    <w:top w:val="none" w:sz="0" w:space="0" w:color="auto"/>
                                    <w:left w:val="none" w:sz="0" w:space="0" w:color="auto"/>
                                    <w:bottom w:val="none" w:sz="0" w:space="0" w:color="auto"/>
                                    <w:right w:val="none" w:sz="0" w:space="0" w:color="auto"/>
                                  </w:divBdr>
                                  <w:divsChild>
                                    <w:div w:id="1809476244">
                                      <w:marLeft w:val="0"/>
                                      <w:marRight w:val="0"/>
                                      <w:marTop w:val="0"/>
                                      <w:marBottom w:val="0"/>
                                      <w:divBdr>
                                        <w:top w:val="none" w:sz="0" w:space="0" w:color="auto"/>
                                        <w:left w:val="none" w:sz="0" w:space="0" w:color="auto"/>
                                        <w:bottom w:val="none" w:sz="0" w:space="0" w:color="auto"/>
                                        <w:right w:val="none" w:sz="0" w:space="0" w:color="auto"/>
                                      </w:divBdr>
                                      <w:divsChild>
                                        <w:div w:id="1675299563">
                                          <w:marLeft w:val="0"/>
                                          <w:marRight w:val="0"/>
                                          <w:marTop w:val="0"/>
                                          <w:marBottom w:val="0"/>
                                          <w:divBdr>
                                            <w:top w:val="none" w:sz="0" w:space="0" w:color="auto"/>
                                            <w:left w:val="none" w:sz="0" w:space="0" w:color="auto"/>
                                            <w:bottom w:val="none" w:sz="0" w:space="0" w:color="auto"/>
                                            <w:right w:val="none" w:sz="0" w:space="0" w:color="auto"/>
                                          </w:divBdr>
                                          <w:divsChild>
                                            <w:div w:id="1852601101">
                                              <w:marLeft w:val="0"/>
                                              <w:marRight w:val="0"/>
                                              <w:marTop w:val="0"/>
                                              <w:marBottom w:val="0"/>
                                              <w:divBdr>
                                                <w:top w:val="none" w:sz="0" w:space="0" w:color="auto"/>
                                                <w:left w:val="none" w:sz="0" w:space="0" w:color="auto"/>
                                                <w:bottom w:val="none" w:sz="0" w:space="0" w:color="auto"/>
                                                <w:right w:val="none" w:sz="0" w:space="0" w:color="auto"/>
                                              </w:divBdr>
                                              <w:divsChild>
                                                <w:div w:id="18194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975123">
      <w:bodyDiv w:val="1"/>
      <w:marLeft w:val="0"/>
      <w:marRight w:val="0"/>
      <w:marTop w:val="0"/>
      <w:marBottom w:val="0"/>
      <w:divBdr>
        <w:top w:val="none" w:sz="0" w:space="0" w:color="auto"/>
        <w:left w:val="none" w:sz="0" w:space="0" w:color="auto"/>
        <w:bottom w:val="none" w:sz="0" w:space="0" w:color="auto"/>
        <w:right w:val="none" w:sz="0" w:space="0" w:color="auto"/>
      </w:divBdr>
    </w:div>
    <w:div w:id="1022516734">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31733915">
      <w:bodyDiv w:val="1"/>
      <w:marLeft w:val="0"/>
      <w:marRight w:val="0"/>
      <w:marTop w:val="0"/>
      <w:marBottom w:val="0"/>
      <w:divBdr>
        <w:top w:val="none" w:sz="0" w:space="0" w:color="auto"/>
        <w:left w:val="none" w:sz="0" w:space="0" w:color="auto"/>
        <w:bottom w:val="none" w:sz="0" w:space="0" w:color="auto"/>
        <w:right w:val="none" w:sz="0" w:space="0" w:color="auto"/>
      </w:divBdr>
    </w:div>
    <w:div w:id="1035077258">
      <w:bodyDiv w:val="1"/>
      <w:marLeft w:val="0"/>
      <w:marRight w:val="0"/>
      <w:marTop w:val="0"/>
      <w:marBottom w:val="0"/>
      <w:divBdr>
        <w:top w:val="none" w:sz="0" w:space="0" w:color="auto"/>
        <w:left w:val="none" w:sz="0" w:space="0" w:color="auto"/>
        <w:bottom w:val="none" w:sz="0" w:space="0" w:color="auto"/>
        <w:right w:val="none" w:sz="0" w:space="0" w:color="auto"/>
      </w:divBdr>
    </w:div>
    <w:div w:id="1043552685">
      <w:bodyDiv w:val="1"/>
      <w:marLeft w:val="0"/>
      <w:marRight w:val="0"/>
      <w:marTop w:val="0"/>
      <w:marBottom w:val="0"/>
      <w:divBdr>
        <w:top w:val="none" w:sz="0" w:space="0" w:color="auto"/>
        <w:left w:val="none" w:sz="0" w:space="0" w:color="auto"/>
        <w:bottom w:val="none" w:sz="0" w:space="0" w:color="auto"/>
        <w:right w:val="none" w:sz="0" w:space="0" w:color="auto"/>
      </w:divBdr>
    </w:div>
    <w:div w:id="1047486303">
      <w:bodyDiv w:val="1"/>
      <w:marLeft w:val="0"/>
      <w:marRight w:val="0"/>
      <w:marTop w:val="0"/>
      <w:marBottom w:val="0"/>
      <w:divBdr>
        <w:top w:val="none" w:sz="0" w:space="0" w:color="auto"/>
        <w:left w:val="none" w:sz="0" w:space="0" w:color="auto"/>
        <w:bottom w:val="none" w:sz="0" w:space="0" w:color="auto"/>
        <w:right w:val="none" w:sz="0" w:space="0" w:color="auto"/>
      </w:divBdr>
    </w:div>
    <w:div w:id="1058556762">
      <w:bodyDiv w:val="1"/>
      <w:marLeft w:val="0"/>
      <w:marRight w:val="0"/>
      <w:marTop w:val="0"/>
      <w:marBottom w:val="0"/>
      <w:divBdr>
        <w:top w:val="none" w:sz="0" w:space="0" w:color="auto"/>
        <w:left w:val="none" w:sz="0" w:space="0" w:color="auto"/>
        <w:bottom w:val="none" w:sz="0" w:space="0" w:color="auto"/>
        <w:right w:val="none" w:sz="0" w:space="0" w:color="auto"/>
      </w:divBdr>
    </w:div>
    <w:div w:id="1059286493">
      <w:bodyDiv w:val="1"/>
      <w:marLeft w:val="0"/>
      <w:marRight w:val="0"/>
      <w:marTop w:val="0"/>
      <w:marBottom w:val="0"/>
      <w:divBdr>
        <w:top w:val="none" w:sz="0" w:space="0" w:color="auto"/>
        <w:left w:val="none" w:sz="0" w:space="0" w:color="auto"/>
        <w:bottom w:val="none" w:sz="0" w:space="0" w:color="auto"/>
        <w:right w:val="none" w:sz="0" w:space="0" w:color="auto"/>
      </w:divBdr>
      <w:divsChild>
        <w:div w:id="1988629014">
          <w:marLeft w:val="0"/>
          <w:marRight w:val="0"/>
          <w:marTop w:val="0"/>
          <w:marBottom w:val="0"/>
          <w:divBdr>
            <w:top w:val="none" w:sz="0" w:space="0" w:color="auto"/>
            <w:left w:val="none" w:sz="0" w:space="0" w:color="auto"/>
            <w:bottom w:val="none" w:sz="0" w:space="0" w:color="auto"/>
            <w:right w:val="none" w:sz="0" w:space="0" w:color="auto"/>
          </w:divBdr>
          <w:divsChild>
            <w:div w:id="2055881242">
              <w:marLeft w:val="0"/>
              <w:marRight w:val="0"/>
              <w:marTop w:val="0"/>
              <w:marBottom w:val="0"/>
              <w:divBdr>
                <w:top w:val="none" w:sz="0" w:space="0" w:color="auto"/>
                <w:left w:val="none" w:sz="0" w:space="0" w:color="auto"/>
                <w:bottom w:val="none" w:sz="0" w:space="0" w:color="auto"/>
                <w:right w:val="none" w:sz="0" w:space="0" w:color="auto"/>
              </w:divBdr>
              <w:divsChild>
                <w:div w:id="1232811218">
                  <w:marLeft w:val="0"/>
                  <w:marRight w:val="0"/>
                  <w:marTop w:val="0"/>
                  <w:marBottom w:val="0"/>
                  <w:divBdr>
                    <w:top w:val="none" w:sz="0" w:space="0" w:color="auto"/>
                    <w:left w:val="none" w:sz="0" w:space="0" w:color="auto"/>
                    <w:bottom w:val="none" w:sz="0" w:space="0" w:color="auto"/>
                    <w:right w:val="none" w:sz="0" w:space="0" w:color="auto"/>
                  </w:divBdr>
                  <w:divsChild>
                    <w:div w:id="1992714993">
                      <w:marLeft w:val="0"/>
                      <w:marRight w:val="0"/>
                      <w:marTop w:val="0"/>
                      <w:marBottom w:val="0"/>
                      <w:divBdr>
                        <w:top w:val="none" w:sz="0" w:space="0" w:color="auto"/>
                        <w:left w:val="none" w:sz="0" w:space="0" w:color="auto"/>
                        <w:bottom w:val="none" w:sz="0" w:space="0" w:color="auto"/>
                        <w:right w:val="none" w:sz="0" w:space="0" w:color="auto"/>
                      </w:divBdr>
                      <w:divsChild>
                        <w:div w:id="1939101088">
                          <w:marLeft w:val="0"/>
                          <w:marRight w:val="0"/>
                          <w:marTop w:val="0"/>
                          <w:marBottom w:val="0"/>
                          <w:divBdr>
                            <w:top w:val="none" w:sz="0" w:space="0" w:color="auto"/>
                            <w:left w:val="none" w:sz="0" w:space="0" w:color="auto"/>
                            <w:bottom w:val="none" w:sz="0" w:space="0" w:color="auto"/>
                            <w:right w:val="none" w:sz="0" w:space="0" w:color="auto"/>
                          </w:divBdr>
                          <w:divsChild>
                            <w:div w:id="1274247897">
                              <w:marLeft w:val="0"/>
                              <w:marRight w:val="0"/>
                              <w:marTop w:val="0"/>
                              <w:marBottom w:val="0"/>
                              <w:divBdr>
                                <w:top w:val="none" w:sz="0" w:space="0" w:color="auto"/>
                                <w:left w:val="none" w:sz="0" w:space="0" w:color="auto"/>
                                <w:bottom w:val="none" w:sz="0" w:space="0" w:color="auto"/>
                                <w:right w:val="none" w:sz="0" w:space="0" w:color="auto"/>
                              </w:divBdr>
                              <w:divsChild>
                                <w:div w:id="963847049">
                                  <w:marLeft w:val="0"/>
                                  <w:marRight w:val="0"/>
                                  <w:marTop w:val="0"/>
                                  <w:marBottom w:val="0"/>
                                  <w:divBdr>
                                    <w:top w:val="none" w:sz="0" w:space="0" w:color="auto"/>
                                    <w:left w:val="none" w:sz="0" w:space="0" w:color="auto"/>
                                    <w:bottom w:val="none" w:sz="0" w:space="0" w:color="auto"/>
                                    <w:right w:val="none" w:sz="0" w:space="0" w:color="auto"/>
                                  </w:divBdr>
                                  <w:divsChild>
                                    <w:div w:id="13726543">
                                      <w:marLeft w:val="0"/>
                                      <w:marRight w:val="0"/>
                                      <w:marTop w:val="0"/>
                                      <w:marBottom w:val="0"/>
                                      <w:divBdr>
                                        <w:top w:val="none" w:sz="0" w:space="0" w:color="auto"/>
                                        <w:left w:val="none" w:sz="0" w:space="0" w:color="auto"/>
                                        <w:bottom w:val="none" w:sz="0" w:space="0" w:color="auto"/>
                                        <w:right w:val="none" w:sz="0" w:space="0" w:color="auto"/>
                                      </w:divBdr>
                                      <w:divsChild>
                                        <w:div w:id="1375544282">
                                          <w:marLeft w:val="0"/>
                                          <w:marRight w:val="0"/>
                                          <w:marTop w:val="0"/>
                                          <w:marBottom w:val="0"/>
                                          <w:divBdr>
                                            <w:top w:val="none" w:sz="0" w:space="0" w:color="auto"/>
                                            <w:left w:val="none" w:sz="0" w:space="0" w:color="auto"/>
                                            <w:bottom w:val="none" w:sz="0" w:space="0" w:color="auto"/>
                                            <w:right w:val="none" w:sz="0" w:space="0" w:color="auto"/>
                                          </w:divBdr>
                                          <w:divsChild>
                                            <w:div w:id="1839491764">
                                              <w:marLeft w:val="0"/>
                                              <w:marRight w:val="0"/>
                                              <w:marTop w:val="0"/>
                                              <w:marBottom w:val="0"/>
                                              <w:divBdr>
                                                <w:top w:val="none" w:sz="0" w:space="0" w:color="auto"/>
                                                <w:left w:val="none" w:sz="0" w:space="0" w:color="auto"/>
                                                <w:bottom w:val="none" w:sz="0" w:space="0" w:color="auto"/>
                                                <w:right w:val="none" w:sz="0" w:space="0" w:color="auto"/>
                                              </w:divBdr>
                                              <w:divsChild>
                                                <w:div w:id="1733573752">
                                                  <w:marLeft w:val="0"/>
                                                  <w:marRight w:val="0"/>
                                                  <w:marTop w:val="0"/>
                                                  <w:marBottom w:val="0"/>
                                                  <w:divBdr>
                                                    <w:top w:val="none" w:sz="0" w:space="0" w:color="auto"/>
                                                    <w:left w:val="none" w:sz="0" w:space="0" w:color="auto"/>
                                                    <w:bottom w:val="none" w:sz="0" w:space="0" w:color="auto"/>
                                                    <w:right w:val="none" w:sz="0" w:space="0" w:color="auto"/>
                                                  </w:divBdr>
                                                  <w:divsChild>
                                                    <w:div w:id="145827955">
                                                      <w:marLeft w:val="0"/>
                                                      <w:marRight w:val="0"/>
                                                      <w:marTop w:val="0"/>
                                                      <w:marBottom w:val="0"/>
                                                      <w:divBdr>
                                                        <w:top w:val="none" w:sz="0" w:space="0" w:color="auto"/>
                                                        <w:left w:val="none" w:sz="0" w:space="0" w:color="auto"/>
                                                        <w:bottom w:val="none" w:sz="0" w:space="0" w:color="auto"/>
                                                        <w:right w:val="none" w:sz="0" w:space="0" w:color="auto"/>
                                                      </w:divBdr>
                                                      <w:divsChild>
                                                        <w:div w:id="1227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47838">
                                              <w:marLeft w:val="0"/>
                                              <w:marRight w:val="0"/>
                                              <w:marTop w:val="0"/>
                                              <w:marBottom w:val="0"/>
                                              <w:divBdr>
                                                <w:top w:val="none" w:sz="0" w:space="0" w:color="auto"/>
                                                <w:left w:val="none" w:sz="0" w:space="0" w:color="auto"/>
                                                <w:bottom w:val="none" w:sz="0" w:space="0" w:color="auto"/>
                                                <w:right w:val="none" w:sz="0" w:space="0" w:color="auto"/>
                                              </w:divBdr>
                                              <w:divsChild>
                                                <w:div w:id="1853716281">
                                                  <w:marLeft w:val="0"/>
                                                  <w:marRight w:val="0"/>
                                                  <w:marTop w:val="0"/>
                                                  <w:marBottom w:val="0"/>
                                                  <w:divBdr>
                                                    <w:top w:val="none" w:sz="0" w:space="0" w:color="auto"/>
                                                    <w:left w:val="none" w:sz="0" w:space="0" w:color="auto"/>
                                                    <w:bottom w:val="none" w:sz="0" w:space="0" w:color="auto"/>
                                                    <w:right w:val="none" w:sz="0" w:space="0" w:color="auto"/>
                                                  </w:divBdr>
                                                  <w:divsChild>
                                                    <w:div w:id="360401091">
                                                      <w:marLeft w:val="0"/>
                                                      <w:marRight w:val="0"/>
                                                      <w:marTop w:val="0"/>
                                                      <w:marBottom w:val="0"/>
                                                      <w:divBdr>
                                                        <w:top w:val="none" w:sz="0" w:space="0" w:color="auto"/>
                                                        <w:left w:val="none" w:sz="0" w:space="0" w:color="auto"/>
                                                        <w:bottom w:val="none" w:sz="0" w:space="0" w:color="auto"/>
                                                        <w:right w:val="none" w:sz="0" w:space="0" w:color="auto"/>
                                                      </w:divBdr>
                                                      <w:divsChild>
                                                        <w:div w:id="3655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950378">
          <w:marLeft w:val="0"/>
          <w:marRight w:val="0"/>
          <w:marTop w:val="0"/>
          <w:marBottom w:val="0"/>
          <w:divBdr>
            <w:top w:val="none" w:sz="0" w:space="0" w:color="auto"/>
            <w:left w:val="none" w:sz="0" w:space="0" w:color="auto"/>
            <w:bottom w:val="none" w:sz="0" w:space="0" w:color="auto"/>
            <w:right w:val="none" w:sz="0" w:space="0" w:color="auto"/>
          </w:divBdr>
          <w:divsChild>
            <w:div w:id="139612334">
              <w:marLeft w:val="0"/>
              <w:marRight w:val="0"/>
              <w:marTop w:val="0"/>
              <w:marBottom w:val="0"/>
              <w:divBdr>
                <w:top w:val="none" w:sz="0" w:space="0" w:color="auto"/>
                <w:left w:val="none" w:sz="0" w:space="0" w:color="auto"/>
                <w:bottom w:val="none" w:sz="0" w:space="0" w:color="auto"/>
                <w:right w:val="none" w:sz="0" w:space="0" w:color="auto"/>
              </w:divBdr>
              <w:divsChild>
                <w:div w:id="927153930">
                  <w:marLeft w:val="0"/>
                  <w:marRight w:val="0"/>
                  <w:marTop w:val="0"/>
                  <w:marBottom w:val="0"/>
                  <w:divBdr>
                    <w:top w:val="none" w:sz="0" w:space="0" w:color="auto"/>
                    <w:left w:val="none" w:sz="0" w:space="0" w:color="auto"/>
                    <w:bottom w:val="none" w:sz="0" w:space="0" w:color="auto"/>
                    <w:right w:val="none" w:sz="0" w:space="0" w:color="auto"/>
                  </w:divBdr>
                  <w:divsChild>
                    <w:div w:id="2095205112">
                      <w:marLeft w:val="0"/>
                      <w:marRight w:val="0"/>
                      <w:marTop w:val="0"/>
                      <w:marBottom w:val="0"/>
                      <w:divBdr>
                        <w:top w:val="none" w:sz="0" w:space="0" w:color="auto"/>
                        <w:left w:val="none" w:sz="0" w:space="0" w:color="auto"/>
                        <w:bottom w:val="none" w:sz="0" w:space="0" w:color="auto"/>
                        <w:right w:val="none" w:sz="0" w:space="0" w:color="auto"/>
                      </w:divBdr>
                      <w:divsChild>
                        <w:div w:id="190993440">
                          <w:marLeft w:val="0"/>
                          <w:marRight w:val="0"/>
                          <w:marTop w:val="0"/>
                          <w:marBottom w:val="0"/>
                          <w:divBdr>
                            <w:top w:val="none" w:sz="0" w:space="0" w:color="auto"/>
                            <w:left w:val="none" w:sz="0" w:space="0" w:color="auto"/>
                            <w:bottom w:val="none" w:sz="0" w:space="0" w:color="auto"/>
                            <w:right w:val="none" w:sz="0" w:space="0" w:color="auto"/>
                          </w:divBdr>
                          <w:divsChild>
                            <w:div w:id="2087649460">
                              <w:marLeft w:val="0"/>
                              <w:marRight w:val="0"/>
                              <w:marTop w:val="0"/>
                              <w:marBottom w:val="0"/>
                              <w:divBdr>
                                <w:top w:val="none" w:sz="0" w:space="0" w:color="auto"/>
                                <w:left w:val="none" w:sz="0" w:space="0" w:color="auto"/>
                                <w:bottom w:val="none" w:sz="0" w:space="0" w:color="auto"/>
                                <w:right w:val="none" w:sz="0" w:space="0" w:color="auto"/>
                              </w:divBdr>
                              <w:divsChild>
                                <w:div w:id="1669793682">
                                  <w:marLeft w:val="0"/>
                                  <w:marRight w:val="0"/>
                                  <w:marTop w:val="0"/>
                                  <w:marBottom w:val="0"/>
                                  <w:divBdr>
                                    <w:top w:val="none" w:sz="0" w:space="0" w:color="auto"/>
                                    <w:left w:val="none" w:sz="0" w:space="0" w:color="auto"/>
                                    <w:bottom w:val="none" w:sz="0" w:space="0" w:color="auto"/>
                                    <w:right w:val="none" w:sz="0" w:space="0" w:color="auto"/>
                                  </w:divBdr>
                                  <w:divsChild>
                                    <w:div w:id="549615630">
                                      <w:marLeft w:val="0"/>
                                      <w:marRight w:val="0"/>
                                      <w:marTop w:val="0"/>
                                      <w:marBottom w:val="0"/>
                                      <w:divBdr>
                                        <w:top w:val="none" w:sz="0" w:space="0" w:color="auto"/>
                                        <w:left w:val="none" w:sz="0" w:space="0" w:color="auto"/>
                                        <w:bottom w:val="none" w:sz="0" w:space="0" w:color="auto"/>
                                        <w:right w:val="none" w:sz="0" w:space="0" w:color="auto"/>
                                      </w:divBdr>
                                      <w:divsChild>
                                        <w:div w:id="589387276">
                                          <w:marLeft w:val="0"/>
                                          <w:marRight w:val="0"/>
                                          <w:marTop w:val="0"/>
                                          <w:marBottom w:val="0"/>
                                          <w:divBdr>
                                            <w:top w:val="none" w:sz="0" w:space="0" w:color="auto"/>
                                            <w:left w:val="none" w:sz="0" w:space="0" w:color="auto"/>
                                            <w:bottom w:val="none" w:sz="0" w:space="0" w:color="auto"/>
                                            <w:right w:val="none" w:sz="0" w:space="0" w:color="auto"/>
                                          </w:divBdr>
                                          <w:divsChild>
                                            <w:div w:id="1146313905">
                                              <w:marLeft w:val="0"/>
                                              <w:marRight w:val="0"/>
                                              <w:marTop w:val="0"/>
                                              <w:marBottom w:val="0"/>
                                              <w:divBdr>
                                                <w:top w:val="none" w:sz="0" w:space="0" w:color="auto"/>
                                                <w:left w:val="none" w:sz="0" w:space="0" w:color="auto"/>
                                                <w:bottom w:val="none" w:sz="0" w:space="0" w:color="auto"/>
                                                <w:right w:val="none" w:sz="0" w:space="0" w:color="auto"/>
                                              </w:divBdr>
                                              <w:divsChild>
                                                <w:div w:id="14108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339975">
      <w:bodyDiv w:val="1"/>
      <w:marLeft w:val="0"/>
      <w:marRight w:val="0"/>
      <w:marTop w:val="0"/>
      <w:marBottom w:val="0"/>
      <w:divBdr>
        <w:top w:val="none" w:sz="0" w:space="0" w:color="auto"/>
        <w:left w:val="none" w:sz="0" w:space="0" w:color="auto"/>
        <w:bottom w:val="none" w:sz="0" w:space="0" w:color="auto"/>
        <w:right w:val="none" w:sz="0" w:space="0" w:color="auto"/>
      </w:divBdr>
    </w:div>
    <w:div w:id="1105155048">
      <w:bodyDiv w:val="1"/>
      <w:marLeft w:val="0"/>
      <w:marRight w:val="0"/>
      <w:marTop w:val="0"/>
      <w:marBottom w:val="0"/>
      <w:divBdr>
        <w:top w:val="none" w:sz="0" w:space="0" w:color="auto"/>
        <w:left w:val="none" w:sz="0" w:space="0" w:color="auto"/>
        <w:bottom w:val="none" w:sz="0" w:space="0" w:color="auto"/>
        <w:right w:val="none" w:sz="0" w:space="0" w:color="auto"/>
      </w:divBdr>
    </w:div>
    <w:div w:id="1105223921">
      <w:bodyDiv w:val="1"/>
      <w:marLeft w:val="0"/>
      <w:marRight w:val="0"/>
      <w:marTop w:val="0"/>
      <w:marBottom w:val="0"/>
      <w:divBdr>
        <w:top w:val="none" w:sz="0" w:space="0" w:color="auto"/>
        <w:left w:val="none" w:sz="0" w:space="0" w:color="auto"/>
        <w:bottom w:val="none" w:sz="0" w:space="0" w:color="auto"/>
        <w:right w:val="none" w:sz="0" w:space="0" w:color="auto"/>
      </w:divBdr>
      <w:divsChild>
        <w:div w:id="2144275697">
          <w:marLeft w:val="0"/>
          <w:marRight w:val="0"/>
          <w:marTop w:val="0"/>
          <w:marBottom w:val="0"/>
          <w:divBdr>
            <w:top w:val="none" w:sz="0" w:space="0" w:color="auto"/>
            <w:left w:val="none" w:sz="0" w:space="0" w:color="auto"/>
            <w:bottom w:val="none" w:sz="0" w:space="0" w:color="auto"/>
            <w:right w:val="none" w:sz="0" w:space="0" w:color="auto"/>
          </w:divBdr>
          <w:divsChild>
            <w:div w:id="1548640229">
              <w:marLeft w:val="0"/>
              <w:marRight w:val="0"/>
              <w:marTop w:val="0"/>
              <w:marBottom w:val="0"/>
              <w:divBdr>
                <w:top w:val="none" w:sz="0" w:space="0" w:color="auto"/>
                <w:left w:val="none" w:sz="0" w:space="0" w:color="auto"/>
                <w:bottom w:val="none" w:sz="0" w:space="0" w:color="auto"/>
                <w:right w:val="none" w:sz="0" w:space="0" w:color="auto"/>
              </w:divBdr>
              <w:divsChild>
                <w:div w:id="1644507765">
                  <w:marLeft w:val="0"/>
                  <w:marRight w:val="0"/>
                  <w:marTop w:val="0"/>
                  <w:marBottom w:val="0"/>
                  <w:divBdr>
                    <w:top w:val="none" w:sz="0" w:space="0" w:color="auto"/>
                    <w:left w:val="none" w:sz="0" w:space="0" w:color="auto"/>
                    <w:bottom w:val="none" w:sz="0" w:space="0" w:color="auto"/>
                    <w:right w:val="none" w:sz="0" w:space="0" w:color="auto"/>
                  </w:divBdr>
                  <w:divsChild>
                    <w:div w:id="10611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22414">
          <w:marLeft w:val="0"/>
          <w:marRight w:val="0"/>
          <w:marTop w:val="0"/>
          <w:marBottom w:val="0"/>
          <w:divBdr>
            <w:top w:val="none" w:sz="0" w:space="0" w:color="auto"/>
            <w:left w:val="none" w:sz="0" w:space="0" w:color="auto"/>
            <w:bottom w:val="none" w:sz="0" w:space="0" w:color="auto"/>
            <w:right w:val="none" w:sz="0" w:space="0" w:color="auto"/>
          </w:divBdr>
          <w:divsChild>
            <w:div w:id="920485113">
              <w:marLeft w:val="0"/>
              <w:marRight w:val="0"/>
              <w:marTop w:val="0"/>
              <w:marBottom w:val="0"/>
              <w:divBdr>
                <w:top w:val="none" w:sz="0" w:space="0" w:color="auto"/>
                <w:left w:val="none" w:sz="0" w:space="0" w:color="auto"/>
                <w:bottom w:val="none" w:sz="0" w:space="0" w:color="auto"/>
                <w:right w:val="none" w:sz="0" w:space="0" w:color="auto"/>
              </w:divBdr>
              <w:divsChild>
                <w:div w:id="2042392322">
                  <w:marLeft w:val="0"/>
                  <w:marRight w:val="0"/>
                  <w:marTop w:val="0"/>
                  <w:marBottom w:val="0"/>
                  <w:divBdr>
                    <w:top w:val="none" w:sz="0" w:space="0" w:color="auto"/>
                    <w:left w:val="none" w:sz="0" w:space="0" w:color="auto"/>
                    <w:bottom w:val="none" w:sz="0" w:space="0" w:color="auto"/>
                    <w:right w:val="none" w:sz="0" w:space="0" w:color="auto"/>
                  </w:divBdr>
                  <w:divsChild>
                    <w:div w:id="19147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18790">
      <w:bodyDiv w:val="1"/>
      <w:marLeft w:val="0"/>
      <w:marRight w:val="0"/>
      <w:marTop w:val="0"/>
      <w:marBottom w:val="0"/>
      <w:divBdr>
        <w:top w:val="none" w:sz="0" w:space="0" w:color="auto"/>
        <w:left w:val="none" w:sz="0" w:space="0" w:color="auto"/>
        <w:bottom w:val="none" w:sz="0" w:space="0" w:color="auto"/>
        <w:right w:val="none" w:sz="0" w:space="0" w:color="auto"/>
      </w:divBdr>
      <w:divsChild>
        <w:div w:id="63527219">
          <w:marLeft w:val="0"/>
          <w:marRight w:val="0"/>
          <w:marTop w:val="0"/>
          <w:marBottom w:val="0"/>
          <w:divBdr>
            <w:top w:val="none" w:sz="0" w:space="0" w:color="auto"/>
            <w:left w:val="none" w:sz="0" w:space="0" w:color="auto"/>
            <w:bottom w:val="none" w:sz="0" w:space="0" w:color="auto"/>
            <w:right w:val="none" w:sz="0" w:space="0" w:color="auto"/>
          </w:divBdr>
          <w:divsChild>
            <w:div w:id="1854222132">
              <w:marLeft w:val="0"/>
              <w:marRight w:val="0"/>
              <w:marTop w:val="0"/>
              <w:marBottom w:val="0"/>
              <w:divBdr>
                <w:top w:val="none" w:sz="0" w:space="0" w:color="auto"/>
                <w:left w:val="none" w:sz="0" w:space="0" w:color="auto"/>
                <w:bottom w:val="none" w:sz="0" w:space="0" w:color="auto"/>
                <w:right w:val="none" w:sz="0" w:space="0" w:color="auto"/>
              </w:divBdr>
              <w:divsChild>
                <w:div w:id="419302527">
                  <w:marLeft w:val="0"/>
                  <w:marRight w:val="0"/>
                  <w:marTop w:val="0"/>
                  <w:marBottom w:val="0"/>
                  <w:divBdr>
                    <w:top w:val="none" w:sz="0" w:space="0" w:color="auto"/>
                    <w:left w:val="none" w:sz="0" w:space="0" w:color="auto"/>
                    <w:bottom w:val="none" w:sz="0" w:space="0" w:color="auto"/>
                    <w:right w:val="none" w:sz="0" w:space="0" w:color="auto"/>
                  </w:divBdr>
                  <w:divsChild>
                    <w:div w:id="7821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2139">
          <w:marLeft w:val="0"/>
          <w:marRight w:val="0"/>
          <w:marTop w:val="0"/>
          <w:marBottom w:val="0"/>
          <w:divBdr>
            <w:top w:val="none" w:sz="0" w:space="0" w:color="auto"/>
            <w:left w:val="none" w:sz="0" w:space="0" w:color="auto"/>
            <w:bottom w:val="none" w:sz="0" w:space="0" w:color="auto"/>
            <w:right w:val="none" w:sz="0" w:space="0" w:color="auto"/>
          </w:divBdr>
          <w:divsChild>
            <w:div w:id="1025716243">
              <w:marLeft w:val="0"/>
              <w:marRight w:val="0"/>
              <w:marTop w:val="0"/>
              <w:marBottom w:val="0"/>
              <w:divBdr>
                <w:top w:val="none" w:sz="0" w:space="0" w:color="auto"/>
                <w:left w:val="none" w:sz="0" w:space="0" w:color="auto"/>
                <w:bottom w:val="none" w:sz="0" w:space="0" w:color="auto"/>
                <w:right w:val="none" w:sz="0" w:space="0" w:color="auto"/>
              </w:divBdr>
              <w:divsChild>
                <w:div w:id="1276795004">
                  <w:marLeft w:val="0"/>
                  <w:marRight w:val="0"/>
                  <w:marTop w:val="0"/>
                  <w:marBottom w:val="0"/>
                  <w:divBdr>
                    <w:top w:val="none" w:sz="0" w:space="0" w:color="auto"/>
                    <w:left w:val="none" w:sz="0" w:space="0" w:color="auto"/>
                    <w:bottom w:val="none" w:sz="0" w:space="0" w:color="auto"/>
                    <w:right w:val="none" w:sz="0" w:space="0" w:color="auto"/>
                  </w:divBdr>
                  <w:divsChild>
                    <w:div w:id="5924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3946">
      <w:bodyDiv w:val="1"/>
      <w:marLeft w:val="0"/>
      <w:marRight w:val="0"/>
      <w:marTop w:val="0"/>
      <w:marBottom w:val="0"/>
      <w:divBdr>
        <w:top w:val="none" w:sz="0" w:space="0" w:color="auto"/>
        <w:left w:val="none" w:sz="0" w:space="0" w:color="auto"/>
        <w:bottom w:val="none" w:sz="0" w:space="0" w:color="auto"/>
        <w:right w:val="none" w:sz="0" w:space="0" w:color="auto"/>
      </w:divBdr>
    </w:div>
    <w:div w:id="1111364411">
      <w:bodyDiv w:val="1"/>
      <w:marLeft w:val="0"/>
      <w:marRight w:val="0"/>
      <w:marTop w:val="0"/>
      <w:marBottom w:val="0"/>
      <w:divBdr>
        <w:top w:val="none" w:sz="0" w:space="0" w:color="auto"/>
        <w:left w:val="none" w:sz="0" w:space="0" w:color="auto"/>
        <w:bottom w:val="none" w:sz="0" w:space="0" w:color="auto"/>
        <w:right w:val="none" w:sz="0" w:space="0" w:color="auto"/>
      </w:divBdr>
    </w:div>
    <w:div w:id="1131438362">
      <w:bodyDiv w:val="1"/>
      <w:marLeft w:val="0"/>
      <w:marRight w:val="0"/>
      <w:marTop w:val="0"/>
      <w:marBottom w:val="0"/>
      <w:divBdr>
        <w:top w:val="none" w:sz="0" w:space="0" w:color="auto"/>
        <w:left w:val="none" w:sz="0" w:space="0" w:color="auto"/>
        <w:bottom w:val="none" w:sz="0" w:space="0" w:color="auto"/>
        <w:right w:val="none" w:sz="0" w:space="0" w:color="auto"/>
      </w:divBdr>
      <w:divsChild>
        <w:div w:id="716316893">
          <w:marLeft w:val="0"/>
          <w:marRight w:val="0"/>
          <w:marTop w:val="0"/>
          <w:marBottom w:val="0"/>
          <w:divBdr>
            <w:top w:val="none" w:sz="0" w:space="0" w:color="auto"/>
            <w:left w:val="none" w:sz="0" w:space="0" w:color="auto"/>
            <w:bottom w:val="none" w:sz="0" w:space="0" w:color="auto"/>
            <w:right w:val="none" w:sz="0" w:space="0" w:color="auto"/>
          </w:divBdr>
          <w:divsChild>
            <w:div w:id="164516621">
              <w:marLeft w:val="0"/>
              <w:marRight w:val="0"/>
              <w:marTop w:val="0"/>
              <w:marBottom w:val="0"/>
              <w:divBdr>
                <w:top w:val="none" w:sz="0" w:space="0" w:color="auto"/>
                <w:left w:val="none" w:sz="0" w:space="0" w:color="auto"/>
                <w:bottom w:val="none" w:sz="0" w:space="0" w:color="auto"/>
                <w:right w:val="none" w:sz="0" w:space="0" w:color="auto"/>
              </w:divBdr>
              <w:divsChild>
                <w:div w:id="745609308">
                  <w:marLeft w:val="0"/>
                  <w:marRight w:val="0"/>
                  <w:marTop w:val="0"/>
                  <w:marBottom w:val="0"/>
                  <w:divBdr>
                    <w:top w:val="none" w:sz="0" w:space="0" w:color="auto"/>
                    <w:left w:val="none" w:sz="0" w:space="0" w:color="auto"/>
                    <w:bottom w:val="none" w:sz="0" w:space="0" w:color="auto"/>
                    <w:right w:val="none" w:sz="0" w:space="0" w:color="auto"/>
                  </w:divBdr>
                  <w:divsChild>
                    <w:div w:id="10486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5056">
          <w:marLeft w:val="0"/>
          <w:marRight w:val="0"/>
          <w:marTop w:val="0"/>
          <w:marBottom w:val="0"/>
          <w:divBdr>
            <w:top w:val="none" w:sz="0" w:space="0" w:color="auto"/>
            <w:left w:val="none" w:sz="0" w:space="0" w:color="auto"/>
            <w:bottom w:val="none" w:sz="0" w:space="0" w:color="auto"/>
            <w:right w:val="none" w:sz="0" w:space="0" w:color="auto"/>
          </w:divBdr>
          <w:divsChild>
            <w:div w:id="1195508718">
              <w:marLeft w:val="0"/>
              <w:marRight w:val="0"/>
              <w:marTop w:val="0"/>
              <w:marBottom w:val="0"/>
              <w:divBdr>
                <w:top w:val="none" w:sz="0" w:space="0" w:color="auto"/>
                <w:left w:val="none" w:sz="0" w:space="0" w:color="auto"/>
                <w:bottom w:val="none" w:sz="0" w:space="0" w:color="auto"/>
                <w:right w:val="none" w:sz="0" w:space="0" w:color="auto"/>
              </w:divBdr>
              <w:divsChild>
                <w:div w:id="1714034958">
                  <w:marLeft w:val="0"/>
                  <w:marRight w:val="0"/>
                  <w:marTop w:val="0"/>
                  <w:marBottom w:val="0"/>
                  <w:divBdr>
                    <w:top w:val="none" w:sz="0" w:space="0" w:color="auto"/>
                    <w:left w:val="none" w:sz="0" w:space="0" w:color="auto"/>
                    <w:bottom w:val="none" w:sz="0" w:space="0" w:color="auto"/>
                    <w:right w:val="none" w:sz="0" w:space="0" w:color="auto"/>
                  </w:divBdr>
                  <w:divsChild>
                    <w:div w:id="14275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060373">
      <w:bodyDiv w:val="1"/>
      <w:marLeft w:val="0"/>
      <w:marRight w:val="0"/>
      <w:marTop w:val="0"/>
      <w:marBottom w:val="0"/>
      <w:divBdr>
        <w:top w:val="none" w:sz="0" w:space="0" w:color="auto"/>
        <w:left w:val="none" w:sz="0" w:space="0" w:color="auto"/>
        <w:bottom w:val="none" w:sz="0" w:space="0" w:color="auto"/>
        <w:right w:val="none" w:sz="0" w:space="0" w:color="auto"/>
      </w:divBdr>
    </w:div>
    <w:div w:id="1135223879">
      <w:bodyDiv w:val="1"/>
      <w:marLeft w:val="0"/>
      <w:marRight w:val="0"/>
      <w:marTop w:val="0"/>
      <w:marBottom w:val="0"/>
      <w:divBdr>
        <w:top w:val="none" w:sz="0" w:space="0" w:color="auto"/>
        <w:left w:val="none" w:sz="0" w:space="0" w:color="auto"/>
        <w:bottom w:val="none" w:sz="0" w:space="0" w:color="auto"/>
        <w:right w:val="none" w:sz="0" w:space="0" w:color="auto"/>
      </w:divBdr>
    </w:div>
    <w:div w:id="1145203677">
      <w:bodyDiv w:val="1"/>
      <w:marLeft w:val="0"/>
      <w:marRight w:val="0"/>
      <w:marTop w:val="0"/>
      <w:marBottom w:val="0"/>
      <w:divBdr>
        <w:top w:val="none" w:sz="0" w:space="0" w:color="auto"/>
        <w:left w:val="none" w:sz="0" w:space="0" w:color="auto"/>
        <w:bottom w:val="none" w:sz="0" w:space="0" w:color="auto"/>
        <w:right w:val="none" w:sz="0" w:space="0" w:color="auto"/>
      </w:divBdr>
    </w:div>
    <w:div w:id="1146052626">
      <w:bodyDiv w:val="1"/>
      <w:marLeft w:val="0"/>
      <w:marRight w:val="0"/>
      <w:marTop w:val="0"/>
      <w:marBottom w:val="0"/>
      <w:divBdr>
        <w:top w:val="none" w:sz="0" w:space="0" w:color="auto"/>
        <w:left w:val="none" w:sz="0" w:space="0" w:color="auto"/>
        <w:bottom w:val="none" w:sz="0" w:space="0" w:color="auto"/>
        <w:right w:val="none" w:sz="0" w:space="0" w:color="auto"/>
      </w:divBdr>
    </w:div>
    <w:div w:id="1150750371">
      <w:bodyDiv w:val="1"/>
      <w:marLeft w:val="0"/>
      <w:marRight w:val="0"/>
      <w:marTop w:val="0"/>
      <w:marBottom w:val="0"/>
      <w:divBdr>
        <w:top w:val="none" w:sz="0" w:space="0" w:color="auto"/>
        <w:left w:val="none" w:sz="0" w:space="0" w:color="auto"/>
        <w:bottom w:val="none" w:sz="0" w:space="0" w:color="auto"/>
        <w:right w:val="none" w:sz="0" w:space="0" w:color="auto"/>
      </w:divBdr>
    </w:div>
    <w:div w:id="1152910891">
      <w:bodyDiv w:val="1"/>
      <w:marLeft w:val="0"/>
      <w:marRight w:val="0"/>
      <w:marTop w:val="0"/>
      <w:marBottom w:val="0"/>
      <w:divBdr>
        <w:top w:val="none" w:sz="0" w:space="0" w:color="auto"/>
        <w:left w:val="none" w:sz="0" w:space="0" w:color="auto"/>
        <w:bottom w:val="none" w:sz="0" w:space="0" w:color="auto"/>
        <w:right w:val="none" w:sz="0" w:space="0" w:color="auto"/>
      </w:divBdr>
    </w:div>
    <w:div w:id="1160541434">
      <w:bodyDiv w:val="1"/>
      <w:marLeft w:val="0"/>
      <w:marRight w:val="0"/>
      <w:marTop w:val="0"/>
      <w:marBottom w:val="0"/>
      <w:divBdr>
        <w:top w:val="none" w:sz="0" w:space="0" w:color="auto"/>
        <w:left w:val="none" w:sz="0" w:space="0" w:color="auto"/>
        <w:bottom w:val="none" w:sz="0" w:space="0" w:color="auto"/>
        <w:right w:val="none" w:sz="0" w:space="0" w:color="auto"/>
      </w:divBdr>
      <w:divsChild>
        <w:div w:id="1521436619">
          <w:marLeft w:val="0"/>
          <w:marRight w:val="0"/>
          <w:marTop w:val="0"/>
          <w:marBottom w:val="0"/>
          <w:divBdr>
            <w:top w:val="none" w:sz="0" w:space="0" w:color="auto"/>
            <w:left w:val="none" w:sz="0" w:space="0" w:color="auto"/>
            <w:bottom w:val="none" w:sz="0" w:space="0" w:color="auto"/>
            <w:right w:val="none" w:sz="0" w:space="0" w:color="auto"/>
          </w:divBdr>
          <w:divsChild>
            <w:div w:id="1412774765">
              <w:marLeft w:val="0"/>
              <w:marRight w:val="0"/>
              <w:marTop w:val="0"/>
              <w:marBottom w:val="0"/>
              <w:divBdr>
                <w:top w:val="none" w:sz="0" w:space="0" w:color="auto"/>
                <w:left w:val="none" w:sz="0" w:space="0" w:color="auto"/>
                <w:bottom w:val="none" w:sz="0" w:space="0" w:color="auto"/>
                <w:right w:val="none" w:sz="0" w:space="0" w:color="auto"/>
              </w:divBdr>
              <w:divsChild>
                <w:div w:id="14006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6429">
      <w:bodyDiv w:val="1"/>
      <w:marLeft w:val="0"/>
      <w:marRight w:val="0"/>
      <w:marTop w:val="0"/>
      <w:marBottom w:val="0"/>
      <w:divBdr>
        <w:top w:val="none" w:sz="0" w:space="0" w:color="auto"/>
        <w:left w:val="none" w:sz="0" w:space="0" w:color="auto"/>
        <w:bottom w:val="none" w:sz="0" w:space="0" w:color="auto"/>
        <w:right w:val="none" w:sz="0" w:space="0" w:color="auto"/>
      </w:divBdr>
    </w:div>
    <w:div w:id="1188375793">
      <w:bodyDiv w:val="1"/>
      <w:marLeft w:val="0"/>
      <w:marRight w:val="0"/>
      <w:marTop w:val="0"/>
      <w:marBottom w:val="0"/>
      <w:divBdr>
        <w:top w:val="none" w:sz="0" w:space="0" w:color="auto"/>
        <w:left w:val="none" w:sz="0" w:space="0" w:color="auto"/>
        <w:bottom w:val="none" w:sz="0" w:space="0" w:color="auto"/>
        <w:right w:val="none" w:sz="0" w:space="0" w:color="auto"/>
      </w:divBdr>
      <w:divsChild>
        <w:div w:id="1121414080">
          <w:marLeft w:val="0"/>
          <w:marRight w:val="0"/>
          <w:marTop w:val="0"/>
          <w:marBottom w:val="0"/>
          <w:divBdr>
            <w:top w:val="none" w:sz="0" w:space="0" w:color="auto"/>
            <w:left w:val="none" w:sz="0" w:space="0" w:color="auto"/>
            <w:bottom w:val="none" w:sz="0" w:space="0" w:color="auto"/>
            <w:right w:val="none" w:sz="0" w:space="0" w:color="auto"/>
          </w:divBdr>
          <w:divsChild>
            <w:div w:id="43796487">
              <w:marLeft w:val="0"/>
              <w:marRight w:val="0"/>
              <w:marTop w:val="0"/>
              <w:marBottom w:val="0"/>
              <w:divBdr>
                <w:top w:val="none" w:sz="0" w:space="0" w:color="auto"/>
                <w:left w:val="none" w:sz="0" w:space="0" w:color="auto"/>
                <w:bottom w:val="none" w:sz="0" w:space="0" w:color="auto"/>
                <w:right w:val="none" w:sz="0" w:space="0" w:color="auto"/>
              </w:divBdr>
              <w:divsChild>
                <w:div w:id="1096292153">
                  <w:marLeft w:val="0"/>
                  <w:marRight w:val="0"/>
                  <w:marTop w:val="0"/>
                  <w:marBottom w:val="0"/>
                  <w:divBdr>
                    <w:top w:val="none" w:sz="0" w:space="0" w:color="auto"/>
                    <w:left w:val="none" w:sz="0" w:space="0" w:color="auto"/>
                    <w:bottom w:val="none" w:sz="0" w:space="0" w:color="auto"/>
                    <w:right w:val="none" w:sz="0" w:space="0" w:color="auto"/>
                  </w:divBdr>
                  <w:divsChild>
                    <w:div w:id="3344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92377">
          <w:marLeft w:val="0"/>
          <w:marRight w:val="0"/>
          <w:marTop w:val="0"/>
          <w:marBottom w:val="0"/>
          <w:divBdr>
            <w:top w:val="none" w:sz="0" w:space="0" w:color="auto"/>
            <w:left w:val="none" w:sz="0" w:space="0" w:color="auto"/>
            <w:bottom w:val="none" w:sz="0" w:space="0" w:color="auto"/>
            <w:right w:val="none" w:sz="0" w:space="0" w:color="auto"/>
          </w:divBdr>
          <w:divsChild>
            <w:div w:id="2032879669">
              <w:marLeft w:val="0"/>
              <w:marRight w:val="0"/>
              <w:marTop w:val="0"/>
              <w:marBottom w:val="0"/>
              <w:divBdr>
                <w:top w:val="none" w:sz="0" w:space="0" w:color="auto"/>
                <w:left w:val="none" w:sz="0" w:space="0" w:color="auto"/>
                <w:bottom w:val="none" w:sz="0" w:space="0" w:color="auto"/>
                <w:right w:val="none" w:sz="0" w:space="0" w:color="auto"/>
              </w:divBdr>
              <w:divsChild>
                <w:div w:id="532495581">
                  <w:marLeft w:val="0"/>
                  <w:marRight w:val="0"/>
                  <w:marTop w:val="0"/>
                  <w:marBottom w:val="0"/>
                  <w:divBdr>
                    <w:top w:val="none" w:sz="0" w:space="0" w:color="auto"/>
                    <w:left w:val="none" w:sz="0" w:space="0" w:color="auto"/>
                    <w:bottom w:val="none" w:sz="0" w:space="0" w:color="auto"/>
                    <w:right w:val="none" w:sz="0" w:space="0" w:color="auto"/>
                  </w:divBdr>
                  <w:divsChild>
                    <w:div w:id="13606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11648306">
      <w:bodyDiv w:val="1"/>
      <w:marLeft w:val="0"/>
      <w:marRight w:val="0"/>
      <w:marTop w:val="0"/>
      <w:marBottom w:val="0"/>
      <w:divBdr>
        <w:top w:val="none" w:sz="0" w:space="0" w:color="auto"/>
        <w:left w:val="none" w:sz="0" w:space="0" w:color="auto"/>
        <w:bottom w:val="none" w:sz="0" w:space="0" w:color="auto"/>
        <w:right w:val="none" w:sz="0" w:space="0" w:color="auto"/>
      </w:divBdr>
    </w:div>
    <w:div w:id="1234968776">
      <w:bodyDiv w:val="1"/>
      <w:marLeft w:val="0"/>
      <w:marRight w:val="0"/>
      <w:marTop w:val="0"/>
      <w:marBottom w:val="0"/>
      <w:divBdr>
        <w:top w:val="none" w:sz="0" w:space="0" w:color="auto"/>
        <w:left w:val="none" w:sz="0" w:space="0" w:color="auto"/>
        <w:bottom w:val="none" w:sz="0" w:space="0" w:color="auto"/>
        <w:right w:val="none" w:sz="0" w:space="0" w:color="auto"/>
      </w:divBdr>
    </w:div>
    <w:div w:id="1236211190">
      <w:bodyDiv w:val="1"/>
      <w:marLeft w:val="0"/>
      <w:marRight w:val="0"/>
      <w:marTop w:val="0"/>
      <w:marBottom w:val="0"/>
      <w:divBdr>
        <w:top w:val="none" w:sz="0" w:space="0" w:color="auto"/>
        <w:left w:val="none" w:sz="0" w:space="0" w:color="auto"/>
        <w:bottom w:val="none" w:sz="0" w:space="0" w:color="auto"/>
        <w:right w:val="none" w:sz="0" w:space="0" w:color="auto"/>
      </w:divBdr>
    </w:div>
    <w:div w:id="1246572109">
      <w:bodyDiv w:val="1"/>
      <w:marLeft w:val="0"/>
      <w:marRight w:val="0"/>
      <w:marTop w:val="0"/>
      <w:marBottom w:val="0"/>
      <w:divBdr>
        <w:top w:val="none" w:sz="0" w:space="0" w:color="auto"/>
        <w:left w:val="none" w:sz="0" w:space="0" w:color="auto"/>
        <w:bottom w:val="none" w:sz="0" w:space="0" w:color="auto"/>
        <w:right w:val="none" w:sz="0" w:space="0" w:color="auto"/>
      </w:divBdr>
    </w:div>
    <w:div w:id="1253317430">
      <w:bodyDiv w:val="1"/>
      <w:marLeft w:val="0"/>
      <w:marRight w:val="0"/>
      <w:marTop w:val="0"/>
      <w:marBottom w:val="0"/>
      <w:divBdr>
        <w:top w:val="none" w:sz="0" w:space="0" w:color="auto"/>
        <w:left w:val="none" w:sz="0" w:space="0" w:color="auto"/>
        <w:bottom w:val="none" w:sz="0" w:space="0" w:color="auto"/>
        <w:right w:val="none" w:sz="0" w:space="0" w:color="auto"/>
      </w:divBdr>
    </w:div>
    <w:div w:id="1257330431">
      <w:bodyDiv w:val="1"/>
      <w:marLeft w:val="0"/>
      <w:marRight w:val="0"/>
      <w:marTop w:val="0"/>
      <w:marBottom w:val="0"/>
      <w:divBdr>
        <w:top w:val="none" w:sz="0" w:space="0" w:color="auto"/>
        <w:left w:val="none" w:sz="0" w:space="0" w:color="auto"/>
        <w:bottom w:val="none" w:sz="0" w:space="0" w:color="auto"/>
        <w:right w:val="none" w:sz="0" w:space="0" w:color="auto"/>
      </w:divBdr>
    </w:div>
    <w:div w:id="1257639442">
      <w:bodyDiv w:val="1"/>
      <w:marLeft w:val="0"/>
      <w:marRight w:val="0"/>
      <w:marTop w:val="0"/>
      <w:marBottom w:val="0"/>
      <w:divBdr>
        <w:top w:val="none" w:sz="0" w:space="0" w:color="auto"/>
        <w:left w:val="none" w:sz="0" w:space="0" w:color="auto"/>
        <w:bottom w:val="none" w:sz="0" w:space="0" w:color="auto"/>
        <w:right w:val="none" w:sz="0" w:space="0" w:color="auto"/>
      </w:divBdr>
    </w:div>
    <w:div w:id="1259559885">
      <w:bodyDiv w:val="1"/>
      <w:marLeft w:val="0"/>
      <w:marRight w:val="0"/>
      <w:marTop w:val="0"/>
      <w:marBottom w:val="0"/>
      <w:divBdr>
        <w:top w:val="none" w:sz="0" w:space="0" w:color="auto"/>
        <w:left w:val="none" w:sz="0" w:space="0" w:color="auto"/>
        <w:bottom w:val="none" w:sz="0" w:space="0" w:color="auto"/>
        <w:right w:val="none" w:sz="0" w:space="0" w:color="auto"/>
      </w:divBdr>
    </w:div>
    <w:div w:id="1262639957">
      <w:bodyDiv w:val="1"/>
      <w:marLeft w:val="0"/>
      <w:marRight w:val="0"/>
      <w:marTop w:val="0"/>
      <w:marBottom w:val="0"/>
      <w:divBdr>
        <w:top w:val="none" w:sz="0" w:space="0" w:color="auto"/>
        <w:left w:val="none" w:sz="0" w:space="0" w:color="auto"/>
        <w:bottom w:val="none" w:sz="0" w:space="0" w:color="auto"/>
        <w:right w:val="none" w:sz="0" w:space="0" w:color="auto"/>
      </w:divBdr>
      <w:divsChild>
        <w:div w:id="413672185">
          <w:marLeft w:val="0"/>
          <w:marRight w:val="0"/>
          <w:marTop w:val="0"/>
          <w:marBottom w:val="0"/>
          <w:divBdr>
            <w:top w:val="none" w:sz="0" w:space="0" w:color="auto"/>
            <w:left w:val="none" w:sz="0" w:space="0" w:color="auto"/>
            <w:bottom w:val="none" w:sz="0" w:space="0" w:color="auto"/>
            <w:right w:val="none" w:sz="0" w:space="0" w:color="auto"/>
          </w:divBdr>
          <w:divsChild>
            <w:div w:id="1402172231">
              <w:marLeft w:val="0"/>
              <w:marRight w:val="0"/>
              <w:marTop w:val="0"/>
              <w:marBottom w:val="0"/>
              <w:divBdr>
                <w:top w:val="none" w:sz="0" w:space="0" w:color="auto"/>
                <w:left w:val="none" w:sz="0" w:space="0" w:color="auto"/>
                <w:bottom w:val="none" w:sz="0" w:space="0" w:color="auto"/>
                <w:right w:val="none" w:sz="0" w:space="0" w:color="auto"/>
              </w:divBdr>
              <w:divsChild>
                <w:div w:id="2134401827">
                  <w:marLeft w:val="0"/>
                  <w:marRight w:val="0"/>
                  <w:marTop w:val="0"/>
                  <w:marBottom w:val="0"/>
                  <w:divBdr>
                    <w:top w:val="none" w:sz="0" w:space="0" w:color="auto"/>
                    <w:left w:val="none" w:sz="0" w:space="0" w:color="auto"/>
                    <w:bottom w:val="none" w:sz="0" w:space="0" w:color="auto"/>
                    <w:right w:val="none" w:sz="0" w:space="0" w:color="auto"/>
                  </w:divBdr>
                  <w:divsChild>
                    <w:div w:id="10381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1253">
      <w:bodyDiv w:val="1"/>
      <w:marLeft w:val="0"/>
      <w:marRight w:val="0"/>
      <w:marTop w:val="0"/>
      <w:marBottom w:val="0"/>
      <w:divBdr>
        <w:top w:val="none" w:sz="0" w:space="0" w:color="auto"/>
        <w:left w:val="none" w:sz="0" w:space="0" w:color="auto"/>
        <w:bottom w:val="none" w:sz="0" w:space="0" w:color="auto"/>
        <w:right w:val="none" w:sz="0" w:space="0" w:color="auto"/>
      </w:divBdr>
    </w:div>
    <w:div w:id="1296523500">
      <w:bodyDiv w:val="1"/>
      <w:marLeft w:val="0"/>
      <w:marRight w:val="0"/>
      <w:marTop w:val="0"/>
      <w:marBottom w:val="0"/>
      <w:divBdr>
        <w:top w:val="none" w:sz="0" w:space="0" w:color="auto"/>
        <w:left w:val="none" w:sz="0" w:space="0" w:color="auto"/>
        <w:bottom w:val="none" w:sz="0" w:space="0" w:color="auto"/>
        <w:right w:val="none" w:sz="0" w:space="0" w:color="auto"/>
      </w:divBdr>
    </w:div>
    <w:div w:id="1298801253">
      <w:bodyDiv w:val="1"/>
      <w:marLeft w:val="0"/>
      <w:marRight w:val="0"/>
      <w:marTop w:val="0"/>
      <w:marBottom w:val="0"/>
      <w:divBdr>
        <w:top w:val="none" w:sz="0" w:space="0" w:color="auto"/>
        <w:left w:val="none" w:sz="0" w:space="0" w:color="auto"/>
        <w:bottom w:val="none" w:sz="0" w:space="0" w:color="auto"/>
        <w:right w:val="none" w:sz="0" w:space="0" w:color="auto"/>
      </w:divBdr>
    </w:div>
    <w:div w:id="1302466064">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06816805">
      <w:bodyDiv w:val="1"/>
      <w:marLeft w:val="0"/>
      <w:marRight w:val="0"/>
      <w:marTop w:val="0"/>
      <w:marBottom w:val="0"/>
      <w:divBdr>
        <w:top w:val="none" w:sz="0" w:space="0" w:color="auto"/>
        <w:left w:val="none" w:sz="0" w:space="0" w:color="auto"/>
        <w:bottom w:val="none" w:sz="0" w:space="0" w:color="auto"/>
        <w:right w:val="none" w:sz="0" w:space="0" w:color="auto"/>
      </w:divBdr>
    </w:div>
    <w:div w:id="1334530991">
      <w:bodyDiv w:val="1"/>
      <w:marLeft w:val="0"/>
      <w:marRight w:val="0"/>
      <w:marTop w:val="0"/>
      <w:marBottom w:val="0"/>
      <w:divBdr>
        <w:top w:val="none" w:sz="0" w:space="0" w:color="auto"/>
        <w:left w:val="none" w:sz="0" w:space="0" w:color="auto"/>
        <w:bottom w:val="none" w:sz="0" w:space="0" w:color="auto"/>
        <w:right w:val="none" w:sz="0" w:space="0" w:color="auto"/>
      </w:divBdr>
    </w:div>
    <w:div w:id="1337882865">
      <w:bodyDiv w:val="1"/>
      <w:marLeft w:val="0"/>
      <w:marRight w:val="0"/>
      <w:marTop w:val="0"/>
      <w:marBottom w:val="0"/>
      <w:divBdr>
        <w:top w:val="none" w:sz="0" w:space="0" w:color="auto"/>
        <w:left w:val="none" w:sz="0" w:space="0" w:color="auto"/>
        <w:bottom w:val="none" w:sz="0" w:space="0" w:color="auto"/>
        <w:right w:val="none" w:sz="0" w:space="0" w:color="auto"/>
      </w:divBdr>
    </w:div>
    <w:div w:id="1345783972">
      <w:bodyDiv w:val="1"/>
      <w:marLeft w:val="0"/>
      <w:marRight w:val="0"/>
      <w:marTop w:val="0"/>
      <w:marBottom w:val="0"/>
      <w:divBdr>
        <w:top w:val="none" w:sz="0" w:space="0" w:color="auto"/>
        <w:left w:val="none" w:sz="0" w:space="0" w:color="auto"/>
        <w:bottom w:val="none" w:sz="0" w:space="0" w:color="auto"/>
        <w:right w:val="none" w:sz="0" w:space="0" w:color="auto"/>
      </w:divBdr>
    </w:div>
    <w:div w:id="1348098661">
      <w:bodyDiv w:val="1"/>
      <w:marLeft w:val="0"/>
      <w:marRight w:val="0"/>
      <w:marTop w:val="0"/>
      <w:marBottom w:val="0"/>
      <w:divBdr>
        <w:top w:val="none" w:sz="0" w:space="0" w:color="auto"/>
        <w:left w:val="none" w:sz="0" w:space="0" w:color="auto"/>
        <w:bottom w:val="none" w:sz="0" w:space="0" w:color="auto"/>
        <w:right w:val="none" w:sz="0" w:space="0" w:color="auto"/>
      </w:divBdr>
    </w:div>
    <w:div w:id="1351295716">
      <w:bodyDiv w:val="1"/>
      <w:marLeft w:val="0"/>
      <w:marRight w:val="0"/>
      <w:marTop w:val="0"/>
      <w:marBottom w:val="0"/>
      <w:divBdr>
        <w:top w:val="none" w:sz="0" w:space="0" w:color="auto"/>
        <w:left w:val="none" w:sz="0" w:space="0" w:color="auto"/>
        <w:bottom w:val="none" w:sz="0" w:space="0" w:color="auto"/>
        <w:right w:val="none" w:sz="0" w:space="0" w:color="auto"/>
      </w:divBdr>
    </w:div>
    <w:div w:id="1356035227">
      <w:bodyDiv w:val="1"/>
      <w:marLeft w:val="0"/>
      <w:marRight w:val="0"/>
      <w:marTop w:val="0"/>
      <w:marBottom w:val="0"/>
      <w:divBdr>
        <w:top w:val="none" w:sz="0" w:space="0" w:color="auto"/>
        <w:left w:val="none" w:sz="0" w:space="0" w:color="auto"/>
        <w:bottom w:val="none" w:sz="0" w:space="0" w:color="auto"/>
        <w:right w:val="none" w:sz="0" w:space="0" w:color="auto"/>
      </w:divBdr>
    </w:div>
    <w:div w:id="1376732044">
      <w:bodyDiv w:val="1"/>
      <w:marLeft w:val="0"/>
      <w:marRight w:val="0"/>
      <w:marTop w:val="0"/>
      <w:marBottom w:val="0"/>
      <w:divBdr>
        <w:top w:val="none" w:sz="0" w:space="0" w:color="auto"/>
        <w:left w:val="none" w:sz="0" w:space="0" w:color="auto"/>
        <w:bottom w:val="none" w:sz="0" w:space="0" w:color="auto"/>
        <w:right w:val="none" w:sz="0" w:space="0" w:color="auto"/>
      </w:divBdr>
    </w:div>
    <w:div w:id="1379285697">
      <w:bodyDiv w:val="1"/>
      <w:marLeft w:val="0"/>
      <w:marRight w:val="0"/>
      <w:marTop w:val="0"/>
      <w:marBottom w:val="0"/>
      <w:divBdr>
        <w:top w:val="none" w:sz="0" w:space="0" w:color="auto"/>
        <w:left w:val="none" w:sz="0" w:space="0" w:color="auto"/>
        <w:bottom w:val="none" w:sz="0" w:space="0" w:color="auto"/>
        <w:right w:val="none" w:sz="0" w:space="0" w:color="auto"/>
      </w:divBdr>
    </w:div>
    <w:div w:id="1384593799">
      <w:bodyDiv w:val="1"/>
      <w:marLeft w:val="0"/>
      <w:marRight w:val="0"/>
      <w:marTop w:val="0"/>
      <w:marBottom w:val="0"/>
      <w:divBdr>
        <w:top w:val="none" w:sz="0" w:space="0" w:color="auto"/>
        <w:left w:val="none" w:sz="0" w:space="0" w:color="auto"/>
        <w:bottom w:val="none" w:sz="0" w:space="0" w:color="auto"/>
        <w:right w:val="none" w:sz="0" w:space="0" w:color="auto"/>
      </w:divBdr>
    </w:div>
    <w:div w:id="1389498270">
      <w:bodyDiv w:val="1"/>
      <w:marLeft w:val="0"/>
      <w:marRight w:val="0"/>
      <w:marTop w:val="0"/>
      <w:marBottom w:val="0"/>
      <w:divBdr>
        <w:top w:val="none" w:sz="0" w:space="0" w:color="auto"/>
        <w:left w:val="none" w:sz="0" w:space="0" w:color="auto"/>
        <w:bottom w:val="none" w:sz="0" w:space="0" w:color="auto"/>
        <w:right w:val="none" w:sz="0" w:space="0" w:color="auto"/>
      </w:divBdr>
    </w:div>
    <w:div w:id="1390420935">
      <w:bodyDiv w:val="1"/>
      <w:marLeft w:val="0"/>
      <w:marRight w:val="0"/>
      <w:marTop w:val="0"/>
      <w:marBottom w:val="0"/>
      <w:divBdr>
        <w:top w:val="none" w:sz="0" w:space="0" w:color="auto"/>
        <w:left w:val="none" w:sz="0" w:space="0" w:color="auto"/>
        <w:bottom w:val="none" w:sz="0" w:space="0" w:color="auto"/>
        <w:right w:val="none" w:sz="0" w:space="0" w:color="auto"/>
      </w:divBdr>
      <w:divsChild>
        <w:div w:id="1851329896">
          <w:marLeft w:val="0"/>
          <w:marRight w:val="0"/>
          <w:marTop w:val="0"/>
          <w:marBottom w:val="0"/>
          <w:divBdr>
            <w:top w:val="none" w:sz="0" w:space="0" w:color="auto"/>
            <w:left w:val="none" w:sz="0" w:space="0" w:color="auto"/>
            <w:bottom w:val="none" w:sz="0" w:space="0" w:color="auto"/>
            <w:right w:val="none" w:sz="0" w:space="0" w:color="auto"/>
          </w:divBdr>
          <w:divsChild>
            <w:div w:id="240990702">
              <w:marLeft w:val="0"/>
              <w:marRight w:val="0"/>
              <w:marTop w:val="0"/>
              <w:marBottom w:val="0"/>
              <w:divBdr>
                <w:top w:val="none" w:sz="0" w:space="0" w:color="auto"/>
                <w:left w:val="none" w:sz="0" w:space="0" w:color="auto"/>
                <w:bottom w:val="none" w:sz="0" w:space="0" w:color="auto"/>
                <w:right w:val="none" w:sz="0" w:space="0" w:color="auto"/>
              </w:divBdr>
              <w:divsChild>
                <w:div w:id="2130858744">
                  <w:marLeft w:val="0"/>
                  <w:marRight w:val="0"/>
                  <w:marTop w:val="0"/>
                  <w:marBottom w:val="0"/>
                  <w:divBdr>
                    <w:top w:val="none" w:sz="0" w:space="0" w:color="auto"/>
                    <w:left w:val="none" w:sz="0" w:space="0" w:color="auto"/>
                    <w:bottom w:val="none" w:sz="0" w:space="0" w:color="auto"/>
                    <w:right w:val="none" w:sz="0" w:space="0" w:color="auto"/>
                  </w:divBdr>
                  <w:divsChild>
                    <w:div w:id="12273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18425">
      <w:bodyDiv w:val="1"/>
      <w:marLeft w:val="0"/>
      <w:marRight w:val="0"/>
      <w:marTop w:val="0"/>
      <w:marBottom w:val="0"/>
      <w:divBdr>
        <w:top w:val="none" w:sz="0" w:space="0" w:color="auto"/>
        <w:left w:val="none" w:sz="0" w:space="0" w:color="auto"/>
        <w:bottom w:val="none" w:sz="0" w:space="0" w:color="auto"/>
        <w:right w:val="none" w:sz="0" w:space="0" w:color="auto"/>
      </w:divBdr>
      <w:divsChild>
        <w:div w:id="75443279">
          <w:marLeft w:val="0"/>
          <w:marRight w:val="0"/>
          <w:marTop w:val="0"/>
          <w:marBottom w:val="0"/>
          <w:divBdr>
            <w:top w:val="none" w:sz="0" w:space="0" w:color="auto"/>
            <w:left w:val="none" w:sz="0" w:space="0" w:color="auto"/>
            <w:bottom w:val="none" w:sz="0" w:space="0" w:color="auto"/>
            <w:right w:val="none" w:sz="0" w:space="0" w:color="auto"/>
          </w:divBdr>
          <w:divsChild>
            <w:div w:id="990906916">
              <w:marLeft w:val="0"/>
              <w:marRight w:val="0"/>
              <w:marTop w:val="0"/>
              <w:marBottom w:val="0"/>
              <w:divBdr>
                <w:top w:val="none" w:sz="0" w:space="0" w:color="auto"/>
                <w:left w:val="none" w:sz="0" w:space="0" w:color="auto"/>
                <w:bottom w:val="none" w:sz="0" w:space="0" w:color="auto"/>
                <w:right w:val="none" w:sz="0" w:space="0" w:color="auto"/>
              </w:divBdr>
              <w:divsChild>
                <w:div w:id="239682760">
                  <w:marLeft w:val="0"/>
                  <w:marRight w:val="0"/>
                  <w:marTop w:val="0"/>
                  <w:marBottom w:val="0"/>
                  <w:divBdr>
                    <w:top w:val="none" w:sz="0" w:space="0" w:color="auto"/>
                    <w:left w:val="none" w:sz="0" w:space="0" w:color="auto"/>
                    <w:bottom w:val="none" w:sz="0" w:space="0" w:color="auto"/>
                    <w:right w:val="none" w:sz="0" w:space="0" w:color="auto"/>
                  </w:divBdr>
                  <w:divsChild>
                    <w:div w:id="1831483052">
                      <w:marLeft w:val="0"/>
                      <w:marRight w:val="0"/>
                      <w:marTop w:val="0"/>
                      <w:marBottom w:val="0"/>
                      <w:divBdr>
                        <w:top w:val="none" w:sz="0" w:space="0" w:color="auto"/>
                        <w:left w:val="none" w:sz="0" w:space="0" w:color="auto"/>
                        <w:bottom w:val="none" w:sz="0" w:space="0" w:color="auto"/>
                        <w:right w:val="none" w:sz="0" w:space="0" w:color="auto"/>
                      </w:divBdr>
                      <w:divsChild>
                        <w:div w:id="240145590">
                          <w:marLeft w:val="0"/>
                          <w:marRight w:val="0"/>
                          <w:marTop w:val="0"/>
                          <w:marBottom w:val="0"/>
                          <w:divBdr>
                            <w:top w:val="none" w:sz="0" w:space="0" w:color="auto"/>
                            <w:left w:val="none" w:sz="0" w:space="0" w:color="auto"/>
                            <w:bottom w:val="none" w:sz="0" w:space="0" w:color="auto"/>
                            <w:right w:val="none" w:sz="0" w:space="0" w:color="auto"/>
                          </w:divBdr>
                          <w:divsChild>
                            <w:div w:id="768887370">
                              <w:marLeft w:val="0"/>
                              <w:marRight w:val="0"/>
                              <w:marTop w:val="0"/>
                              <w:marBottom w:val="0"/>
                              <w:divBdr>
                                <w:top w:val="none" w:sz="0" w:space="0" w:color="auto"/>
                                <w:left w:val="none" w:sz="0" w:space="0" w:color="auto"/>
                                <w:bottom w:val="none" w:sz="0" w:space="0" w:color="auto"/>
                                <w:right w:val="none" w:sz="0" w:space="0" w:color="auto"/>
                              </w:divBdr>
                              <w:divsChild>
                                <w:div w:id="1561329665">
                                  <w:marLeft w:val="0"/>
                                  <w:marRight w:val="0"/>
                                  <w:marTop w:val="0"/>
                                  <w:marBottom w:val="0"/>
                                  <w:divBdr>
                                    <w:top w:val="none" w:sz="0" w:space="0" w:color="auto"/>
                                    <w:left w:val="none" w:sz="0" w:space="0" w:color="auto"/>
                                    <w:bottom w:val="none" w:sz="0" w:space="0" w:color="auto"/>
                                    <w:right w:val="none" w:sz="0" w:space="0" w:color="auto"/>
                                  </w:divBdr>
                                  <w:divsChild>
                                    <w:div w:id="1292177638">
                                      <w:marLeft w:val="0"/>
                                      <w:marRight w:val="0"/>
                                      <w:marTop w:val="0"/>
                                      <w:marBottom w:val="0"/>
                                      <w:divBdr>
                                        <w:top w:val="none" w:sz="0" w:space="0" w:color="auto"/>
                                        <w:left w:val="none" w:sz="0" w:space="0" w:color="auto"/>
                                        <w:bottom w:val="none" w:sz="0" w:space="0" w:color="auto"/>
                                        <w:right w:val="none" w:sz="0" w:space="0" w:color="auto"/>
                                      </w:divBdr>
                                      <w:divsChild>
                                        <w:div w:id="809008706">
                                          <w:marLeft w:val="0"/>
                                          <w:marRight w:val="0"/>
                                          <w:marTop w:val="0"/>
                                          <w:marBottom w:val="0"/>
                                          <w:divBdr>
                                            <w:top w:val="none" w:sz="0" w:space="0" w:color="auto"/>
                                            <w:left w:val="none" w:sz="0" w:space="0" w:color="auto"/>
                                            <w:bottom w:val="none" w:sz="0" w:space="0" w:color="auto"/>
                                            <w:right w:val="none" w:sz="0" w:space="0" w:color="auto"/>
                                          </w:divBdr>
                                          <w:divsChild>
                                            <w:div w:id="1383216512">
                                              <w:marLeft w:val="0"/>
                                              <w:marRight w:val="0"/>
                                              <w:marTop w:val="0"/>
                                              <w:marBottom w:val="0"/>
                                              <w:divBdr>
                                                <w:top w:val="none" w:sz="0" w:space="0" w:color="auto"/>
                                                <w:left w:val="none" w:sz="0" w:space="0" w:color="auto"/>
                                                <w:bottom w:val="none" w:sz="0" w:space="0" w:color="auto"/>
                                                <w:right w:val="none" w:sz="0" w:space="0" w:color="auto"/>
                                              </w:divBdr>
                                              <w:divsChild>
                                                <w:div w:id="2135828321">
                                                  <w:marLeft w:val="0"/>
                                                  <w:marRight w:val="0"/>
                                                  <w:marTop w:val="0"/>
                                                  <w:marBottom w:val="0"/>
                                                  <w:divBdr>
                                                    <w:top w:val="none" w:sz="0" w:space="0" w:color="auto"/>
                                                    <w:left w:val="none" w:sz="0" w:space="0" w:color="auto"/>
                                                    <w:bottom w:val="none" w:sz="0" w:space="0" w:color="auto"/>
                                                    <w:right w:val="none" w:sz="0" w:space="0" w:color="auto"/>
                                                  </w:divBdr>
                                                  <w:divsChild>
                                                    <w:div w:id="1778909698">
                                                      <w:marLeft w:val="0"/>
                                                      <w:marRight w:val="0"/>
                                                      <w:marTop w:val="0"/>
                                                      <w:marBottom w:val="0"/>
                                                      <w:divBdr>
                                                        <w:top w:val="none" w:sz="0" w:space="0" w:color="auto"/>
                                                        <w:left w:val="none" w:sz="0" w:space="0" w:color="auto"/>
                                                        <w:bottom w:val="none" w:sz="0" w:space="0" w:color="auto"/>
                                                        <w:right w:val="none" w:sz="0" w:space="0" w:color="auto"/>
                                                      </w:divBdr>
                                                      <w:divsChild>
                                                        <w:div w:id="19291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04322">
                                              <w:marLeft w:val="0"/>
                                              <w:marRight w:val="0"/>
                                              <w:marTop w:val="0"/>
                                              <w:marBottom w:val="0"/>
                                              <w:divBdr>
                                                <w:top w:val="none" w:sz="0" w:space="0" w:color="auto"/>
                                                <w:left w:val="none" w:sz="0" w:space="0" w:color="auto"/>
                                                <w:bottom w:val="none" w:sz="0" w:space="0" w:color="auto"/>
                                                <w:right w:val="none" w:sz="0" w:space="0" w:color="auto"/>
                                              </w:divBdr>
                                              <w:divsChild>
                                                <w:div w:id="2052068266">
                                                  <w:marLeft w:val="0"/>
                                                  <w:marRight w:val="0"/>
                                                  <w:marTop w:val="0"/>
                                                  <w:marBottom w:val="0"/>
                                                  <w:divBdr>
                                                    <w:top w:val="none" w:sz="0" w:space="0" w:color="auto"/>
                                                    <w:left w:val="none" w:sz="0" w:space="0" w:color="auto"/>
                                                    <w:bottom w:val="none" w:sz="0" w:space="0" w:color="auto"/>
                                                    <w:right w:val="none" w:sz="0" w:space="0" w:color="auto"/>
                                                  </w:divBdr>
                                                  <w:divsChild>
                                                    <w:div w:id="1194730905">
                                                      <w:marLeft w:val="0"/>
                                                      <w:marRight w:val="0"/>
                                                      <w:marTop w:val="0"/>
                                                      <w:marBottom w:val="0"/>
                                                      <w:divBdr>
                                                        <w:top w:val="none" w:sz="0" w:space="0" w:color="auto"/>
                                                        <w:left w:val="none" w:sz="0" w:space="0" w:color="auto"/>
                                                        <w:bottom w:val="none" w:sz="0" w:space="0" w:color="auto"/>
                                                        <w:right w:val="none" w:sz="0" w:space="0" w:color="auto"/>
                                                      </w:divBdr>
                                                      <w:divsChild>
                                                        <w:div w:id="821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082526">
          <w:marLeft w:val="0"/>
          <w:marRight w:val="0"/>
          <w:marTop w:val="0"/>
          <w:marBottom w:val="0"/>
          <w:divBdr>
            <w:top w:val="none" w:sz="0" w:space="0" w:color="auto"/>
            <w:left w:val="none" w:sz="0" w:space="0" w:color="auto"/>
            <w:bottom w:val="none" w:sz="0" w:space="0" w:color="auto"/>
            <w:right w:val="none" w:sz="0" w:space="0" w:color="auto"/>
          </w:divBdr>
          <w:divsChild>
            <w:div w:id="434137711">
              <w:marLeft w:val="0"/>
              <w:marRight w:val="0"/>
              <w:marTop w:val="0"/>
              <w:marBottom w:val="0"/>
              <w:divBdr>
                <w:top w:val="none" w:sz="0" w:space="0" w:color="auto"/>
                <w:left w:val="none" w:sz="0" w:space="0" w:color="auto"/>
                <w:bottom w:val="none" w:sz="0" w:space="0" w:color="auto"/>
                <w:right w:val="none" w:sz="0" w:space="0" w:color="auto"/>
              </w:divBdr>
              <w:divsChild>
                <w:div w:id="1837453638">
                  <w:marLeft w:val="0"/>
                  <w:marRight w:val="0"/>
                  <w:marTop w:val="0"/>
                  <w:marBottom w:val="0"/>
                  <w:divBdr>
                    <w:top w:val="none" w:sz="0" w:space="0" w:color="auto"/>
                    <w:left w:val="none" w:sz="0" w:space="0" w:color="auto"/>
                    <w:bottom w:val="none" w:sz="0" w:space="0" w:color="auto"/>
                    <w:right w:val="none" w:sz="0" w:space="0" w:color="auto"/>
                  </w:divBdr>
                  <w:divsChild>
                    <w:div w:id="3183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46087">
      <w:bodyDiv w:val="1"/>
      <w:marLeft w:val="0"/>
      <w:marRight w:val="0"/>
      <w:marTop w:val="0"/>
      <w:marBottom w:val="0"/>
      <w:divBdr>
        <w:top w:val="none" w:sz="0" w:space="0" w:color="auto"/>
        <w:left w:val="none" w:sz="0" w:space="0" w:color="auto"/>
        <w:bottom w:val="none" w:sz="0" w:space="0" w:color="auto"/>
        <w:right w:val="none" w:sz="0" w:space="0" w:color="auto"/>
      </w:divBdr>
    </w:div>
    <w:div w:id="1434671313">
      <w:bodyDiv w:val="1"/>
      <w:marLeft w:val="0"/>
      <w:marRight w:val="0"/>
      <w:marTop w:val="0"/>
      <w:marBottom w:val="0"/>
      <w:divBdr>
        <w:top w:val="none" w:sz="0" w:space="0" w:color="auto"/>
        <w:left w:val="none" w:sz="0" w:space="0" w:color="auto"/>
        <w:bottom w:val="none" w:sz="0" w:space="0" w:color="auto"/>
        <w:right w:val="none" w:sz="0" w:space="0" w:color="auto"/>
      </w:divBdr>
    </w:div>
    <w:div w:id="1436512010">
      <w:bodyDiv w:val="1"/>
      <w:marLeft w:val="0"/>
      <w:marRight w:val="0"/>
      <w:marTop w:val="0"/>
      <w:marBottom w:val="0"/>
      <w:divBdr>
        <w:top w:val="none" w:sz="0" w:space="0" w:color="auto"/>
        <w:left w:val="none" w:sz="0" w:space="0" w:color="auto"/>
        <w:bottom w:val="none" w:sz="0" w:space="0" w:color="auto"/>
        <w:right w:val="none" w:sz="0" w:space="0" w:color="auto"/>
      </w:divBdr>
      <w:divsChild>
        <w:div w:id="97071550">
          <w:marLeft w:val="0"/>
          <w:marRight w:val="0"/>
          <w:marTop w:val="0"/>
          <w:marBottom w:val="0"/>
          <w:divBdr>
            <w:top w:val="none" w:sz="0" w:space="0" w:color="auto"/>
            <w:left w:val="none" w:sz="0" w:space="0" w:color="auto"/>
            <w:bottom w:val="none" w:sz="0" w:space="0" w:color="auto"/>
            <w:right w:val="none" w:sz="0" w:space="0" w:color="auto"/>
          </w:divBdr>
          <w:divsChild>
            <w:div w:id="2053192038">
              <w:marLeft w:val="0"/>
              <w:marRight w:val="0"/>
              <w:marTop w:val="0"/>
              <w:marBottom w:val="0"/>
              <w:divBdr>
                <w:top w:val="none" w:sz="0" w:space="0" w:color="auto"/>
                <w:left w:val="none" w:sz="0" w:space="0" w:color="auto"/>
                <w:bottom w:val="none" w:sz="0" w:space="0" w:color="auto"/>
                <w:right w:val="none" w:sz="0" w:space="0" w:color="auto"/>
              </w:divBdr>
              <w:divsChild>
                <w:div w:id="1985042198">
                  <w:marLeft w:val="0"/>
                  <w:marRight w:val="0"/>
                  <w:marTop w:val="0"/>
                  <w:marBottom w:val="0"/>
                  <w:divBdr>
                    <w:top w:val="none" w:sz="0" w:space="0" w:color="auto"/>
                    <w:left w:val="none" w:sz="0" w:space="0" w:color="auto"/>
                    <w:bottom w:val="none" w:sz="0" w:space="0" w:color="auto"/>
                    <w:right w:val="none" w:sz="0" w:space="0" w:color="auto"/>
                  </w:divBdr>
                  <w:divsChild>
                    <w:div w:id="4026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
    <w:div w:id="1442605019">
      <w:bodyDiv w:val="1"/>
      <w:marLeft w:val="0"/>
      <w:marRight w:val="0"/>
      <w:marTop w:val="0"/>
      <w:marBottom w:val="0"/>
      <w:divBdr>
        <w:top w:val="none" w:sz="0" w:space="0" w:color="auto"/>
        <w:left w:val="none" w:sz="0" w:space="0" w:color="auto"/>
        <w:bottom w:val="none" w:sz="0" w:space="0" w:color="auto"/>
        <w:right w:val="none" w:sz="0" w:space="0" w:color="auto"/>
      </w:divBdr>
    </w:div>
    <w:div w:id="1447042121">
      <w:bodyDiv w:val="1"/>
      <w:marLeft w:val="0"/>
      <w:marRight w:val="0"/>
      <w:marTop w:val="0"/>
      <w:marBottom w:val="0"/>
      <w:divBdr>
        <w:top w:val="none" w:sz="0" w:space="0" w:color="auto"/>
        <w:left w:val="none" w:sz="0" w:space="0" w:color="auto"/>
        <w:bottom w:val="none" w:sz="0" w:space="0" w:color="auto"/>
        <w:right w:val="none" w:sz="0" w:space="0" w:color="auto"/>
      </w:divBdr>
    </w:div>
    <w:div w:id="1448158197">
      <w:bodyDiv w:val="1"/>
      <w:marLeft w:val="0"/>
      <w:marRight w:val="0"/>
      <w:marTop w:val="0"/>
      <w:marBottom w:val="0"/>
      <w:divBdr>
        <w:top w:val="none" w:sz="0" w:space="0" w:color="auto"/>
        <w:left w:val="none" w:sz="0" w:space="0" w:color="auto"/>
        <w:bottom w:val="none" w:sz="0" w:space="0" w:color="auto"/>
        <w:right w:val="none" w:sz="0" w:space="0" w:color="auto"/>
      </w:divBdr>
    </w:div>
    <w:div w:id="1450666452">
      <w:bodyDiv w:val="1"/>
      <w:marLeft w:val="0"/>
      <w:marRight w:val="0"/>
      <w:marTop w:val="0"/>
      <w:marBottom w:val="0"/>
      <w:divBdr>
        <w:top w:val="none" w:sz="0" w:space="0" w:color="auto"/>
        <w:left w:val="none" w:sz="0" w:space="0" w:color="auto"/>
        <w:bottom w:val="none" w:sz="0" w:space="0" w:color="auto"/>
        <w:right w:val="none" w:sz="0" w:space="0" w:color="auto"/>
      </w:divBdr>
      <w:divsChild>
        <w:div w:id="337394943">
          <w:marLeft w:val="0"/>
          <w:marRight w:val="0"/>
          <w:marTop w:val="0"/>
          <w:marBottom w:val="0"/>
          <w:divBdr>
            <w:top w:val="none" w:sz="0" w:space="0" w:color="auto"/>
            <w:left w:val="none" w:sz="0" w:space="0" w:color="auto"/>
            <w:bottom w:val="none" w:sz="0" w:space="0" w:color="auto"/>
            <w:right w:val="none" w:sz="0" w:space="0" w:color="auto"/>
          </w:divBdr>
          <w:divsChild>
            <w:div w:id="1957448066">
              <w:marLeft w:val="0"/>
              <w:marRight w:val="0"/>
              <w:marTop w:val="0"/>
              <w:marBottom w:val="0"/>
              <w:divBdr>
                <w:top w:val="none" w:sz="0" w:space="0" w:color="auto"/>
                <w:left w:val="none" w:sz="0" w:space="0" w:color="auto"/>
                <w:bottom w:val="none" w:sz="0" w:space="0" w:color="auto"/>
                <w:right w:val="none" w:sz="0" w:space="0" w:color="auto"/>
              </w:divBdr>
              <w:divsChild>
                <w:div w:id="1604873186">
                  <w:marLeft w:val="0"/>
                  <w:marRight w:val="0"/>
                  <w:marTop w:val="0"/>
                  <w:marBottom w:val="0"/>
                  <w:divBdr>
                    <w:top w:val="none" w:sz="0" w:space="0" w:color="auto"/>
                    <w:left w:val="none" w:sz="0" w:space="0" w:color="auto"/>
                    <w:bottom w:val="none" w:sz="0" w:space="0" w:color="auto"/>
                    <w:right w:val="none" w:sz="0" w:space="0" w:color="auto"/>
                  </w:divBdr>
                  <w:divsChild>
                    <w:div w:id="8422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93092">
          <w:marLeft w:val="0"/>
          <w:marRight w:val="0"/>
          <w:marTop w:val="0"/>
          <w:marBottom w:val="0"/>
          <w:divBdr>
            <w:top w:val="none" w:sz="0" w:space="0" w:color="auto"/>
            <w:left w:val="none" w:sz="0" w:space="0" w:color="auto"/>
            <w:bottom w:val="none" w:sz="0" w:space="0" w:color="auto"/>
            <w:right w:val="none" w:sz="0" w:space="0" w:color="auto"/>
          </w:divBdr>
          <w:divsChild>
            <w:div w:id="179125379">
              <w:marLeft w:val="0"/>
              <w:marRight w:val="0"/>
              <w:marTop w:val="0"/>
              <w:marBottom w:val="0"/>
              <w:divBdr>
                <w:top w:val="none" w:sz="0" w:space="0" w:color="auto"/>
                <w:left w:val="none" w:sz="0" w:space="0" w:color="auto"/>
                <w:bottom w:val="none" w:sz="0" w:space="0" w:color="auto"/>
                <w:right w:val="none" w:sz="0" w:space="0" w:color="auto"/>
              </w:divBdr>
              <w:divsChild>
                <w:div w:id="164133003">
                  <w:marLeft w:val="0"/>
                  <w:marRight w:val="0"/>
                  <w:marTop w:val="0"/>
                  <w:marBottom w:val="0"/>
                  <w:divBdr>
                    <w:top w:val="none" w:sz="0" w:space="0" w:color="auto"/>
                    <w:left w:val="none" w:sz="0" w:space="0" w:color="auto"/>
                    <w:bottom w:val="none" w:sz="0" w:space="0" w:color="auto"/>
                    <w:right w:val="none" w:sz="0" w:space="0" w:color="auto"/>
                  </w:divBdr>
                  <w:divsChild>
                    <w:div w:id="2373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81258">
      <w:bodyDiv w:val="1"/>
      <w:marLeft w:val="0"/>
      <w:marRight w:val="0"/>
      <w:marTop w:val="0"/>
      <w:marBottom w:val="0"/>
      <w:divBdr>
        <w:top w:val="none" w:sz="0" w:space="0" w:color="auto"/>
        <w:left w:val="none" w:sz="0" w:space="0" w:color="auto"/>
        <w:bottom w:val="none" w:sz="0" w:space="0" w:color="auto"/>
        <w:right w:val="none" w:sz="0" w:space="0" w:color="auto"/>
      </w:divBdr>
    </w:div>
    <w:div w:id="1462265770">
      <w:bodyDiv w:val="1"/>
      <w:marLeft w:val="0"/>
      <w:marRight w:val="0"/>
      <w:marTop w:val="0"/>
      <w:marBottom w:val="0"/>
      <w:divBdr>
        <w:top w:val="none" w:sz="0" w:space="0" w:color="auto"/>
        <w:left w:val="none" w:sz="0" w:space="0" w:color="auto"/>
        <w:bottom w:val="none" w:sz="0" w:space="0" w:color="auto"/>
        <w:right w:val="none" w:sz="0" w:space="0" w:color="auto"/>
      </w:divBdr>
      <w:divsChild>
        <w:div w:id="1997218674">
          <w:marLeft w:val="0"/>
          <w:marRight w:val="0"/>
          <w:marTop w:val="0"/>
          <w:marBottom w:val="0"/>
          <w:divBdr>
            <w:top w:val="none" w:sz="0" w:space="0" w:color="auto"/>
            <w:left w:val="none" w:sz="0" w:space="0" w:color="auto"/>
            <w:bottom w:val="none" w:sz="0" w:space="0" w:color="auto"/>
            <w:right w:val="none" w:sz="0" w:space="0" w:color="auto"/>
          </w:divBdr>
          <w:divsChild>
            <w:div w:id="1075861580">
              <w:marLeft w:val="0"/>
              <w:marRight w:val="0"/>
              <w:marTop w:val="0"/>
              <w:marBottom w:val="0"/>
              <w:divBdr>
                <w:top w:val="none" w:sz="0" w:space="0" w:color="auto"/>
                <w:left w:val="none" w:sz="0" w:space="0" w:color="auto"/>
                <w:bottom w:val="none" w:sz="0" w:space="0" w:color="auto"/>
                <w:right w:val="none" w:sz="0" w:space="0" w:color="auto"/>
              </w:divBdr>
              <w:divsChild>
                <w:div w:id="140536851">
                  <w:marLeft w:val="0"/>
                  <w:marRight w:val="0"/>
                  <w:marTop w:val="0"/>
                  <w:marBottom w:val="0"/>
                  <w:divBdr>
                    <w:top w:val="none" w:sz="0" w:space="0" w:color="auto"/>
                    <w:left w:val="none" w:sz="0" w:space="0" w:color="auto"/>
                    <w:bottom w:val="none" w:sz="0" w:space="0" w:color="auto"/>
                    <w:right w:val="none" w:sz="0" w:space="0" w:color="auto"/>
                  </w:divBdr>
                  <w:divsChild>
                    <w:div w:id="18154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47227">
          <w:marLeft w:val="0"/>
          <w:marRight w:val="0"/>
          <w:marTop w:val="0"/>
          <w:marBottom w:val="0"/>
          <w:divBdr>
            <w:top w:val="none" w:sz="0" w:space="0" w:color="auto"/>
            <w:left w:val="none" w:sz="0" w:space="0" w:color="auto"/>
            <w:bottom w:val="none" w:sz="0" w:space="0" w:color="auto"/>
            <w:right w:val="none" w:sz="0" w:space="0" w:color="auto"/>
          </w:divBdr>
          <w:divsChild>
            <w:div w:id="862478128">
              <w:marLeft w:val="0"/>
              <w:marRight w:val="0"/>
              <w:marTop w:val="0"/>
              <w:marBottom w:val="0"/>
              <w:divBdr>
                <w:top w:val="none" w:sz="0" w:space="0" w:color="auto"/>
                <w:left w:val="none" w:sz="0" w:space="0" w:color="auto"/>
                <w:bottom w:val="none" w:sz="0" w:space="0" w:color="auto"/>
                <w:right w:val="none" w:sz="0" w:space="0" w:color="auto"/>
              </w:divBdr>
              <w:divsChild>
                <w:div w:id="1981957266">
                  <w:marLeft w:val="0"/>
                  <w:marRight w:val="0"/>
                  <w:marTop w:val="0"/>
                  <w:marBottom w:val="0"/>
                  <w:divBdr>
                    <w:top w:val="none" w:sz="0" w:space="0" w:color="auto"/>
                    <w:left w:val="none" w:sz="0" w:space="0" w:color="auto"/>
                    <w:bottom w:val="none" w:sz="0" w:space="0" w:color="auto"/>
                    <w:right w:val="none" w:sz="0" w:space="0" w:color="auto"/>
                  </w:divBdr>
                  <w:divsChild>
                    <w:div w:id="17793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25371">
      <w:bodyDiv w:val="1"/>
      <w:marLeft w:val="0"/>
      <w:marRight w:val="0"/>
      <w:marTop w:val="0"/>
      <w:marBottom w:val="0"/>
      <w:divBdr>
        <w:top w:val="none" w:sz="0" w:space="0" w:color="auto"/>
        <w:left w:val="none" w:sz="0" w:space="0" w:color="auto"/>
        <w:bottom w:val="none" w:sz="0" w:space="0" w:color="auto"/>
        <w:right w:val="none" w:sz="0" w:space="0" w:color="auto"/>
      </w:divBdr>
    </w:div>
    <w:div w:id="1485513925">
      <w:bodyDiv w:val="1"/>
      <w:marLeft w:val="0"/>
      <w:marRight w:val="0"/>
      <w:marTop w:val="0"/>
      <w:marBottom w:val="0"/>
      <w:divBdr>
        <w:top w:val="none" w:sz="0" w:space="0" w:color="auto"/>
        <w:left w:val="none" w:sz="0" w:space="0" w:color="auto"/>
        <w:bottom w:val="none" w:sz="0" w:space="0" w:color="auto"/>
        <w:right w:val="none" w:sz="0" w:space="0" w:color="auto"/>
      </w:divBdr>
    </w:div>
    <w:div w:id="1490056060">
      <w:bodyDiv w:val="1"/>
      <w:marLeft w:val="0"/>
      <w:marRight w:val="0"/>
      <w:marTop w:val="0"/>
      <w:marBottom w:val="0"/>
      <w:divBdr>
        <w:top w:val="none" w:sz="0" w:space="0" w:color="auto"/>
        <w:left w:val="none" w:sz="0" w:space="0" w:color="auto"/>
        <w:bottom w:val="none" w:sz="0" w:space="0" w:color="auto"/>
        <w:right w:val="none" w:sz="0" w:space="0" w:color="auto"/>
      </w:divBdr>
      <w:divsChild>
        <w:div w:id="1637098768">
          <w:marLeft w:val="0"/>
          <w:marRight w:val="0"/>
          <w:marTop w:val="0"/>
          <w:marBottom w:val="0"/>
          <w:divBdr>
            <w:top w:val="none" w:sz="0" w:space="0" w:color="auto"/>
            <w:left w:val="none" w:sz="0" w:space="0" w:color="auto"/>
            <w:bottom w:val="none" w:sz="0" w:space="0" w:color="auto"/>
            <w:right w:val="none" w:sz="0" w:space="0" w:color="auto"/>
          </w:divBdr>
        </w:div>
      </w:divsChild>
    </w:div>
    <w:div w:id="1490365089">
      <w:bodyDiv w:val="1"/>
      <w:marLeft w:val="0"/>
      <w:marRight w:val="0"/>
      <w:marTop w:val="0"/>
      <w:marBottom w:val="0"/>
      <w:divBdr>
        <w:top w:val="none" w:sz="0" w:space="0" w:color="auto"/>
        <w:left w:val="none" w:sz="0" w:space="0" w:color="auto"/>
        <w:bottom w:val="none" w:sz="0" w:space="0" w:color="auto"/>
        <w:right w:val="none" w:sz="0" w:space="0" w:color="auto"/>
      </w:divBdr>
    </w:div>
    <w:div w:id="1492915892">
      <w:bodyDiv w:val="1"/>
      <w:marLeft w:val="0"/>
      <w:marRight w:val="0"/>
      <w:marTop w:val="0"/>
      <w:marBottom w:val="0"/>
      <w:divBdr>
        <w:top w:val="none" w:sz="0" w:space="0" w:color="auto"/>
        <w:left w:val="none" w:sz="0" w:space="0" w:color="auto"/>
        <w:bottom w:val="none" w:sz="0" w:space="0" w:color="auto"/>
        <w:right w:val="none" w:sz="0" w:space="0" w:color="auto"/>
      </w:divBdr>
    </w:div>
    <w:div w:id="1508640258">
      <w:bodyDiv w:val="1"/>
      <w:marLeft w:val="0"/>
      <w:marRight w:val="0"/>
      <w:marTop w:val="0"/>
      <w:marBottom w:val="0"/>
      <w:divBdr>
        <w:top w:val="none" w:sz="0" w:space="0" w:color="auto"/>
        <w:left w:val="none" w:sz="0" w:space="0" w:color="auto"/>
        <w:bottom w:val="none" w:sz="0" w:space="0" w:color="auto"/>
        <w:right w:val="none" w:sz="0" w:space="0" w:color="auto"/>
      </w:divBdr>
    </w:div>
    <w:div w:id="1511530826">
      <w:bodyDiv w:val="1"/>
      <w:marLeft w:val="0"/>
      <w:marRight w:val="0"/>
      <w:marTop w:val="0"/>
      <w:marBottom w:val="0"/>
      <w:divBdr>
        <w:top w:val="none" w:sz="0" w:space="0" w:color="auto"/>
        <w:left w:val="none" w:sz="0" w:space="0" w:color="auto"/>
        <w:bottom w:val="none" w:sz="0" w:space="0" w:color="auto"/>
        <w:right w:val="none" w:sz="0" w:space="0" w:color="auto"/>
      </w:divBdr>
    </w:div>
    <w:div w:id="1513109117">
      <w:bodyDiv w:val="1"/>
      <w:marLeft w:val="0"/>
      <w:marRight w:val="0"/>
      <w:marTop w:val="0"/>
      <w:marBottom w:val="0"/>
      <w:divBdr>
        <w:top w:val="none" w:sz="0" w:space="0" w:color="auto"/>
        <w:left w:val="none" w:sz="0" w:space="0" w:color="auto"/>
        <w:bottom w:val="none" w:sz="0" w:space="0" w:color="auto"/>
        <w:right w:val="none" w:sz="0" w:space="0" w:color="auto"/>
      </w:divBdr>
    </w:div>
    <w:div w:id="1514223060">
      <w:bodyDiv w:val="1"/>
      <w:marLeft w:val="0"/>
      <w:marRight w:val="0"/>
      <w:marTop w:val="0"/>
      <w:marBottom w:val="0"/>
      <w:divBdr>
        <w:top w:val="none" w:sz="0" w:space="0" w:color="auto"/>
        <w:left w:val="none" w:sz="0" w:space="0" w:color="auto"/>
        <w:bottom w:val="none" w:sz="0" w:space="0" w:color="auto"/>
        <w:right w:val="none" w:sz="0" w:space="0" w:color="auto"/>
      </w:divBdr>
    </w:div>
    <w:div w:id="1518302082">
      <w:bodyDiv w:val="1"/>
      <w:marLeft w:val="0"/>
      <w:marRight w:val="0"/>
      <w:marTop w:val="0"/>
      <w:marBottom w:val="0"/>
      <w:divBdr>
        <w:top w:val="none" w:sz="0" w:space="0" w:color="auto"/>
        <w:left w:val="none" w:sz="0" w:space="0" w:color="auto"/>
        <w:bottom w:val="none" w:sz="0" w:space="0" w:color="auto"/>
        <w:right w:val="none" w:sz="0" w:space="0" w:color="auto"/>
      </w:divBdr>
    </w:div>
    <w:div w:id="1521697574">
      <w:bodyDiv w:val="1"/>
      <w:marLeft w:val="0"/>
      <w:marRight w:val="0"/>
      <w:marTop w:val="0"/>
      <w:marBottom w:val="0"/>
      <w:divBdr>
        <w:top w:val="none" w:sz="0" w:space="0" w:color="auto"/>
        <w:left w:val="none" w:sz="0" w:space="0" w:color="auto"/>
        <w:bottom w:val="none" w:sz="0" w:space="0" w:color="auto"/>
        <w:right w:val="none" w:sz="0" w:space="0" w:color="auto"/>
      </w:divBdr>
    </w:div>
    <w:div w:id="1525165808">
      <w:bodyDiv w:val="1"/>
      <w:marLeft w:val="0"/>
      <w:marRight w:val="0"/>
      <w:marTop w:val="0"/>
      <w:marBottom w:val="0"/>
      <w:divBdr>
        <w:top w:val="none" w:sz="0" w:space="0" w:color="auto"/>
        <w:left w:val="none" w:sz="0" w:space="0" w:color="auto"/>
        <w:bottom w:val="none" w:sz="0" w:space="0" w:color="auto"/>
        <w:right w:val="none" w:sz="0" w:space="0" w:color="auto"/>
      </w:divBdr>
      <w:divsChild>
        <w:div w:id="1020857495">
          <w:marLeft w:val="0"/>
          <w:marRight w:val="0"/>
          <w:marTop w:val="0"/>
          <w:marBottom w:val="0"/>
          <w:divBdr>
            <w:top w:val="none" w:sz="0" w:space="0" w:color="auto"/>
            <w:left w:val="none" w:sz="0" w:space="0" w:color="auto"/>
            <w:bottom w:val="none" w:sz="0" w:space="0" w:color="auto"/>
            <w:right w:val="none" w:sz="0" w:space="0" w:color="auto"/>
          </w:divBdr>
          <w:divsChild>
            <w:div w:id="318390985">
              <w:marLeft w:val="0"/>
              <w:marRight w:val="0"/>
              <w:marTop w:val="0"/>
              <w:marBottom w:val="0"/>
              <w:divBdr>
                <w:top w:val="none" w:sz="0" w:space="0" w:color="auto"/>
                <w:left w:val="none" w:sz="0" w:space="0" w:color="auto"/>
                <w:bottom w:val="none" w:sz="0" w:space="0" w:color="auto"/>
                <w:right w:val="none" w:sz="0" w:space="0" w:color="auto"/>
              </w:divBdr>
              <w:divsChild>
                <w:div w:id="788550692">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sChild>
                <w:div w:id="1091731074">
                  <w:marLeft w:val="0"/>
                  <w:marRight w:val="0"/>
                  <w:marTop w:val="0"/>
                  <w:marBottom w:val="0"/>
                  <w:divBdr>
                    <w:top w:val="none" w:sz="0" w:space="0" w:color="auto"/>
                    <w:left w:val="none" w:sz="0" w:space="0" w:color="auto"/>
                    <w:bottom w:val="none" w:sz="0" w:space="0" w:color="auto"/>
                    <w:right w:val="none" w:sz="0" w:space="0" w:color="auto"/>
                  </w:divBdr>
                  <w:divsChild>
                    <w:div w:id="502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48343">
      <w:bodyDiv w:val="1"/>
      <w:marLeft w:val="0"/>
      <w:marRight w:val="0"/>
      <w:marTop w:val="0"/>
      <w:marBottom w:val="0"/>
      <w:divBdr>
        <w:top w:val="none" w:sz="0" w:space="0" w:color="auto"/>
        <w:left w:val="none" w:sz="0" w:space="0" w:color="auto"/>
        <w:bottom w:val="none" w:sz="0" w:space="0" w:color="auto"/>
        <w:right w:val="none" w:sz="0" w:space="0" w:color="auto"/>
      </w:divBdr>
    </w:div>
    <w:div w:id="1526823457">
      <w:bodyDiv w:val="1"/>
      <w:marLeft w:val="0"/>
      <w:marRight w:val="0"/>
      <w:marTop w:val="0"/>
      <w:marBottom w:val="0"/>
      <w:divBdr>
        <w:top w:val="none" w:sz="0" w:space="0" w:color="auto"/>
        <w:left w:val="none" w:sz="0" w:space="0" w:color="auto"/>
        <w:bottom w:val="none" w:sz="0" w:space="0" w:color="auto"/>
        <w:right w:val="none" w:sz="0" w:space="0" w:color="auto"/>
      </w:divBdr>
      <w:divsChild>
        <w:div w:id="1552577223">
          <w:marLeft w:val="0"/>
          <w:marRight w:val="0"/>
          <w:marTop w:val="0"/>
          <w:marBottom w:val="0"/>
          <w:divBdr>
            <w:top w:val="none" w:sz="0" w:space="0" w:color="auto"/>
            <w:left w:val="none" w:sz="0" w:space="0" w:color="auto"/>
            <w:bottom w:val="none" w:sz="0" w:space="0" w:color="auto"/>
            <w:right w:val="none" w:sz="0" w:space="0" w:color="auto"/>
          </w:divBdr>
          <w:divsChild>
            <w:div w:id="174462947">
              <w:marLeft w:val="0"/>
              <w:marRight w:val="0"/>
              <w:marTop w:val="0"/>
              <w:marBottom w:val="0"/>
              <w:divBdr>
                <w:top w:val="none" w:sz="0" w:space="0" w:color="auto"/>
                <w:left w:val="none" w:sz="0" w:space="0" w:color="auto"/>
                <w:bottom w:val="none" w:sz="0" w:space="0" w:color="auto"/>
                <w:right w:val="none" w:sz="0" w:space="0" w:color="auto"/>
              </w:divBdr>
              <w:divsChild>
                <w:div w:id="233707962">
                  <w:marLeft w:val="0"/>
                  <w:marRight w:val="0"/>
                  <w:marTop w:val="0"/>
                  <w:marBottom w:val="0"/>
                  <w:divBdr>
                    <w:top w:val="none" w:sz="0" w:space="0" w:color="auto"/>
                    <w:left w:val="none" w:sz="0" w:space="0" w:color="auto"/>
                    <w:bottom w:val="none" w:sz="0" w:space="0" w:color="auto"/>
                    <w:right w:val="none" w:sz="0" w:space="0" w:color="auto"/>
                  </w:divBdr>
                  <w:divsChild>
                    <w:div w:id="19565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67872">
          <w:marLeft w:val="0"/>
          <w:marRight w:val="0"/>
          <w:marTop w:val="0"/>
          <w:marBottom w:val="0"/>
          <w:divBdr>
            <w:top w:val="none" w:sz="0" w:space="0" w:color="auto"/>
            <w:left w:val="none" w:sz="0" w:space="0" w:color="auto"/>
            <w:bottom w:val="none" w:sz="0" w:space="0" w:color="auto"/>
            <w:right w:val="none" w:sz="0" w:space="0" w:color="auto"/>
          </w:divBdr>
          <w:divsChild>
            <w:div w:id="2113696802">
              <w:marLeft w:val="0"/>
              <w:marRight w:val="0"/>
              <w:marTop w:val="0"/>
              <w:marBottom w:val="0"/>
              <w:divBdr>
                <w:top w:val="none" w:sz="0" w:space="0" w:color="auto"/>
                <w:left w:val="none" w:sz="0" w:space="0" w:color="auto"/>
                <w:bottom w:val="none" w:sz="0" w:space="0" w:color="auto"/>
                <w:right w:val="none" w:sz="0" w:space="0" w:color="auto"/>
              </w:divBdr>
              <w:divsChild>
                <w:div w:id="1468283157">
                  <w:marLeft w:val="0"/>
                  <w:marRight w:val="0"/>
                  <w:marTop w:val="0"/>
                  <w:marBottom w:val="0"/>
                  <w:divBdr>
                    <w:top w:val="none" w:sz="0" w:space="0" w:color="auto"/>
                    <w:left w:val="none" w:sz="0" w:space="0" w:color="auto"/>
                    <w:bottom w:val="none" w:sz="0" w:space="0" w:color="auto"/>
                    <w:right w:val="none" w:sz="0" w:space="0" w:color="auto"/>
                  </w:divBdr>
                  <w:divsChild>
                    <w:div w:id="18706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372600">
      <w:bodyDiv w:val="1"/>
      <w:marLeft w:val="0"/>
      <w:marRight w:val="0"/>
      <w:marTop w:val="0"/>
      <w:marBottom w:val="0"/>
      <w:divBdr>
        <w:top w:val="none" w:sz="0" w:space="0" w:color="auto"/>
        <w:left w:val="none" w:sz="0" w:space="0" w:color="auto"/>
        <w:bottom w:val="none" w:sz="0" w:space="0" w:color="auto"/>
        <w:right w:val="none" w:sz="0" w:space="0" w:color="auto"/>
      </w:divBdr>
    </w:div>
    <w:div w:id="1530486956">
      <w:bodyDiv w:val="1"/>
      <w:marLeft w:val="0"/>
      <w:marRight w:val="0"/>
      <w:marTop w:val="0"/>
      <w:marBottom w:val="0"/>
      <w:divBdr>
        <w:top w:val="none" w:sz="0" w:space="0" w:color="auto"/>
        <w:left w:val="none" w:sz="0" w:space="0" w:color="auto"/>
        <w:bottom w:val="none" w:sz="0" w:space="0" w:color="auto"/>
        <w:right w:val="none" w:sz="0" w:space="0" w:color="auto"/>
      </w:divBdr>
    </w:div>
    <w:div w:id="1531142394">
      <w:bodyDiv w:val="1"/>
      <w:marLeft w:val="0"/>
      <w:marRight w:val="0"/>
      <w:marTop w:val="0"/>
      <w:marBottom w:val="0"/>
      <w:divBdr>
        <w:top w:val="none" w:sz="0" w:space="0" w:color="auto"/>
        <w:left w:val="none" w:sz="0" w:space="0" w:color="auto"/>
        <w:bottom w:val="none" w:sz="0" w:space="0" w:color="auto"/>
        <w:right w:val="none" w:sz="0" w:space="0" w:color="auto"/>
      </w:divBdr>
    </w:div>
    <w:div w:id="1550723276">
      <w:bodyDiv w:val="1"/>
      <w:marLeft w:val="0"/>
      <w:marRight w:val="0"/>
      <w:marTop w:val="0"/>
      <w:marBottom w:val="0"/>
      <w:divBdr>
        <w:top w:val="none" w:sz="0" w:space="0" w:color="auto"/>
        <w:left w:val="none" w:sz="0" w:space="0" w:color="auto"/>
        <w:bottom w:val="none" w:sz="0" w:space="0" w:color="auto"/>
        <w:right w:val="none" w:sz="0" w:space="0" w:color="auto"/>
      </w:divBdr>
    </w:div>
    <w:div w:id="1553885594">
      <w:bodyDiv w:val="1"/>
      <w:marLeft w:val="0"/>
      <w:marRight w:val="0"/>
      <w:marTop w:val="0"/>
      <w:marBottom w:val="0"/>
      <w:divBdr>
        <w:top w:val="none" w:sz="0" w:space="0" w:color="auto"/>
        <w:left w:val="none" w:sz="0" w:space="0" w:color="auto"/>
        <w:bottom w:val="none" w:sz="0" w:space="0" w:color="auto"/>
        <w:right w:val="none" w:sz="0" w:space="0" w:color="auto"/>
      </w:divBdr>
    </w:div>
    <w:div w:id="1559514093">
      <w:bodyDiv w:val="1"/>
      <w:marLeft w:val="0"/>
      <w:marRight w:val="0"/>
      <w:marTop w:val="0"/>
      <w:marBottom w:val="0"/>
      <w:divBdr>
        <w:top w:val="none" w:sz="0" w:space="0" w:color="auto"/>
        <w:left w:val="none" w:sz="0" w:space="0" w:color="auto"/>
        <w:bottom w:val="none" w:sz="0" w:space="0" w:color="auto"/>
        <w:right w:val="none" w:sz="0" w:space="0" w:color="auto"/>
      </w:divBdr>
    </w:div>
    <w:div w:id="1567495775">
      <w:bodyDiv w:val="1"/>
      <w:marLeft w:val="0"/>
      <w:marRight w:val="0"/>
      <w:marTop w:val="0"/>
      <w:marBottom w:val="0"/>
      <w:divBdr>
        <w:top w:val="none" w:sz="0" w:space="0" w:color="auto"/>
        <w:left w:val="none" w:sz="0" w:space="0" w:color="auto"/>
        <w:bottom w:val="none" w:sz="0" w:space="0" w:color="auto"/>
        <w:right w:val="none" w:sz="0" w:space="0" w:color="auto"/>
      </w:divBdr>
    </w:div>
    <w:div w:id="1574391546">
      <w:bodyDiv w:val="1"/>
      <w:marLeft w:val="0"/>
      <w:marRight w:val="0"/>
      <w:marTop w:val="0"/>
      <w:marBottom w:val="0"/>
      <w:divBdr>
        <w:top w:val="none" w:sz="0" w:space="0" w:color="auto"/>
        <w:left w:val="none" w:sz="0" w:space="0" w:color="auto"/>
        <w:bottom w:val="none" w:sz="0" w:space="0" w:color="auto"/>
        <w:right w:val="none" w:sz="0" w:space="0" w:color="auto"/>
      </w:divBdr>
      <w:divsChild>
        <w:div w:id="1134981135">
          <w:marLeft w:val="0"/>
          <w:marRight w:val="0"/>
          <w:marTop w:val="0"/>
          <w:marBottom w:val="0"/>
          <w:divBdr>
            <w:top w:val="none" w:sz="0" w:space="0" w:color="auto"/>
            <w:left w:val="none" w:sz="0" w:space="0" w:color="auto"/>
            <w:bottom w:val="none" w:sz="0" w:space="0" w:color="auto"/>
            <w:right w:val="none" w:sz="0" w:space="0" w:color="auto"/>
          </w:divBdr>
          <w:divsChild>
            <w:div w:id="475075297">
              <w:marLeft w:val="0"/>
              <w:marRight w:val="0"/>
              <w:marTop w:val="0"/>
              <w:marBottom w:val="0"/>
              <w:divBdr>
                <w:top w:val="none" w:sz="0" w:space="0" w:color="auto"/>
                <w:left w:val="none" w:sz="0" w:space="0" w:color="auto"/>
                <w:bottom w:val="none" w:sz="0" w:space="0" w:color="auto"/>
                <w:right w:val="none" w:sz="0" w:space="0" w:color="auto"/>
              </w:divBdr>
              <w:divsChild>
                <w:div w:id="1758751522">
                  <w:marLeft w:val="0"/>
                  <w:marRight w:val="0"/>
                  <w:marTop w:val="0"/>
                  <w:marBottom w:val="0"/>
                  <w:divBdr>
                    <w:top w:val="none" w:sz="0" w:space="0" w:color="auto"/>
                    <w:left w:val="none" w:sz="0" w:space="0" w:color="auto"/>
                    <w:bottom w:val="none" w:sz="0" w:space="0" w:color="auto"/>
                    <w:right w:val="none" w:sz="0" w:space="0" w:color="auto"/>
                  </w:divBdr>
                  <w:divsChild>
                    <w:div w:id="1755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0198">
          <w:marLeft w:val="0"/>
          <w:marRight w:val="0"/>
          <w:marTop w:val="0"/>
          <w:marBottom w:val="0"/>
          <w:divBdr>
            <w:top w:val="none" w:sz="0" w:space="0" w:color="auto"/>
            <w:left w:val="none" w:sz="0" w:space="0" w:color="auto"/>
            <w:bottom w:val="none" w:sz="0" w:space="0" w:color="auto"/>
            <w:right w:val="none" w:sz="0" w:space="0" w:color="auto"/>
          </w:divBdr>
          <w:divsChild>
            <w:div w:id="120156321">
              <w:marLeft w:val="0"/>
              <w:marRight w:val="0"/>
              <w:marTop w:val="0"/>
              <w:marBottom w:val="0"/>
              <w:divBdr>
                <w:top w:val="none" w:sz="0" w:space="0" w:color="auto"/>
                <w:left w:val="none" w:sz="0" w:space="0" w:color="auto"/>
                <w:bottom w:val="none" w:sz="0" w:space="0" w:color="auto"/>
                <w:right w:val="none" w:sz="0" w:space="0" w:color="auto"/>
              </w:divBdr>
              <w:divsChild>
                <w:div w:id="1422721217">
                  <w:marLeft w:val="0"/>
                  <w:marRight w:val="0"/>
                  <w:marTop w:val="0"/>
                  <w:marBottom w:val="0"/>
                  <w:divBdr>
                    <w:top w:val="none" w:sz="0" w:space="0" w:color="auto"/>
                    <w:left w:val="none" w:sz="0" w:space="0" w:color="auto"/>
                    <w:bottom w:val="none" w:sz="0" w:space="0" w:color="auto"/>
                    <w:right w:val="none" w:sz="0" w:space="0" w:color="auto"/>
                  </w:divBdr>
                  <w:divsChild>
                    <w:div w:id="4382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04920">
      <w:bodyDiv w:val="1"/>
      <w:marLeft w:val="0"/>
      <w:marRight w:val="0"/>
      <w:marTop w:val="0"/>
      <w:marBottom w:val="0"/>
      <w:divBdr>
        <w:top w:val="none" w:sz="0" w:space="0" w:color="auto"/>
        <w:left w:val="none" w:sz="0" w:space="0" w:color="auto"/>
        <w:bottom w:val="none" w:sz="0" w:space="0" w:color="auto"/>
        <w:right w:val="none" w:sz="0" w:space="0" w:color="auto"/>
      </w:divBdr>
    </w:div>
    <w:div w:id="1585072534">
      <w:bodyDiv w:val="1"/>
      <w:marLeft w:val="0"/>
      <w:marRight w:val="0"/>
      <w:marTop w:val="0"/>
      <w:marBottom w:val="0"/>
      <w:divBdr>
        <w:top w:val="none" w:sz="0" w:space="0" w:color="auto"/>
        <w:left w:val="none" w:sz="0" w:space="0" w:color="auto"/>
        <w:bottom w:val="none" w:sz="0" w:space="0" w:color="auto"/>
        <w:right w:val="none" w:sz="0" w:space="0" w:color="auto"/>
      </w:divBdr>
    </w:div>
    <w:div w:id="1590965470">
      <w:bodyDiv w:val="1"/>
      <w:marLeft w:val="0"/>
      <w:marRight w:val="0"/>
      <w:marTop w:val="0"/>
      <w:marBottom w:val="0"/>
      <w:divBdr>
        <w:top w:val="none" w:sz="0" w:space="0" w:color="auto"/>
        <w:left w:val="none" w:sz="0" w:space="0" w:color="auto"/>
        <w:bottom w:val="none" w:sz="0" w:space="0" w:color="auto"/>
        <w:right w:val="none" w:sz="0" w:space="0" w:color="auto"/>
      </w:divBdr>
    </w:div>
    <w:div w:id="1600915043">
      <w:bodyDiv w:val="1"/>
      <w:marLeft w:val="0"/>
      <w:marRight w:val="0"/>
      <w:marTop w:val="0"/>
      <w:marBottom w:val="0"/>
      <w:divBdr>
        <w:top w:val="none" w:sz="0" w:space="0" w:color="auto"/>
        <w:left w:val="none" w:sz="0" w:space="0" w:color="auto"/>
        <w:bottom w:val="none" w:sz="0" w:space="0" w:color="auto"/>
        <w:right w:val="none" w:sz="0" w:space="0" w:color="auto"/>
      </w:divBdr>
    </w:div>
    <w:div w:id="1609657514">
      <w:bodyDiv w:val="1"/>
      <w:marLeft w:val="0"/>
      <w:marRight w:val="0"/>
      <w:marTop w:val="0"/>
      <w:marBottom w:val="0"/>
      <w:divBdr>
        <w:top w:val="none" w:sz="0" w:space="0" w:color="auto"/>
        <w:left w:val="none" w:sz="0" w:space="0" w:color="auto"/>
        <w:bottom w:val="none" w:sz="0" w:space="0" w:color="auto"/>
        <w:right w:val="none" w:sz="0" w:space="0" w:color="auto"/>
      </w:divBdr>
    </w:div>
    <w:div w:id="1619603027">
      <w:bodyDiv w:val="1"/>
      <w:marLeft w:val="0"/>
      <w:marRight w:val="0"/>
      <w:marTop w:val="0"/>
      <w:marBottom w:val="0"/>
      <w:divBdr>
        <w:top w:val="none" w:sz="0" w:space="0" w:color="auto"/>
        <w:left w:val="none" w:sz="0" w:space="0" w:color="auto"/>
        <w:bottom w:val="none" w:sz="0" w:space="0" w:color="auto"/>
        <w:right w:val="none" w:sz="0" w:space="0" w:color="auto"/>
      </w:divBdr>
    </w:div>
    <w:div w:id="1641114889">
      <w:bodyDiv w:val="1"/>
      <w:marLeft w:val="0"/>
      <w:marRight w:val="0"/>
      <w:marTop w:val="0"/>
      <w:marBottom w:val="0"/>
      <w:divBdr>
        <w:top w:val="none" w:sz="0" w:space="0" w:color="auto"/>
        <w:left w:val="none" w:sz="0" w:space="0" w:color="auto"/>
        <w:bottom w:val="none" w:sz="0" w:space="0" w:color="auto"/>
        <w:right w:val="none" w:sz="0" w:space="0" w:color="auto"/>
      </w:divBdr>
    </w:div>
    <w:div w:id="1641492393">
      <w:bodyDiv w:val="1"/>
      <w:marLeft w:val="0"/>
      <w:marRight w:val="0"/>
      <w:marTop w:val="0"/>
      <w:marBottom w:val="0"/>
      <w:divBdr>
        <w:top w:val="none" w:sz="0" w:space="0" w:color="auto"/>
        <w:left w:val="none" w:sz="0" w:space="0" w:color="auto"/>
        <w:bottom w:val="none" w:sz="0" w:space="0" w:color="auto"/>
        <w:right w:val="none" w:sz="0" w:space="0" w:color="auto"/>
      </w:divBdr>
      <w:divsChild>
        <w:div w:id="1949503214">
          <w:marLeft w:val="0"/>
          <w:marRight w:val="0"/>
          <w:marTop w:val="0"/>
          <w:marBottom w:val="0"/>
          <w:divBdr>
            <w:top w:val="none" w:sz="0" w:space="0" w:color="auto"/>
            <w:left w:val="none" w:sz="0" w:space="0" w:color="auto"/>
            <w:bottom w:val="none" w:sz="0" w:space="0" w:color="auto"/>
            <w:right w:val="none" w:sz="0" w:space="0" w:color="auto"/>
          </w:divBdr>
          <w:divsChild>
            <w:div w:id="8266514">
              <w:marLeft w:val="0"/>
              <w:marRight w:val="0"/>
              <w:marTop w:val="0"/>
              <w:marBottom w:val="0"/>
              <w:divBdr>
                <w:top w:val="none" w:sz="0" w:space="0" w:color="auto"/>
                <w:left w:val="none" w:sz="0" w:space="0" w:color="auto"/>
                <w:bottom w:val="none" w:sz="0" w:space="0" w:color="auto"/>
                <w:right w:val="none" w:sz="0" w:space="0" w:color="auto"/>
              </w:divBdr>
              <w:divsChild>
                <w:div w:id="1034187500">
                  <w:marLeft w:val="0"/>
                  <w:marRight w:val="0"/>
                  <w:marTop w:val="0"/>
                  <w:marBottom w:val="0"/>
                  <w:divBdr>
                    <w:top w:val="none" w:sz="0" w:space="0" w:color="auto"/>
                    <w:left w:val="none" w:sz="0" w:space="0" w:color="auto"/>
                    <w:bottom w:val="none" w:sz="0" w:space="0" w:color="auto"/>
                    <w:right w:val="none" w:sz="0" w:space="0" w:color="auto"/>
                  </w:divBdr>
                  <w:divsChild>
                    <w:div w:id="996107366">
                      <w:marLeft w:val="0"/>
                      <w:marRight w:val="0"/>
                      <w:marTop w:val="0"/>
                      <w:marBottom w:val="0"/>
                      <w:divBdr>
                        <w:top w:val="none" w:sz="0" w:space="0" w:color="auto"/>
                        <w:left w:val="none" w:sz="0" w:space="0" w:color="auto"/>
                        <w:bottom w:val="none" w:sz="0" w:space="0" w:color="auto"/>
                        <w:right w:val="none" w:sz="0" w:space="0" w:color="auto"/>
                      </w:divBdr>
                      <w:divsChild>
                        <w:div w:id="118957634">
                          <w:marLeft w:val="0"/>
                          <w:marRight w:val="0"/>
                          <w:marTop w:val="0"/>
                          <w:marBottom w:val="0"/>
                          <w:divBdr>
                            <w:top w:val="none" w:sz="0" w:space="0" w:color="auto"/>
                            <w:left w:val="none" w:sz="0" w:space="0" w:color="auto"/>
                            <w:bottom w:val="none" w:sz="0" w:space="0" w:color="auto"/>
                            <w:right w:val="none" w:sz="0" w:space="0" w:color="auto"/>
                          </w:divBdr>
                          <w:divsChild>
                            <w:div w:id="1779450318">
                              <w:marLeft w:val="0"/>
                              <w:marRight w:val="0"/>
                              <w:marTop w:val="0"/>
                              <w:marBottom w:val="0"/>
                              <w:divBdr>
                                <w:top w:val="none" w:sz="0" w:space="0" w:color="auto"/>
                                <w:left w:val="none" w:sz="0" w:space="0" w:color="auto"/>
                                <w:bottom w:val="none" w:sz="0" w:space="0" w:color="auto"/>
                                <w:right w:val="none" w:sz="0" w:space="0" w:color="auto"/>
                              </w:divBdr>
                              <w:divsChild>
                                <w:div w:id="860122399">
                                  <w:marLeft w:val="0"/>
                                  <w:marRight w:val="0"/>
                                  <w:marTop w:val="0"/>
                                  <w:marBottom w:val="0"/>
                                  <w:divBdr>
                                    <w:top w:val="none" w:sz="0" w:space="0" w:color="auto"/>
                                    <w:left w:val="none" w:sz="0" w:space="0" w:color="auto"/>
                                    <w:bottom w:val="none" w:sz="0" w:space="0" w:color="auto"/>
                                    <w:right w:val="none" w:sz="0" w:space="0" w:color="auto"/>
                                  </w:divBdr>
                                  <w:divsChild>
                                    <w:div w:id="1276251298">
                                      <w:marLeft w:val="0"/>
                                      <w:marRight w:val="0"/>
                                      <w:marTop w:val="0"/>
                                      <w:marBottom w:val="0"/>
                                      <w:divBdr>
                                        <w:top w:val="none" w:sz="0" w:space="0" w:color="auto"/>
                                        <w:left w:val="none" w:sz="0" w:space="0" w:color="auto"/>
                                        <w:bottom w:val="none" w:sz="0" w:space="0" w:color="auto"/>
                                        <w:right w:val="none" w:sz="0" w:space="0" w:color="auto"/>
                                      </w:divBdr>
                                      <w:divsChild>
                                        <w:div w:id="51076291">
                                          <w:marLeft w:val="0"/>
                                          <w:marRight w:val="0"/>
                                          <w:marTop w:val="0"/>
                                          <w:marBottom w:val="0"/>
                                          <w:divBdr>
                                            <w:top w:val="none" w:sz="0" w:space="0" w:color="auto"/>
                                            <w:left w:val="none" w:sz="0" w:space="0" w:color="auto"/>
                                            <w:bottom w:val="none" w:sz="0" w:space="0" w:color="auto"/>
                                            <w:right w:val="none" w:sz="0" w:space="0" w:color="auto"/>
                                          </w:divBdr>
                                          <w:divsChild>
                                            <w:div w:id="1372612707">
                                              <w:marLeft w:val="0"/>
                                              <w:marRight w:val="0"/>
                                              <w:marTop w:val="0"/>
                                              <w:marBottom w:val="0"/>
                                              <w:divBdr>
                                                <w:top w:val="none" w:sz="0" w:space="0" w:color="auto"/>
                                                <w:left w:val="none" w:sz="0" w:space="0" w:color="auto"/>
                                                <w:bottom w:val="none" w:sz="0" w:space="0" w:color="auto"/>
                                                <w:right w:val="none" w:sz="0" w:space="0" w:color="auto"/>
                                              </w:divBdr>
                                              <w:divsChild>
                                                <w:div w:id="1750155177">
                                                  <w:marLeft w:val="0"/>
                                                  <w:marRight w:val="0"/>
                                                  <w:marTop w:val="0"/>
                                                  <w:marBottom w:val="0"/>
                                                  <w:divBdr>
                                                    <w:top w:val="none" w:sz="0" w:space="0" w:color="auto"/>
                                                    <w:left w:val="none" w:sz="0" w:space="0" w:color="auto"/>
                                                    <w:bottom w:val="none" w:sz="0" w:space="0" w:color="auto"/>
                                                    <w:right w:val="none" w:sz="0" w:space="0" w:color="auto"/>
                                                  </w:divBdr>
                                                  <w:divsChild>
                                                    <w:div w:id="1998531316">
                                                      <w:marLeft w:val="0"/>
                                                      <w:marRight w:val="0"/>
                                                      <w:marTop w:val="0"/>
                                                      <w:marBottom w:val="0"/>
                                                      <w:divBdr>
                                                        <w:top w:val="none" w:sz="0" w:space="0" w:color="auto"/>
                                                        <w:left w:val="none" w:sz="0" w:space="0" w:color="auto"/>
                                                        <w:bottom w:val="none" w:sz="0" w:space="0" w:color="auto"/>
                                                        <w:right w:val="none" w:sz="0" w:space="0" w:color="auto"/>
                                                      </w:divBdr>
                                                      <w:divsChild>
                                                        <w:div w:id="10794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3579">
                                              <w:marLeft w:val="0"/>
                                              <w:marRight w:val="0"/>
                                              <w:marTop w:val="0"/>
                                              <w:marBottom w:val="0"/>
                                              <w:divBdr>
                                                <w:top w:val="none" w:sz="0" w:space="0" w:color="auto"/>
                                                <w:left w:val="none" w:sz="0" w:space="0" w:color="auto"/>
                                                <w:bottom w:val="none" w:sz="0" w:space="0" w:color="auto"/>
                                                <w:right w:val="none" w:sz="0" w:space="0" w:color="auto"/>
                                              </w:divBdr>
                                              <w:divsChild>
                                                <w:div w:id="238635879">
                                                  <w:marLeft w:val="0"/>
                                                  <w:marRight w:val="0"/>
                                                  <w:marTop w:val="0"/>
                                                  <w:marBottom w:val="0"/>
                                                  <w:divBdr>
                                                    <w:top w:val="none" w:sz="0" w:space="0" w:color="auto"/>
                                                    <w:left w:val="none" w:sz="0" w:space="0" w:color="auto"/>
                                                    <w:bottom w:val="none" w:sz="0" w:space="0" w:color="auto"/>
                                                    <w:right w:val="none" w:sz="0" w:space="0" w:color="auto"/>
                                                  </w:divBdr>
                                                  <w:divsChild>
                                                    <w:div w:id="85350940">
                                                      <w:marLeft w:val="0"/>
                                                      <w:marRight w:val="0"/>
                                                      <w:marTop w:val="0"/>
                                                      <w:marBottom w:val="0"/>
                                                      <w:divBdr>
                                                        <w:top w:val="none" w:sz="0" w:space="0" w:color="auto"/>
                                                        <w:left w:val="none" w:sz="0" w:space="0" w:color="auto"/>
                                                        <w:bottom w:val="none" w:sz="0" w:space="0" w:color="auto"/>
                                                        <w:right w:val="none" w:sz="0" w:space="0" w:color="auto"/>
                                                      </w:divBdr>
                                                      <w:divsChild>
                                                        <w:div w:id="14359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557131">
          <w:marLeft w:val="0"/>
          <w:marRight w:val="0"/>
          <w:marTop w:val="0"/>
          <w:marBottom w:val="0"/>
          <w:divBdr>
            <w:top w:val="none" w:sz="0" w:space="0" w:color="auto"/>
            <w:left w:val="none" w:sz="0" w:space="0" w:color="auto"/>
            <w:bottom w:val="none" w:sz="0" w:space="0" w:color="auto"/>
            <w:right w:val="none" w:sz="0" w:space="0" w:color="auto"/>
          </w:divBdr>
          <w:divsChild>
            <w:div w:id="1647512502">
              <w:marLeft w:val="0"/>
              <w:marRight w:val="0"/>
              <w:marTop w:val="0"/>
              <w:marBottom w:val="0"/>
              <w:divBdr>
                <w:top w:val="none" w:sz="0" w:space="0" w:color="auto"/>
                <w:left w:val="none" w:sz="0" w:space="0" w:color="auto"/>
                <w:bottom w:val="none" w:sz="0" w:space="0" w:color="auto"/>
                <w:right w:val="none" w:sz="0" w:space="0" w:color="auto"/>
              </w:divBdr>
              <w:divsChild>
                <w:div w:id="1647784335">
                  <w:marLeft w:val="0"/>
                  <w:marRight w:val="0"/>
                  <w:marTop w:val="0"/>
                  <w:marBottom w:val="0"/>
                  <w:divBdr>
                    <w:top w:val="none" w:sz="0" w:space="0" w:color="auto"/>
                    <w:left w:val="none" w:sz="0" w:space="0" w:color="auto"/>
                    <w:bottom w:val="none" w:sz="0" w:space="0" w:color="auto"/>
                    <w:right w:val="none" w:sz="0" w:space="0" w:color="auto"/>
                  </w:divBdr>
                  <w:divsChild>
                    <w:div w:id="1740788334">
                      <w:marLeft w:val="0"/>
                      <w:marRight w:val="0"/>
                      <w:marTop w:val="0"/>
                      <w:marBottom w:val="0"/>
                      <w:divBdr>
                        <w:top w:val="none" w:sz="0" w:space="0" w:color="auto"/>
                        <w:left w:val="none" w:sz="0" w:space="0" w:color="auto"/>
                        <w:bottom w:val="none" w:sz="0" w:space="0" w:color="auto"/>
                        <w:right w:val="none" w:sz="0" w:space="0" w:color="auto"/>
                      </w:divBdr>
                      <w:divsChild>
                        <w:div w:id="1240864872">
                          <w:marLeft w:val="0"/>
                          <w:marRight w:val="0"/>
                          <w:marTop w:val="0"/>
                          <w:marBottom w:val="0"/>
                          <w:divBdr>
                            <w:top w:val="none" w:sz="0" w:space="0" w:color="auto"/>
                            <w:left w:val="none" w:sz="0" w:space="0" w:color="auto"/>
                            <w:bottom w:val="none" w:sz="0" w:space="0" w:color="auto"/>
                            <w:right w:val="none" w:sz="0" w:space="0" w:color="auto"/>
                          </w:divBdr>
                          <w:divsChild>
                            <w:div w:id="1247612734">
                              <w:marLeft w:val="0"/>
                              <w:marRight w:val="0"/>
                              <w:marTop w:val="0"/>
                              <w:marBottom w:val="0"/>
                              <w:divBdr>
                                <w:top w:val="none" w:sz="0" w:space="0" w:color="auto"/>
                                <w:left w:val="none" w:sz="0" w:space="0" w:color="auto"/>
                                <w:bottom w:val="none" w:sz="0" w:space="0" w:color="auto"/>
                                <w:right w:val="none" w:sz="0" w:space="0" w:color="auto"/>
                              </w:divBdr>
                              <w:divsChild>
                                <w:div w:id="1572502609">
                                  <w:marLeft w:val="0"/>
                                  <w:marRight w:val="0"/>
                                  <w:marTop w:val="0"/>
                                  <w:marBottom w:val="0"/>
                                  <w:divBdr>
                                    <w:top w:val="none" w:sz="0" w:space="0" w:color="auto"/>
                                    <w:left w:val="none" w:sz="0" w:space="0" w:color="auto"/>
                                    <w:bottom w:val="none" w:sz="0" w:space="0" w:color="auto"/>
                                    <w:right w:val="none" w:sz="0" w:space="0" w:color="auto"/>
                                  </w:divBdr>
                                  <w:divsChild>
                                    <w:div w:id="2115586966">
                                      <w:marLeft w:val="0"/>
                                      <w:marRight w:val="0"/>
                                      <w:marTop w:val="0"/>
                                      <w:marBottom w:val="0"/>
                                      <w:divBdr>
                                        <w:top w:val="none" w:sz="0" w:space="0" w:color="auto"/>
                                        <w:left w:val="none" w:sz="0" w:space="0" w:color="auto"/>
                                        <w:bottom w:val="none" w:sz="0" w:space="0" w:color="auto"/>
                                        <w:right w:val="none" w:sz="0" w:space="0" w:color="auto"/>
                                      </w:divBdr>
                                      <w:divsChild>
                                        <w:div w:id="142281188">
                                          <w:marLeft w:val="0"/>
                                          <w:marRight w:val="0"/>
                                          <w:marTop w:val="0"/>
                                          <w:marBottom w:val="0"/>
                                          <w:divBdr>
                                            <w:top w:val="none" w:sz="0" w:space="0" w:color="auto"/>
                                            <w:left w:val="none" w:sz="0" w:space="0" w:color="auto"/>
                                            <w:bottom w:val="none" w:sz="0" w:space="0" w:color="auto"/>
                                            <w:right w:val="none" w:sz="0" w:space="0" w:color="auto"/>
                                          </w:divBdr>
                                          <w:divsChild>
                                            <w:div w:id="1883402852">
                                              <w:marLeft w:val="0"/>
                                              <w:marRight w:val="0"/>
                                              <w:marTop w:val="0"/>
                                              <w:marBottom w:val="0"/>
                                              <w:divBdr>
                                                <w:top w:val="none" w:sz="0" w:space="0" w:color="auto"/>
                                                <w:left w:val="none" w:sz="0" w:space="0" w:color="auto"/>
                                                <w:bottom w:val="none" w:sz="0" w:space="0" w:color="auto"/>
                                                <w:right w:val="none" w:sz="0" w:space="0" w:color="auto"/>
                                              </w:divBdr>
                                              <w:divsChild>
                                                <w:div w:id="12834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9897737">
      <w:bodyDiv w:val="1"/>
      <w:marLeft w:val="0"/>
      <w:marRight w:val="0"/>
      <w:marTop w:val="0"/>
      <w:marBottom w:val="0"/>
      <w:divBdr>
        <w:top w:val="none" w:sz="0" w:space="0" w:color="auto"/>
        <w:left w:val="none" w:sz="0" w:space="0" w:color="auto"/>
        <w:bottom w:val="none" w:sz="0" w:space="0" w:color="auto"/>
        <w:right w:val="none" w:sz="0" w:space="0" w:color="auto"/>
      </w:divBdr>
    </w:div>
    <w:div w:id="1653560692">
      <w:bodyDiv w:val="1"/>
      <w:marLeft w:val="0"/>
      <w:marRight w:val="0"/>
      <w:marTop w:val="0"/>
      <w:marBottom w:val="0"/>
      <w:divBdr>
        <w:top w:val="none" w:sz="0" w:space="0" w:color="auto"/>
        <w:left w:val="none" w:sz="0" w:space="0" w:color="auto"/>
        <w:bottom w:val="none" w:sz="0" w:space="0" w:color="auto"/>
        <w:right w:val="none" w:sz="0" w:space="0" w:color="auto"/>
      </w:divBdr>
    </w:div>
    <w:div w:id="1659530268">
      <w:bodyDiv w:val="1"/>
      <w:marLeft w:val="0"/>
      <w:marRight w:val="0"/>
      <w:marTop w:val="0"/>
      <w:marBottom w:val="0"/>
      <w:divBdr>
        <w:top w:val="none" w:sz="0" w:space="0" w:color="auto"/>
        <w:left w:val="none" w:sz="0" w:space="0" w:color="auto"/>
        <w:bottom w:val="none" w:sz="0" w:space="0" w:color="auto"/>
        <w:right w:val="none" w:sz="0" w:space="0" w:color="auto"/>
      </w:divBdr>
    </w:div>
    <w:div w:id="1660688670">
      <w:bodyDiv w:val="1"/>
      <w:marLeft w:val="0"/>
      <w:marRight w:val="0"/>
      <w:marTop w:val="0"/>
      <w:marBottom w:val="0"/>
      <w:divBdr>
        <w:top w:val="none" w:sz="0" w:space="0" w:color="auto"/>
        <w:left w:val="none" w:sz="0" w:space="0" w:color="auto"/>
        <w:bottom w:val="none" w:sz="0" w:space="0" w:color="auto"/>
        <w:right w:val="none" w:sz="0" w:space="0" w:color="auto"/>
      </w:divBdr>
      <w:divsChild>
        <w:div w:id="1604723623">
          <w:marLeft w:val="0"/>
          <w:marRight w:val="0"/>
          <w:marTop w:val="0"/>
          <w:marBottom w:val="0"/>
          <w:divBdr>
            <w:top w:val="none" w:sz="0" w:space="0" w:color="auto"/>
            <w:left w:val="none" w:sz="0" w:space="0" w:color="auto"/>
            <w:bottom w:val="none" w:sz="0" w:space="0" w:color="auto"/>
            <w:right w:val="none" w:sz="0" w:space="0" w:color="auto"/>
          </w:divBdr>
        </w:div>
      </w:divsChild>
    </w:div>
    <w:div w:id="1660814425">
      <w:bodyDiv w:val="1"/>
      <w:marLeft w:val="0"/>
      <w:marRight w:val="0"/>
      <w:marTop w:val="0"/>
      <w:marBottom w:val="0"/>
      <w:divBdr>
        <w:top w:val="none" w:sz="0" w:space="0" w:color="auto"/>
        <w:left w:val="none" w:sz="0" w:space="0" w:color="auto"/>
        <w:bottom w:val="none" w:sz="0" w:space="0" w:color="auto"/>
        <w:right w:val="none" w:sz="0" w:space="0" w:color="auto"/>
      </w:divBdr>
    </w:div>
    <w:div w:id="1661734422">
      <w:bodyDiv w:val="1"/>
      <w:marLeft w:val="0"/>
      <w:marRight w:val="0"/>
      <w:marTop w:val="0"/>
      <w:marBottom w:val="0"/>
      <w:divBdr>
        <w:top w:val="none" w:sz="0" w:space="0" w:color="auto"/>
        <w:left w:val="none" w:sz="0" w:space="0" w:color="auto"/>
        <w:bottom w:val="none" w:sz="0" w:space="0" w:color="auto"/>
        <w:right w:val="none" w:sz="0" w:space="0" w:color="auto"/>
      </w:divBdr>
    </w:div>
    <w:div w:id="1675113522">
      <w:bodyDiv w:val="1"/>
      <w:marLeft w:val="0"/>
      <w:marRight w:val="0"/>
      <w:marTop w:val="0"/>
      <w:marBottom w:val="0"/>
      <w:divBdr>
        <w:top w:val="none" w:sz="0" w:space="0" w:color="auto"/>
        <w:left w:val="none" w:sz="0" w:space="0" w:color="auto"/>
        <w:bottom w:val="none" w:sz="0" w:space="0" w:color="auto"/>
        <w:right w:val="none" w:sz="0" w:space="0" w:color="auto"/>
      </w:divBdr>
    </w:div>
    <w:div w:id="1696692036">
      <w:bodyDiv w:val="1"/>
      <w:marLeft w:val="0"/>
      <w:marRight w:val="0"/>
      <w:marTop w:val="0"/>
      <w:marBottom w:val="0"/>
      <w:divBdr>
        <w:top w:val="none" w:sz="0" w:space="0" w:color="auto"/>
        <w:left w:val="none" w:sz="0" w:space="0" w:color="auto"/>
        <w:bottom w:val="none" w:sz="0" w:space="0" w:color="auto"/>
        <w:right w:val="none" w:sz="0" w:space="0" w:color="auto"/>
      </w:divBdr>
    </w:div>
    <w:div w:id="1704748209">
      <w:bodyDiv w:val="1"/>
      <w:marLeft w:val="0"/>
      <w:marRight w:val="0"/>
      <w:marTop w:val="0"/>
      <w:marBottom w:val="0"/>
      <w:divBdr>
        <w:top w:val="none" w:sz="0" w:space="0" w:color="auto"/>
        <w:left w:val="none" w:sz="0" w:space="0" w:color="auto"/>
        <w:bottom w:val="none" w:sz="0" w:space="0" w:color="auto"/>
        <w:right w:val="none" w:sz="0" w:space="0" w:color="auto"/>
      </w:divBdr>
    </w:div>
    <w:div w:id="1707024741">
      <w:bodyDiv w:val="1"/>
      <w:marLeft w:val="0"/>
      <w:marRight w:val="0"/>
      <w:marTop w:val="0"/>
      <w:marBottom w:val="0"/>
      <w:divBdr>
        <w:top w:val="none" w:sz="0" w:space="0" w:color="auto"/>
        <w:left w:val="none" w:sz="0" w:space="0" w:color="auto"/>
        <w:bottom w:val="none" w:sz="0" w:space="0" w:color="auto"/>
        <w:right w:val="none" w:sz="0" w:space="0" w:color="auto"/>
      </w:divBdr>
    </w:div>
    <w:div w:id="1734347194">
      <w:bodyDiv w:val="1"/>
      <w:marLeft w:val="0"/>
      <w:marRight w:val="0"/>
      <w:marTop w:val="0"/>
      <w:marBottom w:val="0"/>
      <w:divBdr>
        <w:top w:val="none" w:sz="0" w:space="0" w:color="auto"/>
        <w:left w:val="none" w:sz="0" w:space="0" w:color="auto"/>
        <w:bottom w:val="none" w:sz="0" w:space="0" w:color="auto"/>
        <w:right w:val="none" w:sz="0" w:space="0" w:color="auto"/>
      </w:divBdr>
    </w:div>
    <w:div w:id="1737968405">
      <w:bodyDiv w:val="1"/>
      <w:marLeft w:val="0"/>
      <w:marRight w:val="0"/>
      <w:marTop w:val="0"/>
      <w:marBottom w:val="0"/>
      <w:divBdr>
        <w:top w:val="none" w:sz="0" w:space="0" w:color="auto"/>
        <w:left w:val="none" w:sz="0" w:space="0" w:color="auto"/>
        <w:bottom w:val="none" w:sz="0" w:space="0" w:color="auto"/>
        <w:right w:val="none" w:sz="0" w:space="0" w:color="auto"/>
      </w:divBdr>
    </w:div>
    <w:div w:id="1738088168">
      <w:bodyDiv w:val="1"/>
      <w:marLeft w:val="0"/>
      <w:marRight w:val="0"/>
      <w:marTop w:val="0"/>
      <w:marBottom w:val="0"/>
      <w:divBdr>
        <w:top w:val="none" w:sz="0" w:space="0" w:color="auto"/>
        <w:left w:val="none" w:sz="0" w:space="0" w:color="auto"/>
        <w:bottom w:val="none" w:sz="0" w:space="0" w:color="auto"/>
        <w:right w:val="none" w:sz="0" w:space="0" w:color="auto"/>
      </w:divBdr>
    </w:div>
    <w:div w:id="1741782461">
      <w:bodyDiv w:val="1"/>
      <w:marLeft w:val="0"/>
      <w:marRight w:val="0"/>
      <w:marTop w:val="0"/>
      <w:marBottom w:val="0"/>
      <w:divBdr>
        <w:top w:val="none" w:sz="0" w:space="0" w:color="auto"/>
        <w:left w:val="none" w:sz="0" w:space="0" w:color="auto"/>
        <w:bottom w:val="none" w:sz="0" w:space="0" w:color="auto"/>
        <w:right w:val="none" w:sz="0" w:space="0" w:color="auto"/>
      </w:divBdr>
    </w:div>
    <w:div w:id="1745911737">
      <w:bodyDiv w:val="1"/>
      <w:marLeft w:val="0"/>
      <w:marRight w:val="0"/>
      <w:marTop w:val="0"/>
      <w:marBottom w:val="0"/>
      <w:divBdr>
        <w:top w:val="none" w:sz="0" w:space="0" w:color="auto"/>
        <w:left w:val="none" w:sz="0" w:space="0" w:color="auto"/>
        <w:bottom w:val="none" w:sz="0" w:space="0" w:color="auto"/>
        <w:right w:val="none" w:sz="0" w:space="0" w:color="auto"/>
      </w:divBdr>
    </w:div>
    <w:div w:id="1746104032">
      <w:bodyDiv w:val="1"/>
      <w:marLeft w:val="0"/>
      <w:marRight w:val="0"/>
      <w:marTop w:val="0"/>
      <w:marBottom w:val="0"/>
      <w:divBdr>
        <w:top w:val="none" w:sz="0" w:space="0" w:color="auto"/>
        <w:left w:val="none" w:sz="0" w:space="0" w:color="auto"/>
        <w:bottom w:val="none" w:sz="0" w:space="0" w:color="auto"/>
        <w:right w:val="none" w:sz="0" w:space="0" w:color="auto"/>
      </w:divBdr>
    </w:div>
    <w:div w:id="1751005633">
      <w:bodyDiv w:val="1"/>
      <w:marLeft w:val="0"/>
      <w:marRight w:val="0"/>
      <w:marTop w:val="0"/>
      <w:marBottom w:val="0"/>
      <w:divBdr>
        <w:top w:val="none" w:sz="0" w:space="0" w:color="auto"/>
        <w:left w:val="none" w:sz="0" w:space="0" w:color="auto"/>
        <w:bottom w:val="none" w:sz="0" w:space="0" w:color="auto"/>
        <w:right w:val="none" w:sz="0" w:space="0" w:color="auto"/>
      </w:divBdr>
      <w:divsChild>
        <w:div w:id="1726027942">
          <w:marLeft w:val="0"/>
          <w:marRight w:val="0"/>
          <w:marTop w:val="0"/>
          <w:marBottom w:val="0"/>
          <w:divBdr>
            <w:top w:val="none" w:sz="0" w:space="0" w:color="auto"/>
            <w:left w:val="none" w:sz="0" w:space="0" w:color="auto"/>
            <w:bottom w:val="none" w:sz="0" w:space="0" w:color="auto"/>
            <w:right w:val="none" w:sz="0" w:space="0" w:color="auto"/>
          </w:divBdr>
          <w:divsChild>
            <w:div w:id="546574293">
              <w:marLeft w:val="0"/>
              <w:marRight w:val="0"/>
              <w:marTop w:val="0"/>
              <w:marBottom w:val="0"/>
              <w:divBdr>
                <w:top w:val="none" w:sz="0" w:space="0" w:color="auto"/>
                <w:left w:val="none" w:sz="0" w:space="0" w:color="auto"/>
                <w:bottom w:val="none" w:sz="0" w:space="0" w:color="auto"/>
                <w:right w:val="none" w:sz="0" w:space="0" w:color="auto"/>
              </w:divBdr>
              <w:divsChild>
                <w:div w:id="671215">
                  <w:marLeft w:val="0"/>
                  <w:marRight w:val="0"/>
                  <w:marTop w:val="0"/>
                  <w:marBottom w:val="0"/>
                  <w:divBdr>
                    <w:top w:val="none" w:sz="0" w:space="0" w:color="auto"/>
                    <w:left w:val="none" w:sz="0" w:space="0" w:color="auto"/>
                    <w:bottom w:val="none" w:sz="0" w:space="0" w:color="auto"/>
                    <w:right w:val="none" w:sz="0" w:space="0" w:color="auto"/>
                  </w:divBdr>
                  <w:divsChild>
                    <w:div w:id="238489000">
                      <w:marLeft w:val="0"/>
                      <w:marRight w:val="0"/>
                      <w:marTop w:val="0"/>
                      <w:marBottom w:val="0"/>
                      <w:divBdr>
                        <w:top w:val="none" w:sz="0" w:space="0" w:color="auto"/>
                        <w:left w:val="none" w:sz="0" w:space="0" w:color="auto"/>
                        <w:bottom w:val="none" w:sz="0" w:space="0" w:color="auto"/>
                        <w:right w:val="none" w:sz="0" w:space="0" w:color="auto"/>
                      </w:divBdr>
                      <w:divsChild>
                        <w:div w:id="106897080">
                          <w:marLeft w:val="0"/>
                          <w:marRight w:val="0"/>
                          <w:marTop w:val="0"/>
                          <w:marBottom w:val="0"/>
                          <w:divBdr>
                            <w:top w:val="none" w:sz="0" w:space="0" w:color="auto"/>
                            <w:left w:val="none" w:sz="0" w:space="0" w:color="auto"/>
                            <w:bottom w:val="none" w:sz="0" w:space="0" w:color="auto"/>
                            <w:right w:val="none" w:sz="0" w:space="0" w:color="auto"/>
                          </w:divBdr>
                          <w:divsChild>
                            <w:div w:id="1225261693">
                              <w:marLeft w:val="0"/>
                              <w:marRight w:val="0"/>
                              <w:marTop w:val="0"/>
                              <w:marBottom w:val="0"/>
                              <w:divBdr>
                                <w:top w:val="none" w:sz="0" w:space="0" w:color="auto"/>
                                <w:left w:val="none" w:sz="0" w:space="0" w:color="auto"/>
                                <w:bottom w:val="none" w:sz="0" w:space="0" w:color="auto"/>
                                <w:right w:val="none" w:sz="0" w:space="0" w:color="auto"/>
                              </w:divBdr>
                              <w:divsChild>
                                <w:div w:id="1446072297">
                                  <w:marLeft w:val="0"/>
                                  <w:marRight w:val="0"/>
                                  <w:marTop w:val="0"/>
                                  <w:marBottom w:val="0"/>
                                  <w:divBdr>
                                    <w:top w:val="none" w:sz="0" w:space="0" w:color="auto"/>
                                    <w:left w:val="none" w:sz="0" w:space="0" w:color="auto"/>
                                    <w:bottom w:val="none" w:sz="0" w:space="0" w:color="auto"/>
                                    <w:right w:val="none" w:sz="0" w:space="0" w:color="auto"/>
                                  </w:divBdr>
                                  <w:divsChild>
                                    <w:div w:id="1245846726">
                                      <w:marLeft w:val="0"/>
                                      <w:marRight w:val="0"/>
                                      <w:marTop w:val="0"/>
                                      <w:marBottom w:val="0"/>
                                      <w:divBdr>
                                        <w:top w:val="none" w:sz="0" w:space="0" w:color="auto"/>
                                        <w:left w:val="none" w:sz="0" w:space="0" w:color="auto"/>
                                        <w:bottom w:val="none" w:sz="0" w:space="0" w:color="auto"/>
                                        <w:right w:val="none" w:sz="0" w:space="0" w:color="auto"/>
                                      </w:divBdr>
                                      <w:divsChild>
                                        <w:div w:id="384136576">
                                          <w:marLeft w:val="0"/>
                                          <w:marRight w:val="0"/>
                                          <w:marTop w:val="0"/>
                                          <w:marBottom w:val="0"/>
                                          <w:divBdr>
                                            <w:top w:val="none" w:sz="0" w:space="0" w:color="auto"/>
                                            <w:left w:val="none" w:sz="0" w:space="0" w:color="auto"/>
                                            <w:bottom w:val="none" w:sz="0" w:space="0" w:color="auto"/>
                                            <w:right w:val="none" w:sz="0" w:space="0" w:color="auto"/>
                                          </w:divBdr>
                                          <w:divsChild>
                                            <w:div w:id="1134131212">
                                              <w:marLeft w:val="0"/>
                                              <w:marRight w:val="0"/>
                                              <w:marTop w:val="0"/>
                                              <w:marBottom w:val="0"/>
                                              <w:divBdr>
                                                <w:top w:val="none" w:sz="0" w:space="0" w:color="auto"/>
                                                <w:left w:val="none" w:sz="0" w:space="0" w:color="auto"/>
                                                <w:bottom w:val="none" w:sz="0" w:space="0" w:color="auto"/>
                                                <w:right w:val="none" w:sz="0" w:space="0" w:color="auto"/>
                                              </w:divBdr>
                                              <w:divsChild>
                                                <w:div w:id="1591355190">
                                                  <w:marLeft w:val="0"/>
                                                  <w:marRight w:val="0"/>
                                                  <w:marTop w:val="0"/>
                                                  <w:marBottom w:val="0"/>
                                                  <w:divBdr>
                                                    <w:top w:val="none" w:sz="0" w:space="0" w:color="auto"/>
                                                    <w:left w:val="none" w:sz="0" w:space="0" w:color="auto"/>
                                                    <w:bottom w:val="none" w:sz="0" w:space="0" w:color="auto"/>
                                                    <w:right w:val="none" w:sz="0" w:space="0" w:color="auto"/>
                                                  </w:divBdr>
                                                  <w:divsChild>
                                                    <w:div w:id="30768953">
                                                      <w:marLeft w:val="0"/>
                                                      <w:marRight w:val="0"/>
                                                      <w:marTop w:val="0"/>
                                                      <w:marBottom w:val="0"/>
                                                      <w:divBdr>
                                                        <w:top w:val="none" w:sz="0" w:space="0" w:color="auto"/>
                                                        <w:left w:val="none" w:sz="0" w:space="0" w:color="auto"/>
                                                        <w:bottom w:val="none" w:sz="0" w:space="0" w:color="auto"/>
                                                        <w:right w:val="none" w:sz="0" w:space="0" w:color="auto"/>
                                                      </w:divBdr>
                                                      <w:divsChild>
                                                        <w:div w:id="190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2515">
                                              <w:marLeft w:val="0"/>
                                              <w:marRight w:val="0"/>
                                              <w:marTop w:val="0"/>
                                              <w:marBottom w:val="0"/>
                                              <w:divBdr>
                                                <w:top w:val="none" w:sz="0" w:space="0" w:color="auto"/>
                                                <w:left w:val="none" w:sz="0" w:space="0" w:color="auto"/>
                                                <w:bottom w:val="none" w:sz="0" w:space="0" w:color="auto"/>
                                                <w:right w:val="none" w:sz="0" w:space="0" w:color="auto"/>
                                              </w:divBdr>
                                              <w:divsChild>
                                                <w:div w:id="1676611935">
                                                  <w:marLeft w:val="0"/>
                                                  <w:marRight w:val="0"/>
                                                  <w:marTop w:val="0"/>
                                                  <w:marBottom w:val="0"/>
                                                  <w:divBdr>
                                                    <w:top w:val="none" w:sz="0" w:space="0" w:color="auto"/>
                                                    <w:left w:val="none" w:sz="0" w:space="0" w:color="auto"/>
                                                    <w:bottom w:val="none" w:sz="0" w:space="0" w:color="auto"/>
                                                    <w:right w:val="none" w:sz="0" w:space="0" w:color="auto"/>
                                                  </w:divBdr>
                                                  <w:divsChild>
                                                    <w:div w:id="2080057716">
                                                      <w:marLeft w:val="0"/>
                                                      <w:marRight w:val="0"/>
                                                      <w:marTop w:val="0"/>
                                                      <w:marBottom w:val="0"/>
                                                      <w:divBdr>
                                                        <w:top w:val="none" w:sz="0" w:space="0" w:color="auto"/>
                                                        <w:left w:val="none" w:sz="0" w:space="0" w:color="auto"/>
                                                        <w:bottom w:val="none" w:sz="0" w:space="0" w:color="auto"/>
                                                        <w:right w:val="none" w:sz="0" w:space="0" w:color="auto"/>
                                                      </w:divBdr>
                                                      <w:divsChild>
                                                        <w:div w:id="1073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5304861">
          <w:marLeft w:val="0"/>
          <w:marRight w:val="0"/>
          <w:marTop w:val="0"/>
          <w:marBottom w:val="0"/>
          <w:divBdr>
            <w:top w:val="none" w:sz="0" w:space="0" w:color="auto"/>
            <w:left w:val="none" w:sz="0" w:space="0" w:color="auto"/>
            <w:bottom w:val="none" w:sz="0" w:space="0" w:color="auto"/>
            <w:right w:val="none" w:sz="0" w:space="0" w:color="auto"/>
          </w:divBdr>
          <w:divsChild>
            <w:div w:id="821628871">
              <w:marLeft w:val="0"/>
              <w:marRight w:val="0"/>
              <w:marTop w:val="0"/>
              <w:marBottom w:val="0"/>
              <w:divBdr>
                <w:top w:val="none" w:sz="0" w:space="0" w:color="auto"/>
                <w:left w:val="none" w:sz="0" w:space="0" w:color="auto"/>
                <w:bottom w:val="none" w:sz="0" w:space="0" w:color="auto"/>
                <w:right w:val="none" w:sz="0" w:space="0" w:color="auto"/>
              </w:divBdr>
              <w:divsChild>
                <w:div w:id="869999393">
                  <w:marLeft w:val="0"/>
                  <w:marRight w:val="0"/>
                  <w:marTop w:val="0"/>
                  <w:marBottom w:val="0"/>
                  <w:divBdr>
                    <w:top w:val="none" w:sz="0" w:space="0" w:color="auto"/>
                    <w:left w:val="none" w:sz="0" w:space="0" w:color="auto"/>
                    <w:bottom w:val="none" w:sz="0" w:space="0" w:color="auto"/>
                    <w:right w:val="none" w:sz="0" w:space="0" w:color="auto"/>
                  </w:divBdr>
                  <w:divsChild>
                    <w:div w:id="18939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730026">
      <w:bodyDiv w:val="1"/>
      <w:marLeft w:val="0"/>
      <w:marRight w:val="0"/>
      <w:marTop w:val="0"/>
      <w:marBottom w:val="0"/>
      <w:divBdr>
        <w:top w:val="none" w:sz="0" w:space="0" w:color="auto"/>
        <w:left w:val="none" w:sz="0" w:space="0" w:color="auto"/>
        <w:bottom w:val="none" w:sz="0" w:space="0" w:color="auto"/>
        <w:right w:val="none" w:sz="0" w:space="0" w:color="auto"/>
      </w:divBdr>
      <w:divsChild>
        <w:div w:id="1138844370">
          <w:marLeft w:val="0"/>
          <w:marRight w:val="0"/>
          <w:marTop w:val="0"/>
          <w:marBottom w:val="0"/>
          <w:divBdr>
            <w:top w:val="none" w:sz="0" w:space="0" w:color="auto"/>
            <w:left w:val="none" w:sz="0" w:space="0" w:color="auto"/>
            <w:bottom w:val="none" w:sz="0" w:space="0" w:color="auto"/>
            <w:right w:val="none" w:sz="0" w:space="0" w:color="auto"/>
          </w:divBdr>
          <w:divsChild>
            <w:div w:id="1606690470">
              <w:marLeft w:val="0"/>
              <w:marRight w:val="0"/>
              <w:marTop w:val="0"/>
              <w:marBottom w:val="0"/>
              <w:divBdr>
                <w:top w:val="none" w:sz="0" w:space="0" w:color="auto"/>
                <w:left w:val="none" w:sz="0" w:space="0" w:color="auto"/>
                <w:bottom w:val="none" w:sz="0" w:space="0" w:color="auto"/>
                <w:right w:val="none" w:sz="0" w:space="0" w:color="auto"/>
              </w:divBdr>
              <w:divsChild>
                <w:div w:id="1781875996">
                  <w:marLeft w:val="0"/>
                  <w:marRight w:val="0"/>
                  <w:marTop w:val="0"/>
                  <w:marBottom w:val="0"/>
                  <w:divBdr>
                    <w:top w:val="none" w:sz="0" w:space="0" w:color="auto"/>
                    <w:left w:val="none" w:sz="0" w:space="0" w:color="auto"/>
                    <w:bottom w:val="none" w:sz="0" w:space="0" w:color="auto"/>
                    <w:right w:val="none" w:sz="0" w:space="0" w:color="auto"/>
                  </w:divBdr>
                  <w:divsChild>
                    <w:div w:id="1205604409">
                      <w:marLeft w:val="0"/>
                      <w:marRight w:val="0"/>
                      <w:marTop w:val="0"/>
                      <w:marBottom w:val="0"/>
                      <w:divBdr>
                        <w:top w:val="none" w:sz="0" w:space="0" w:color="auto"/>
                        <w:left w:val="none" w:sz="0" w:space="0" w:color="auto"/>
                        <w:bottom w:val="none" w:sz="0" w:space="0" w:color="auto"/>
                        <w:right w:val="none" w:sz="0" w:space="0" w:color="auto"/>
                      </w:divBdr>
                      <w:divsChild>
                        <w:div w:id="700477116">
                          <w:marLeft w:val="0"/>
                          <w:marRight w:val="0"/>
                          <w:marTop w:val="0"/>
                          <w:marBottom w:val="0"/>
                          <w:divBdr>
                            <w:top w:val="none" w:sz="0" w:space="0" w:color="auto"/>
                            <w:left w:val="none" w:sz="0" w:space="0" w:color="auto"/>
                            <w:bottom w:val="none" w:sz="0" w:space="0" w:color="auto"/>
                            <w:right w:val="none" w:sz="0" w:space="0" w:color="auto"/>
                          </w:divBdr>
                          <w:divsChild>
                            <w:div w:id="2050838781">
                              <w:marLeft w:val="0"/>
                              <w:marRight w:val="0"/>
                              <w:marTop w:val="0"/>
                              <w:marBottom w:val="0"/>
                              <w:divBdr>
                                <w:top w:val="none" w:sz="0" w:space="0" w:color="auto"/>
                                <w:left w:val="none" w:sz="0" w:space="0" w:color="auto"/>
                                <w:bottom w:val="none" w:sz="0" w:space="0" w:color="auto"/>
                                <w:right w:val="none" w:sz="0" w:space="0" w:color="auto"/>
                              </w:divBdr>
                              <w:divsChild>
                                <w:div w:id="2018116264">
                                  <w:marLeft w:val="0"/>
                                  <w:marRight w:val="0"/>
                                  <w:marTop w:val="0"/>
                                  <w:marBottom w:val="0"/>
                                  <w:divBdr>
                                    <w:top w:val="none" w:sz="0" w:space="0" w:color="auto"/>
                                    <w:left w:val="none" w:sz="0" w:space="0" w:color="auto"/>
                                    <w:bottom w:val="none" w:sz="0" w:space="0" w:color="auto"/>
                                    <w:right w:val="none" w:sz="0" w:space="0" w:color="auto"/>
                                  </w:divBdr>
                                  <w:divsChild>
                                    <w:div w:id="1479153895">
                                      <w:marLeft w:val="0"/>
                                      <w:marRight w:val="0"/>
                                      <w:marTop w:val="0"/>
                                      <w:marBottom w:val="0"/>
                                      <w:divBdr>
                                        <w:top w:val="none" w:sz="0" w:space="0" w:color="auto"/>
                                        <w:left w:val="none" w:sz="0" w:space="0" w:color="auto"/>
                                        <w:bottom w:val="none" w:sz="0" w:space="0" w:color="auto"/>
                                        <w:right w:val="none" w:sz="0" w:space="0" w:color="auto"/>
                                      </w:divBdr>
                                      <w:divsChild>
                                        <w:div w:id="133061127">
                                          <w:marLeft w:val="0"/>
                                          <w:marRight w:val="0"/>
                                          <w:marTop w:val="0"/>
                                          <w:marBottom w:val="0"/>
                                          <w:divBdr>
                                            <w:top w:val="none" w:sz="0" w:space="0" w:color="auto"/>
                                            <w:left w:val="none" w:sz="0" w:space="0" w:color="auto"/>
                                            <w:bottom w:val="none" w:sz="0" w:space="0" w:color="auto"/>
                                            <w:right w:val="none" w:sz="0" w:space="0" w:color="auto"/>
                                          </w:divBdr>
                                          <w:divsChild>
                                            <w:div w:id="80688953">
                                              <w:marLeft w:val="0"/>
                                              <w:marRight w:val="0"/>
                                              <w:marTop w:val="0"/>
                                              <w:marBottom w:val="0"/>
                                              <w:divBdr>
                                                <w:top w:val="none" w:sz="0" w:space="0" w:color="auto"/>
                                                <w:left w:val="none" w:sz="0" w:space="0" w:color="auto"/>
                                                <w:bottom w:val="none" w:sz="0" w:space="0" w:color="auto"/>
                                                <w:right w:val="none" w:sz="0" w:space="0" w:color="auto"/>
                                              </w:divBdr>
                                              <w:divsChild>
                                                <w:div w:id="437601979">
                                                  <w:marLeft w:val="0"/>
                                                  <w:marRight w:val="0"/>
                                                  <w:marTop w:val="0"/>
                                                  <w:marBottom w:val="0"/>
                                                  <w:divBdr>
                                                    <w:top w:val="none" w:sz="0" w:space="0" w:color="auto"/>
                                                    <w:left w:val="none" w:sz="0" w:space="0" w:color="auto"/>
                                                    <w:bottom w:val="none" w:sz="0" w:space="0" w:color="auto"/>
                                                    <w:right w:val="none" w:sz="0" w:space="0" w:color="auto"/>
                                                  </w:divBdr>
                                                  <w:divsChild>
                                                    <w:div w:id="472258339">
                                                      <w:marLeft w:val="0"/>
                                                      <w:marRight w:val="0"/>
                                                      <w:marTop w:val="0"/>
                                                      <w:marBottom w:val="0"/>
                                                      <w:divBdr>
                                                        <w:top w:val="none" w:sz="0" w:space="0" w:color="auto"/>
                                                        <w:left w:val="none" w:sz="0" w:space="0" w:color="auto"/>
                                                        <w:bottom w:val="none" w:sz="0" w:space="0" w:color="auto"/>
                                                        <w:right w:val="none" w:sz="0" w:space="0" w:color="auto"/>
                                                      </w:divBdr>
                                                      <w:divsChild>
                                                        <w:div w:id="18462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4695">
                                              <w:marLeft w:val="0"/>
                                              <w:marRight w:val="0"/>
                                              <w:marTop w:val="0"/>
                                              <w:marBottom w:val="0"/>
                                              <w:divBdr>
                                                <w:top w:val="none" w:sz="0" w:space="0" w:color="auto"/>
                                                <w:left w:val="none" w:sz="0" w:space="0" w:color="auto"/>
                                                <w:bottom w:val="none" w:sz="0" w:space="0" w:color="auto"/>
                                                <w:right w:val="none" w:sz="0" w:space="0" w:color="auto"/>
                                              </w:divBdr>
                                              <w:divsChild>
                                                <w:div w:id="1919093356">
                                                  <w:marLeft w:val="0"/>
                                                  <w:marRight w:val="0"/>
                                                  <w:marTop w:val="0"/>
                                                  <w:marBottom w:val="0"/>
                                                  <w:divBdr>
                                                    <w:top w:val="none" w:sz="0" w:space="0" w:color="auto"/>
                                                    <w:left w:val="none" w:sz="0" w:space="0" w:color="auto"/>
                                                    <w:bottom w:val="none" w:sz="0" w:space="0" w:color="auto"/>
                                                    <w:right w:val="none" w:sz="0" w:space="0" w:color="auto"/>
                                                  </w:divBdr>
                                                  <w:divsChild>
                                                    <w:div w:id="2126729712">
                                                      <w:marLeft w:val="0"/>
                                                      <w:marRight w:val="0"/>
                                                      <w:marTop w:val="0"/>
                                                      <w:marBottom w:val="0"/>
                                                      <w:divBdr>
                                                        <w:top w:val="none" w:sz="0" w:space="0" w:color="auto"/>
                                                        <w:left w:val="none" w:sz="0" w:space="0" w:color="auto"/>
                                                        <w:bottom w:val="none" w:sz="0" w:space="0" w:color="auto"/>
                                                        <w:right w:val="none" w:sz="0" w:space="0" w:color="auto"/>
                                                      </w:divBdr>
                                                      <w:divsChild>
                                                        <w:div w:id="3933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068056">
          <w:marLeft w:val="0"/>
          <w:marRight w:val="0"/>
          <w:marTop w:val="0"/>
          <w:marBottom w:val="0"/>
          <w:divBdr>
            <w:top w:val="none" w:sz="0" w:space="0" w:color="auto"/>
            <w:left w:val="none" w:sz="0" w:space="0" w:color="auto"/>
            <w:bottom w:val="none" w:sz="0" w:space="0" w:color="auto"/>
            <w:right w:val="none" w:sz="0" w:space="0" w:color="auto"/>
          </w:divBdr>
          <w:divsChild>
            <w:div w:id="1932928">
              <w:marLeft w:val="0"/>
              <w:marRight w:val="0"/>
              <w:marTop w:val="0"/>
              <w:marBottom w:val="0"/>
              <w:divBdr>
                <w:top w:val="none" w:sz="0" w:space="0" w:color="auto"/>
                <w:left w:val="none" w:sz="0" w:space="0" w:color="auto"/>
                <w:bottom w:val="none" w:sz="0" w:space="0" w:color="auto"/>
                <w:right w:val="none" w:sz="0" w:space="0" w:color="auto"/>
              </w:divBdr>
              <w:divsChild>
                <w:div w:id="1260061212">
                  <w:marLeft w:val="0"/>
                  <w:marRight w:val="0"/>
                  <w:marTop w:val="0"/>
                  <w:marBottom w:val="0"/>
                  <w:divBdr>
                    <w:top w:val="none" w:sz="0" w:space="0" w:color="auto"/>
                    <w:left w:val="none" w:sz="0" w:space="0" w:color="auto"/>
                    <w:bottom w:val="none" w:sz="0" w:space="0" w:color="auto"/>
                    <w:right w:val="none" w:sz="0" w:space="0" w:color="auto"/>
                  </w:divBdr>
                  <w:divsChild>
                    <w:div w:id="170193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87848">
      <w:bodyDiv w:val="1"/>
      <w:marLeft w:val="0"/>
      <w:marRight w:val="0"/>
      <w:marTop w:val="0"/>
      <w:marBottom w:val="0"/>
      <w:divBdr>
        <w:top w:val="none" w:sz="0" w:space="0" w:color="auto"/>
        <w:left w:val="none" w:sz="0" w:space="0" w:color="auto"/>
        <w:bottom w:val="none" w:sz="0" w:space="0" w:color="auto"/>
        <w:right w:val="none" w:sz="0" w:space="0" w:color="auto"/>
      </w:divBdr>
      <w:divsChild>
        <w:div w:id="782501708">
          <w:marLeft w:val="0"/>
          <w:marRight w:val="0"/>
          <w:marTop w:val="0"/>
          <w:marBottom w:val="0"/>
          <w:divBdr>
            <w:top w:val="none" w:sz="0" w:space="0" w:color="auto"/>
            <w:left w:val="none" w:sz="0" w:space="0" w:color="auto"/>
            <w:bottom w:val="none" w:sz="0" w:space="0" w:color="auto"/>
            <w:right w:val="none" w:sz="0" w:space="0" w:color="auto"/>
          </w:divBdr>
          <w:divsChild>
            <w:div w:id="1425760087">
              <w:marLeft w:val="0"/>
              <w:marRight w:val="0"/>
              <w:marTop w:val="0"/>
              <w:marBottom w:val="0"/>
              <w:divBdr>
                <w:top w:val="none" w:sz="0" w:space="0" w:color="auto"/>
                <w:left w:val="none" w:sz="0" w:space="0" w:color="auto"/>
                <w:bottom w:val="none" w:sz="0" w:space="0" w:color="auto"/>
                <w:right w:val="none" w:sz="0" w:space="0" w:color="auto"/>
              </w:divBdr>
              <w:divsChild>
                <w:div w:id="1924993581">
                  <w:marLeft w:val="0"/>
                  <w:marRight w:val="0"/>
                  <w:marTop w:val="0"/>
                  <w:marBottom w:val="0"/>
                  <w:divBdr>
                    <w:top w:val="none" w:sz="0" w:space="0" w:color="auto"/>
                    <w:left w:val="none" w:sz="0" w:space="0" w:color="auto"/>
                    <w:bottom w:val="none" w:sz="0" w:space="0" w:color="auto"/>
                    <w:right w:val="none" w:sz="0" w:space="0" w:color="auto"/>
                  </w:divBdr>
                  <w:divsChild>
                    <w:div w:id="11644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7703">
          <w:marLeft w:val="0"/>
          <w:marRight w:val="0"/>
          <w:marTop w:val="0"/>
          <w:marBottom w:val="0"/>
          <w:divBdr>
            <w:top w:val="none" w:sz="0" w:space="0" w:color="auto"/>
            <w:left w:val="none" w:sz="0" w:space="0" w:color="auto"/>
            <w:bottom w:val="none" w:sz="0" w:space="0" w:color="auto"/>
            <w:right w:val="none" w:sz="0" w:space="0" w:color="auto"/>
          </w:divBdr>
          <w:divsChild>
            <w:div w:id="1457216359">
              <w:marLeft w:val="0"/>
              <w:marRight w:val="0"/>
              <w:marTop w:val="0"/>
              <w:marBottom w:val="0"/>
              <w:divBdr>
                <w:top w:val="none" w:sz="0" w:space="0" w:color="auto"/>
                <w:left w:val="none" w:sz="0" w:space="0" w:color="auto"/>
                <w:bottom w:val="none" w:sz="0" w:space="0" w:color="auto"/>
                <w:right w:val="none" w:sz="0" w:space="0" w:color="auto"/>
              </w:divBdr>
              <w:divsChild>
                <w:div w:id="224608162">
                  <w:marLeft w:val="0"/>
                  <w:marRight w:val="0"/>
                  <w:marTop w:val="0"/>
                  <w:marBottom w:val="0"/>
                  <w:divBdr>
                    <w:top w:val="none" w:sz="0" w:space="0" w:color="auto"/>
                    <w:left w:val="none" w:sz="0" w:space="0" w:color="auto"/>
                    <w:bottom w:val="none" w:sz="0" w:space="0" w:color="auto"/>
                    <w:right w:val="none" w:sz="0" w:space="0" w:color="auto"/>
                  </w:divBdr>
                  <w:divsChild>
                    <w:div w:id="18097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11750">
      <w:bodyDiv w:val="1"/>
      <w:marLeft w:val="0"/>
      <w:marRight w:val="0"/>
      <w:marTop w:val="0"/>
      <w:marBottom w:val="0"/>
      <w:divBdr>
        <w:top w:val="none" w:sz="0" w:space="0" w:color="auto"/>
        <w:left w:val="none" w:sz="0" w:space="0" w:color="auto"/>
        <w:bottom w:val="none" w:sz="0" w:space="0" w:color="auto"/>
        <w:right w:val="none" w:sz="0" w:space="0" w:color="auto"/>
      </w:divBdr>
    </w:div>
    <w:div w:id="1825271729">
      <w:bodyDiv w:val="1"/>
      <w:marLeft w:val="0"/>
      <w:marRight w:val="0"/>
      <w:marTop w:val="0"/>
      <w:marBottom w:val="0"/>
      <w:divBdr>
        <w:top w:val="none" w:sz="0" w:space="0" w:color="auto"/>
        <w:left w:val="none" w:sz="0" w:space="0" w:color="auto"/>
        <w:bottom w:val="none" w:sz="0" w:space="0" w:color="auto"/>
        <w:right w:val="none" w:sz="0" w:space="0" w:color="auto"/>
      </w:divBdr>
      <w:divsChild>
        <w:div w:id="1028482745">
          <w:marLeft w:val="0"/>
          <w:marRight w:val="0"/>
          <w:marTop w:val="0"/>
          <w:marBottom w:val="0"/>
          <w:divBdr>
            <w:top w:val="none" w:sz="0" w:space="0" w:color="auto"/>
            <w:left w:val="none" w:sz="0" w:space="0" w:color="auto"/>
            <w:bottom w:val="none" w:sz="0" w:space="0" w:color="auto"/>
            <w:right w:val="none" w:sz="0" w:space="0" w:color="auto"/>
          </w:divBdr>
        </w:div>
      </w:divsChild>
    </w:div>
    <w:div w:id="1832404877">
      <w:bodyDiv w:val="1"/>
      <w:marLeft w:val="0"/>
      <w:marRight w:val="0"/>
      <w:marTop w:val="0"/>
      <w:marBottom w:val="0"/>
      <w:divBdr>
        <w:top w:val="none" w:sz="0" w:space="0" w:color="auto"/>
        <w:left w:val="none" w:sz="0" w:space="0" w:color="auto"/>
        <w:bottom w:val="none" w:sz="0" w:space="0" w:color="auto"/>
        <w:right w:val="none" w:sz="0" w:space="0" w:color="auto"/>
      </w:divBdr>
      <w:divsChild>
        <w:div w:id="1001006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932120">
      <w:bodyDiv w:val="1"/>
      <w:marLeft w:val="0"/>
      <w:marRight w:val="0"/>
      <w:marTop w:val="0"/>
      <w:marBottom w:val="0"/>
      <w:divBdr>
        <w:top w:val="none" w:sz="0" w:space="0" w:color="auto"/>
        <w:left w:val="none" w:sz="0" w:space="0" w:color="auto"/>
        <w:bottom w:val="none" w:sz="0" w:space="0" w:color="auto"/>
        <w:right w:val="none" w:sz="0" w:space="0" w:color="auto"/>
      </w:divBdr>
    </w:div>
    <w:div w:id="1861158457">
      <w:bodyDiv w:val="1"/>
      <w:marLeft w:val="0"/>
      <w:marRight w:val="0"/>
      <w:marTop w:val="0"/>
      <w:marBottom w:val="0"/>
      <w:divBdr>
        <w:top w:val="none" w:sz="0" w:space="0" w:color="auto"/>
        <w:left w:val="none" w:sz="0" w:space="0" w:color="auto"/>
        <w:bottom w:val="none" w:sz="0" w:space="0" w:color="auto"/>
        <w:right w:val="none" w:sz="0" w:space="0" w:color="auto"/>
      </w:divBdr>
    </w:div>
    <w:div w:id="1862159515">
      <w:bodyDiv w:val="1"/>
      <w:marLeft w:val="0"/>
      <w:marRight w:val="0"/>
      <w:marTop w:val="0"/>
      <w:marBottom w:val="0"/>
      <w:divBdr>
        <w:top w:val="none" w:sz="0" w:space="0" w:color="auto"/>
        <w:left w:val="none" w:sz="0" w:space="0" w:color="auto"/>
        <w:bottom w:val="none" w:sz="0" w:space="0" w:color="auto"/>
        <w:right w:val="none" w:sz="0" w:space="0" w:color="auto"/>
      </w:divBdr>
    </w:div>
    <w:div w:id="1862891735">
      <w:bodyDiv w:val="1"/>
      <w:marLeft w:val="0"/>
      <w:marRight w:val="0"/>
      <w:marTop w:val="0"/>
      <w:marBottom w:val="0"/>
      <w:divBdr>
        <w:top w:val="none" w:sz="0" w:space="0" w:color="auto"/>
        <w:left w:val="none" w:sz="0" w:space="0" w:color="auto"/>
        <w:bottom w:val="none" w:sz="0" w:space="0" w:color="auto"/>
        <w:right w:val="none" w:sz="0" w:space="0" w:color="auto"/>
      </w:divBdr>
      <w:divsChild>
        <w:div w:id="993753135">
          <w:marLeft w:val="0"/>
          <w:marRight w:val="0"/>
          <w:marTop w:val="0"/>
          <w:marBottom w:val="0"/>
          <w:divBdr>
            <w:top w:val="none" w:sz="0" w:space="0" w:color="auto"/>
            <w:left w:val="none" w:sz="0" w:space="0" w:color="auto"/>
            <w:bottom w:val="none" w:sz="0" w:space="0" w:color="auto"/>
            <w:right w:val="none" w:sz="0" w:space="0" w:color="auto"/>
          </w:divBdr>
          <w:divsChild>
            <w:div w:id="1835753500">
              <w:marLeft w:val="0"/>
              <w:marRight w:val="0"/>
              <w:marTop w:val="0"/>
              <w:marBottom w:val="0"/>
              <w:divBdr>
                <w:top w:val="none" w:sz="0" w:space="0" w:color="auto"/>
                <w:left w:val="none" w:sz="0" w:space="0" w:color="auto"/>
                <w:bottom w:val="none" w:sz="0" w:space="0" w:color="auto"/>
                <w:right w:val="none" w:sz="0" w:space="0" w:color="auto"/>
              </w:divBdr>
              <w:divsChild>
                <w:div w:id="110975125">
                  <w:marLeft w:val="0"/>
                  <w:marRight w:val="0"/>
                  <w:marTop w:val="0"/>
                  <w:marBottom w:val="0"/>
                  <w:divBdr>
                    <w:top w:val="none" w:sz="0" w:space="0" w:color="auto"/>
                    <w:left w:val="none" w:sz="0" w:space="0" w:color="auto"/>
                    <w:bottom w:val="none" w:sz="0" w:space="0" w:color="auto"/>
                    <w:right w:val="none" w:sz="0" w:space="0" w:color="auto"/>
                  </w:divBdr>
                  <w:divsChild>
                    <w:div w:id="2833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2591">
          <w:marLeft w:val="0"/>
          <w:marRight w:val="0"/>
          <w:marTop w:val="0"/>
          <w:marBottom w:val="0"/>
          <w:divBdr>
            <w:top w:val="none" w:sz="0" w:space="0" w:color="auto"/>
            <w:left w:val="none" w:sz="0" w:space="0" w:color="auto"/>
            <w:bottom w:val="none" w:sz="0" w:space="0" w:color="auto"/>
            <w:right w:val="none" w:sz="0" w:space="0" w:color="auto"/>
          </w:divBdr>
          <w:divsChild>
            <w:div w:id="2108453197">
              <w:marLeft w:val="0"/>
              <w:marRight w:val="0"/>
              <w:marTop w:val="0"/>
              <w:marBottom w:val="0"/>
              <w:divBdr>
                <w:top w:val="none" w:sz="0" w:space="0" w:color="auto"/>
                <w:left w:val="none" w:sz="0" w:space="0" w:color="auto"/>
                <w:bottom w:val="none" w:sz="0" w:space="0" w:color="auto"/>
                <w:right w:val="none" w:sz="0" w:space="0" w:color="auto"/>
              </w:divBdr>
              <w:divsChild>
                <w:div w:id="247274368">
                  <w:marLeft w:val="0"/>
                  <w:marRight w:val="0"/>
                  <w:marTop w:val="0"/>
                  <w:marBottom w:val="0"/>
                  <w:divBdr>
                    <w:top w:val="none" w:sz="0" w:space="0" w:color="auto"/>
                    <w:left w:val="none" w:sz="0" w:space="0" w:color="auto"/>
                    <w:bottom w:val="none" w:sz="0" w:space="0" w:color="auto"/>
                    <w:right w:val="none" w:sz="0" w:space="0" w:color="auto"/>
                  </w:divBdr>
                  <w:divsChild>
                    <w:div w:id="14749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2093">
      <w:bodyDiv w:val="1"/>
      <w:marLeft w:val="0"/>
      <w:marRight w:val="0"/>
      <w:marTop w:val="0"/>
      <w:marBottom w:val="0"/>
      <w:divBdr>
        <w:top w:val="none" w:sz="0" w:space="0" w:color="auto"/>
        <w:left w:val="none" w:sz="0" w:space="0" w:color="auto"/>
        <w:bottom w:val="none" w:sz="0" w:space="0" w:color="auto"/>
        <w:right w:val="none" w:sz="0" w:space="0" w:color="auto"/>
      </w:divBdr>
    </w:div>
    <w:div w:id="1892690417">
      <w:bodyDiv w:val="1"/>
      <w:marLeft w:val="0"/>
      <w:marRight w:val="0"/>
      <w:marTop w:val="0"/>
      <w:marBottom w:val="0"/>
      <w:divBdr>
        <w:top w:val="none" w:sz="0" w:space="0" w:color="auto"/>
        <w:left w:val="none" w:sz="0" w:space="0" w:color="auto"/>
        <w:bottom w:val="none" w:sz="0" w:space="0" w:color="auto"/>
        <w:right w:val="none" w:sz="0" w:space="0" w:color="auto"/>
      </w:divBdr>
    </w:div>
    <w:div w:id="1895970399">
      <w:bodyDiv w:val="1"/>
      <w:marLeft w:val="0"/>
      <w:marRight w:val="0"/>
      <w:marTop w:val="0"/>
      <w:marBottom w:val="0"/>
      <w:divBdr>
        <w:top w:val="none" w:sz="0" w:space="0" w:color="auto"/>
        <w:left w:val="none" w:sz="0" w:space="0" w:color="auto"/>
        <w:bottom w:val="none" w:sz="0" w:space="0" w:color="auto"/>
        <w:right w:val="none" w:sz="0" w:space="0" w:color="auto"/>
      </w:divBdr>
    </w:div>
    <w:div w:id="1896886624">
      <w:bodyDiv w:val="1"/>
      <w:marLeft w:val="0"/>
      <w:marRight w:val="0"/>
      <w:marTop w:val="0"/>
      <w:marBottom w:val="0"/>
      <w:divBdr>
        <w:top w:val="none" w:sz="0" w:space="0" w:color="auto"/>
        <w:left w:val="none" w:sz="0" w:space="0" w:color="auto"/>
        <w:bottom w:val="none" w:sz="0" w:space="0" w:color="auto"/>
        <w:right w:val="none" w:sz="0" w:space="0" w:color="auto"/>
      </w:divBdr>
    </w:div>
    <w:div w:id="1908958084">
      <w:bodyDiv w:val="1"/>
      <w:marLeft w:val="0"/>
      <w:marRight w:val="0"/>
      <w:marTop w:val="0"/>
      <w:marBottom w:val="0"/>
      <w:divBdr>
        <w:top w:val="none" w:sz="0" w:space="0" w:color="auto"/>
        <w:left w:val="none" w:sz="0" w:space="0" w:color="auto"/>
        <w:bottom w:val="none" w:sz="0" w:space="0" w:color="auto"/>
        <w:right w:val="none" w:sz="0" w:space="0" w:color="auto"/>
      </w:divBdr>
    </w:div>
    <w:div w:id="1912081950">
      <w:bodyDiv w:val="1"/>
      <w:marLeft w:val="0"/>
      <w:marRight w:val="0"/>
      <w:marTop w:val="0"/>
      <w:marBottom w:val="0"/>
      <w:divBdr>
        <w:top w:val="none" w:sz="0" w:space="0" w:color="auto"/>
        <w:left w:val="none" w:sz="0" w:space="0" w:color="auto"/>
        <w:bottom w:val="none" w:sz="0" w:space="0" w:color="auto"/>
        <w:right w:val="none" w:sz="0" w:space="0" w:color="auto"/>
      </w:divBdr>
    </w:div>
    <w:div w:id="1927615100">
      <w:bodyDiv w:val="1"/>
      <w:marLeft w:val="0"/>
      <w:marRight w:val="0"/>
      <w:marTop w:val="0"/>
      <w:marBottom w:val="0"/>
      <w:divBdr>
        <w:top w:val="none" w:sz="0" w:space="0" w:color="auto"/>
        <w:left w:val="none" w:sz="0" w:space="0" w:color="auto"/>
        <w:bottom w:val="none" w:sz="0" w:space="0" w:color="auto"/>
        <w:right w:val="none" w:sz="0" w:space="0" w:color="auto"/>
      </w:divBdr>
    </w:div>
    <w:div w:id="1940064994">
      <w:bodyDiv w:val="1"/>
      <w:marLeft w:val="0"/>
      <w:marRight w:val="0"/>
      <w:marTop w:val="0"/>
      <w:marBottom w:val="0"/>
      <w:divBdr>
        <w:top w:val="none" w:sz="0" w:space="0" w:color="auto"/>
        <w:left w:val="none" w:sz="0" w:space="0" w:color="auto"/>
        <w:bottom w:val="none" w:sz="0" w:space="0" w:color="auto"/>
        <w:right w:val="none" w:sz="0" w:space="0" w:color="auto"/>
      </w:divBdr>
    </w:div>
    <w:div w:id="1947929054">
      <w:bodyDiv w:val="1"/>
      <w:marLeft w:val="0"/>
      <w:marRight w:val="0"/>
      <w:marTop w:val="0"/>
      <w:marBottom w:val="0"/>
      <w:divBdr>
        <w:top w:val="none" w:sz="0" w:space="0" w:color="auto"/>
        <w:left w:val="none" w:sz="0" w:space="0" w:color="auto"/>
        <w:bottom w:val="none" w:sz="0" w:space="0" w:color="auto"/>
        <w:right w:val="none" w:sz="0" w:space="0" w:color="auto"/>
      </w:divBdr>
    </w:div>
    <w:div w:id="1975284260">
      <w:bodyDiv w:val="1"/>
      <w:marLeft w:val="0"/>
      <w:marRight w:val="0"/>
      <w:marTop w:val="0"/>
      <w:marBottom w:val="0"/>
      <w:divBdr>
        <w:top w:val="none" w:sz="0" w:space="0" w:color="auto"/>
        <w:left w:val="none" w:sz="0" w:space="0" w:color="auto"/>
        <w:bottom w:val="none" w:sz="0" w:space="0" w:color="auto"/>
        <w:right w:val="none" w:sz="0" w:space="0" w:color="auto"/>
      </w:divBdr>
    </w:div>
    <w:div w:id="1990087284">
      <w:bodyDiv w:val="1"/>
      <w:marLeft w:val="0"/>
      <w:marRight w:val="0"/>
      <w:marTop w:val="0"/>
      <w:marBottom w:val="0"/>
      <w:divBdr>
        <w:top w:val="none" w:sz="0" w:space="0" w:color="auto"/>
        <w:left w:val="none" w:sz="0" w:space="0" w:color="auto"/>
        <w:bottom w:val="none" w:sz="0" w:space="0" w:color="auto"/>
        <w:right w:val="none" w:sz="0" w:space="0" w:color="auto"/>
      </w:divBdr>
      <w:divsChild>
        <w:div w:id="2078359244">
          <w:marLeft w:val="0"/>
          <w:marRight w:val="0"/>
          <w:marTop w:val="0"/>
          <w:marBottom w:val="0"/>
          <w:divBdr>
            <w:top w:val="none" w:sz="0" w:space="0" w:color="auto"/>
            <w:left w:val="none" w:sz="0" w:space="0" w:color="auto"/>
            <w:bottom w:val="none" w:sz="0" w:space="0" w:color="auto"/>
            <w:right w:val="none" w:sz="0" w:space="0" w:color="auto"/>
          </w:divBdr>
          <w:divsChild>
            <w:div w:id="2082436257">
              <w:marLeft w:val="0"/>
              <w:marRight w:val="0"/>
              <w:marTop w:val="0"/>
              <w:marBottom w:val="0"/>
              <w:divBdr>
                <w:top w:val="none" w:sz="0" w:space="0" w:color="auto"/>
                <w:left w:val="none" w:sz="0" w:space="0" w:color="auto"/>
                <w:bottom w:val="none" w:sz="0" w:space="0" w:color="auto"/>
                <w:right w:val="none" w:sz="0" w:space="0" w:color="auto"/>
              </w:divBdr>
              <w:divsChild>
                <w:div w:id="675111799">
                  <w:marLeft w:val="0"/>
                  <w:marRight w:val="0"/>
                  <w:marTop w:val="0"/>
                  <w:marBottom w:val="0"/>
                  <w:divBdr>
                    <w:top w:val="none" w:sz="0" w:space="0" w:color="auto"/>
                    <w:left w:val="none" w:sz="0" w:space="0" w:color="auto"/>
                    <w:bottom w:val="none" w:sz="0" w:space="0" w:color="auto"/>
                    <w:right w:val="none" w:sz="0" w:space="0" w:color="auto"/>
                  </w:divBdr>
                  <w:divsChild>
                    <w:div w:id="606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3362">
          <w:marLeft w:val="0"/>
          <w:marRight w:val="0"/>
          <w:marTop w:val="0"/>
          <w:marBottom w:val="0"/>
          <w:divBdr>
            <w:top w:val="none" w:sz="0" w:space="0" w:color="auto"/>
            <w:left w:val="none" w:sz="0" w:space="0" w:color="auto"/>
            <w:bottom w:val="none" w:sz="0" w:space="0" w:color="auto"/>
            <w:right w:val="none" w:sz="0" w:space="0" w:color="auto"/>
          </w:divBdr>
          <w:divsChild>
            <w:div w:id="1962150261">
              <w:marLeft w:val="0"/>
              <w:marRight w:val="0"/>
              <w:marTop w:val="0"/>
              <w:marBottom w:val="0"/>
              <w:divBdr>
                <w:top w:val="none" w:sz="0" w:space="0" w:color="auto"/>
                <w:left w:val="none" w:sz="0" w:space="0" w:color="auto"/>
                <w:bottom w:val="none" w:sz="0" w:space="0" w:color="auto"/>
                <w:right w:val="none" w:sz="0" w:space="0" w:color="auto"/>
              </w:divBdr>
              <w:divsChild>
                <w:div w:id="494076007">
                  <w:marLeft w:val="0"/>
                  <w:marRight w:val="0"/>
                  <w:marTop w:val="0"/>
                  <w:marBottom w:val="0"/>
                  <w:divBdr>
                    <w:top w:val="none" w:sz="0" w:space="0" w:color="auto"/>
                    <w:left w:val="none" w:sz="0" w:space="0" w:color="auto"/>
                    <w:bottom w:val="none" w:sz="0" w:space="0" w:color="auto"/>
                    <w:right w:val="none" w:sz="0" w:space="0" w:color="auto"/>
                  </w:divBdr>
                  <w:divsChild>
                    <w:div w:id="5509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99625">
      <w:bodyDiv w:val="1"/>
      <w:marLeft w:val="0"/>
      <w:marRight w:val="0"/>
      <w:marTop w:val="0"/>
      <w:marBottom w:val="0"/>
      <w:divBdr>
        <w:top w:val="none" w:sz="0" w:space="0" w:color="auto"/>
        <w:left w:val="none" w:sz="0" w:space="0" w:color="auto"/>
        <w:bottom w:val="none" w:sz="0" w:space="0" w:color="auto"/>
        <w:right w:val="none" w:sz="0" w:space="0" w:color="auto"/>
      </w:divBdr>
    </w:div>
    <w:div w:id="1997688785">
      <w:bodyDiv w:val="1"/>
      <w:marLeft w:val="0"/>
      <w:marRight w:val="0"/>
      <w:marTop w:val="0"/>
      <w:marBottom w:val="0"/>
      <w:divBdr>
        <w:top w:val="none" w:sz="0" w:space="0" w:color="auto"/>
        <w:left w:val="none" w:sz="0" w:space="0" w:color="auto"/>
        <w:bottom w:val="none" w:sz="0" w:space="0" w:color="auto"/>
        <w:right w:val="none" w:sz="0" w:space="0" w:color="auto"/>
      </w:divBdr>
    </w:div>
    <w:div w:id="2001158319">
      <w:bodyDiv w:val="1"/>
      <w:marLeft w:val="0"/>
      <w:marRight w:val="0"/>
      <w:marTop w:val="0"/>
      <w:marBottom w:val="0"/>
      <w:divBdr>
        <w:top w:val="none" w:sz="0" w:space="0" w:color="auto"/>
        <w:left w:val="none" w:sz="0" w:space="0" w:color="auto"/>
        <w:bottom w:val="none" w:sz="0" w:space="0" w:color="auto"/>
        <w:right w:val="none" w:sz="0" w:space="0" w:color="auto"/>
      </w:divBdr>
      <w:divsChild>
        <w:div w:id="1978681448">
          <w:marLeft w:val="0"/>
          <w:marRight w:val="0"/>
          <w:marTop w:val="0"/>
          <w:marBottom w:val="0"/>
          <w:divBdr>
            <w:top w:val="none" w:sz="0" w:space="0" w:color="auto"/>
            <w:left w:val="none" w:sz="0" w:space="0" w:color="auto"/>
            <w:bottom w:val="none" w:sz="0" w:space="0" w:color="auto"/>
            <w:right w:val="none" w:sz="0" w:space="0" w:color="auto"/>
          </w:divBdr>
          <w:divsChild>
            <w:div w:id="146485601">
              <w:marLeft w:val="0"/>
              <w:marRight w:val="0"/>
              <w:marTop w:val="0"/>
              <w:marBottom w:val="0"/>
              <w:divBdr>
                <w:top w:val="none" w:sz="0" w:space="0" w:color="auto"/>
                <w:left w:val="none" w:sz="0" w:space="0" w:color="auto"/>
                <w:bottom w:val="none" w:sz="0" w:space="0" w:color="auto"/>
                <w:right w:val="none" w:sz="0" w:space="0" w:color="auto"/>
              </w:divBdr>
              <w:divsChild>
                <w:div w:id="1446267926">
                  <w:marLeft w:val="0"/>
                  <w:marRight w:val="0"/>
                  <w:marTop w:val="0"/>
                  <w:marBottom w:val="0"/>
                  <w:divBdr>
                    <w:top w:val="none" w:sz="0" w:space="0" w:color="auto"/>
                    <w:left w:val="none" w:sz="0" w:space="0" w:color="auto"/>
                    <w:bottom w:val="none" w:sz="0" w:space="0" w:color="auto"/>
                    <w:right w:val="none" w:sz="0" w:space="0" w:color="auto"/>
                  </w:divBdr>
                  <w:divsChild>
                    <w:div w:id="1927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5163">
          <w:marLeft w:val="0"/>
          <w:marRight w:val="0"/>
          <w:marTop w:val="0"/>
          <w:marBottom w:val="0"/>
          <w:divBdr>
            <w:top w:val="none" w:sz="0" w:space="0" w:color="auto"/>
            <w:left w:val="none" w:sz="0" w:space="0" w:color="auto"/>
            <w:bottom w:val="none" w:sz="0" w:space="0" w:color="auto"/>
            <w:right w:val="none" w:sz="0" w:space="0" w:color="auto"/>
          </w:divBdr>
          <w:divsChild>
            <w:div w:id="276909042">
              <w:marLeft w:val="0"/>
              <w:marRight w:val="0"/>
              <w:marTop w:val="0"/>
              <w:marBottom w:val="0"/>
              <w:divBdr>
                <w:top w:val="none" w:sz="0" w:space="0" w:color="auto"/>
                <w:left w:val="none" w:sz="0" w:space="0" w:color="auto"/>
                <w:bottom w:val="none" w:sz="0" w:space="0" w:color="auto"/>
                <w:right w:val="none" w:sz="0" w:space="0" w:color="auto"/>
              </w:divBdr>
              <w:divsChild>
                <w:div w:id="1404137453">
                  <w:marLeft w:val="0"/>
                  <w:marRight w:val="0"/>
                  <w:marTop w:val="0"/>
                  <w:marBottom w:val="0"/>
                  <w:divBdr>
                    <w:top w:val="none" w:sz="0" w:space="0" w:color="auto"/>
                    <w:left w:val="none" w:sz="0" w:space="0" w:color="auto"/>
                    <w:bottom w:val="none" w:sz="0" w:space="0" w:color="auto"/>
                    <w:right w:val="none" w:sz="0" w:space="0" w:color="auto"/>
                  </w:divBdr>
                  <w:divsChild>
                    <w:div w:id="17550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8460">
      <w:bodyDiv w:val="1"/>
      <w:marLeft w:val="0"/>
      <w:marRight w:val="0"/>
      <w:marTop w:val="0"/>
      <w:marBottom w:val="0"/>
      <w:divBdr>
        <w:top w:val="none" w:sz="0" w:space="0" w:color="auto"/>
        <w:left w:val="none" w:sz="0" w:space="0" w:color="auto"/>
        <w:bottom w:val="none" w:sz="0" w:space="0" w:color="auto"/>
        <w:right w:val="none" w:sz="0" w:space="0" w:color="auto"/>
      </w:divBdr>
    </w:div>
    <w:div w:id="2051999907">
      <w:bodyDiv w:val="1"/>
      <w:marLeft w:val="0"/>
      <w:marRight w:val="0"/>
      <w:marTop w:val="0"/>
      <w:marBottom w:val="0"/>
      <w:divBdr>
        <w:top w:val="none" w:sz="0" w:space="0" w:color="auto"/>
        <w:left w:val="none" w:sz="0" w:space="0" w:color="auto"/>
        <w:bottom w:val="none" w:sz="0" w:space="0" w:color="auto"/>
        <w:right w:val="none" w:sz="0" w:space="0" w:color="auto"/>
      </w:divBdr>
      <w:divsChild>
        <w:div w:id="1541162311">
          <w:marLeft w:val="0"/>
          <w:marRight w:val="0"/>
          <w:marTop w:val="0"/>
          <w:marBottom w:val="0"/>
          <w:divBdr>
            <w:top w:val="none" w:sz="0" w:space="0" w:color="auto"/>
            <w:left w:val="none" w:sz="0" w:space="0" w:color="auto"/>
            <w:bottom w:val="none" w:sz="0" w:space="0" w:color="auto"/>
            <w:right w:val="none" w:sz="0" w:space="0" w:color="auto"/>
          </w:divBdr>
          <w:divsChild>
            <w:div w:id="814882520">
              <w:marLeft w:val="0"/>
              <w:marRight w:val="0"/>
              <w:marTop w:val="0"/>
              <w:marBottom w:val="0"/>
              <w:divBdr>
                <w:top w:val="none" w:sz="0" w:space="0" w:color="auto"/>
                <w:left w:val="none" w:sz="0" w:space="0" w:color="auto"/>
                <w:bottom w:val="none" w:sz="0" w:space="0" w:color="auto"/>
                <w:right w:val="none" w:sz="0" w:space="0" w:color="auto"/>
              </w:divBdr>
              <w:divsChild>
                <w:div w:id="1666281941">
                  <w:marLeft w:val="0"/>
                  <w:marRight w:val="0"/>
                  <w:marTop w:val="0"/>
                  <w:marBottom w:val="0"/>
                  <w:divBdr>
                    <w:top w:val="none" w:sz="0" w:space="0" w:color="auto"/>
                    <w:left w:val="none" w:sz="0" w:space="0" w:color="auto"/>
                    <w:bottom w:val="none" w:sz="0" w:space="0" w:color="auto"/>
                    <w:right w:val="none" w:sz="0" w:space="0" w:color="auto"/>
                  </w:divBdr>
                  <w:divsChild>
                    <w:div w:id="8876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6588">
          <w:marLeft w:val="0"/>
          <w:marRight w:val="0"/>
          <w:marTop w:val="0"/>
          <w:marBottom w:val="0"/>
          <w:divBdr>
            <w:top w:val="none" w:sz="0" w:space="0" w:color="auto"/>
            <w:left w:val="none" w:sz="0" w:space="0" w:color="auto"/>
            <w:bottom w:val="none" w:sz="0" w:space="0" w:color="auto"/>
            <w:right w:val="none" w:sz="0" w:space="0" w:color="auto"/>
          </w:divBdr>
          <w:divsChild>
            <w:div w:id="239876602">
              <w:marLeft w:val="0"/>
              <w:marRight w:val="0"/>
              <w:marTop w:val="0"/>
              <w:marBottom w:val="0"/>
              <w:divBdr>
                <w:top w:val="none" w:sz="0" w:space="0" w:color="auto"/>
                <w:left w:val="none" w:sz="0" w:space="0" w:color="auto"/>
                <w:bottom w:val="none" w:sz="0" w:space="0" w:color="auto"/>
                <w:right w:val="none" w:sz="0" w:space="0" w:color="auto"/>
              </w:divBdr>
              <w:divsChild>
                <w:div w:id="1345091045">
                  <w:marLeft w:val="0"/>
                  <w:marRight w:val="0"/>
                  <w:marTop w:val="0"/>
                  <w:marBottom w:val="0"/>
                  <w:divBdr>
                    <w:top w:val="none" w:sz="0" w:space="0" w:color="auto"/>
                    <w:left w:val="none" w:sz="0" w:space="0" w:color="auto"/>
                    <w:bottom w:val="none" w:sz="0" w:space="0" w:color="auto"/>
                    <w:right w:val="none" w:sz="0" w:space="0" w:color="auto"/>
                  </w:divBdr>
                  <w:divsChild>
                    <w:div w:id="12797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73063">
      <w:bodyDiv w:val="1"/>
      <w:marLeft w:val="0"/>
      <w:marRight w:val="0"/>
      <w:marTop w:val="0"/>
      <w:marBottom w:val="0"/>
      <w:divBdr>
        <w:top w:val="none" w:sz="0" w:space="0" w:color="auto"/>
        <w:left w:val="none" w:sz="0" w:space="0" w:color="auto"/>
        <w:bottom w:val="none" w:sz="0" w:space="0" w:color="auto"/>
        <w:right w:val="none" w:sz="0" w:space="0" w:color="auto"/>
      </w:divBdr>
    </w:div>
    <w:div w:id="2052915638">
      <w:bodyDiv w:val="1"/>
      <w:marLeft w:val="0"/>
      <w:marRight w:val="0"/>
      <w:marTop w:val="0"/>
      <w:marBottom w:val="0"/>
      <w:divBdr>
        <w:top w:val="none" w:sz="0" w:space="0" w:color="auto"/>
        <w:left w:val="none" w:sz="0" w:space="0" w:color="auto"/>
        <w:bottom w:val="none" w:sz="0" w:space="0" w:color="auto"/>
        <w:right w:val="none" w:sz="0" w:space="0" w:color="auto"/>
      </w:divBdr>
    </w:div>
    <w:div w:id="2053460298">
      <w:bodyDiv w:val="1"/>
      <w:marLeft w:val="0"/>
      <w:marRight w:val="0"/>
      <w:marTop w:val="0"/>
      <w:marBottom w:val="0"/>
      <w:divBdr>
        <w:top w:val="none" w:sz="0" w:space="0" w:color="auto"/>
        <w:left w:val="none" w:sz="0" w:space="0" w:color="auto"/>
        <w:bottom w:val="none" w:sz="0" w:space="0" w:color="auto"/>
        <w:right w:val="none" w:sz="0" w:space="0" w:color="auto"/>
      </w:divBdr>
      <w:divsChild>
        <w:div w:id="1909684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693753">
      <w:bodyDiv w:val="1"/>
      <w:marLeft w:val="0"/>
      <w:marRight w:val="0"/>
      <w:marTop w:val="0"/>
      <w:marBottom w:val="0"/>
      <w:divBdr>
        <w:top w:val="none" w:sz="0" w:space="0" w:color="auto"/>
        <w:left w:val="none" w:sz="0" w:space="0" w:color="auto"/>
        <w:bottom w:val="none" w:sz="0" w:space="0" w:color="auto"/>
        <w:right w:val="none" w:sz="0" w:space="0" w:color="auto"/>
      </w:divBdr>
      <w:divsChild>
        <w:div w:id="1593200099">
          <w:marLeft w:val="0"/>
          <w:marRight w:val="0"/>
          <w:marTop w:val="0"/>
          <w:marBottom w:val="0"/>
          <w:divBdr>
            <w:top w:val="none" w:sz="0" w:space="0" w:color="auto"/>
            <w:left w:val="none" w:sz="0" w:space="0" w:color="auto"/>
            <w:bottom w:val="none" w:sz="0" w:space="0" w:color="auto"/>
            <w:right w:val="none" w:sz="0" w:space="0" w:color="auto"/>
          </w:divBdr>
          <w:divsChild>
            <w:div w:id="86269724">
              <w:marLeft w:val="0"/>
              <w:marRight w:val="0"/>
              <w:marTop w:val="0"/>
              <w:marBottom w:val="0"/>
              <w:divBdr>
                <w:top w:val="none" w:sz="0" w:space="0" w:color="auto"/>
                <w:left w:val="none" w:sz="0" w:space="0" w:color="auto"/>
                <w:bottom w:val="none" w:sz="0" w:space="0" w:color="auto"/>
                <w:right w:val="none" w:sz="0" w:space="0" w:color="auto"/>
              </w:divBdr>
              <w:divsChild>
                <w:div w:id="1928155315">
                  <w:marLeft w:val="0"/>
                  <w:marRight w:val="0"/>
                  <w:marTop w:val="0"/>
                  <w:marBottom w:val="0"/>
                  <w:divBdr>
                    <w:top w:val="none" w:sz="0" w:space="0" w:color="auto"/>
                    <w:left w:val="none" w:sz="0" w:space="0" w:color="auto"/>
                    <w:bottom w:val="none" w:sz="0" w:space="0" w:color="auto"/>
                    <w:right w:val="none" w:sz="0" w:space="0" w:color="auto"/>
                  </w:divBdr>
                  <w:divsChild>
                    <w:div w:id="157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75588">
          <w:marLeft w:val="0"/>
          <w:marRight w:val="0"/>
          <w:marTop w:val="0"/>
          <w:marBottom w:val="0"/>
          <w:divBdr>
            <w:top w:val="none" w:sz="0" w:space="0" w:color="auto"/>
            <w:left w:val="none" w:sz="0" w:space="0" w:color="auto"/>
            <w:bottom w:val="none" w:sz="0" w:space="0" w:color="auto"/>
            <w:right w:val="none" w:sz="0" w:space="0" w:color="auto"/>
          </w:divBdr>
          <w:divsChild>
            <w:div w:id="903566424">
              <w:marLeft w:val="0"/>
              <w:marRight w:val="0"/>
              <w:marTop w:val="0"/>
              <w:marBottom w:val="0"/>
              <w:divBdr>
                <w:top w:val="none" w:sz="0" w:space="0" w:color="auto"/>
                <w:left w:val="none" w:sz="0" w:space="0" w:color="auto"/>
                <w:bottom w:val="none" w:sz="0" w:space="0" w:color="auto"/>
                <w:right w:val="none" w:sz="0" w:space="0" w:color="auto"/>
              </w:divBdr>
              <w:divsChild>
                <w:div w:id="374744321">
                  <w:marLeft w:val="0"/>
                  <w:marRight w:val="0"/>
                  <w:marTop w:val="0"/>
                  <w:marBottom w:val="0"/>
                  <w:divBdr>
                    <w:top w:val="none" w:sz="0" w:space="0" w:color="auto"/>
                    <w:left w:val="none" w:sz="0" w:space="0" w:color="auto"/>
                    <w:bottom w:val="none" w:sz="0" w:space="0" w:color="auto"/>
                    <w:right w:val="none" w:sz="0" w:space="0" w:color="auto"/>
                  </w:divBdr>
                  <w:divsChild>
                    <w:div w:id="4414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003319">
      <w:bodyDiv w:val="1"/>
      <w:marLeft w:val="0"/>
      <w:marRight w:val="0"/>
      <w:marTop w:val="0"/>
      <w:marBottom w:val="0"/>
      <w:divBdr>
        <w:top w:val="none" w:sz="0" w:space="0" w:color="auto"/>
        <w:left w:val="none" w:sz="0" w:space="0" w:color="auto"/>
        <w:bottom w:val="none" w:sz="0" w:space="0" w:color="auto"/>
        <w:right w:val="none" w:sz="0" w:space="0" w:color="auto"/>
      </w:divBdr>
    </w:div>
    <w:div w:id="2066760300">
      <w:bodyDiv w:val="1"/>
      <w:marLeft w:val="0"/>
      <w:marRight w:val="0"/>
      <w:marTop w:val="0"/>
      <w:marBottom w:val="0"/>
      <w:divBdr>
        <w:top w:val="none" w:sz="0" w:space="0" w:color="auto"/>
        <w:left w:val="none" w:sz="0" w:space="0" w:color="auto"/>
        <w:bottom w:val="none" w:sz="0" w:space="0" w:color="auto"/>
        <w:right w:val="none" w:sz="0" w:space="0" w:color="auto"/>
      </w:divBdr>
    </w:div>
    <w:div w:id="2084717042">
      <w:bodyDiv w:val="1"/>
      <w:marLeft w:val="0"/>
      <w:marRight w:val="0"/>
      <w:marTop w:val="0"/>
      <w:marBottom w:val="0"/>
      <w:divBdr>
        <w:top w:val="none" w:sz="0" w:space="0" w:color="auto"/>
        <w:left w:val="none" w:sz="0" w:space="0" w:color="auto"/>
        <w:bottom w:val="none" w:sz="0" w:space="0" w:color="auto"/>
        <w:right w:val="none" w:sz="0" w:space="0" w:color="auto"/>
      </w:divBdr>
    </w:div>
    <w:div w:id="2093352430">
      <w:bodyDiv w:val="1"/>
      <w:marLeft w:val="0"/>
      <w:marRight w:val="0"/>
      <w:marTop w:val="0"/>
      <w:marBottom w:val="0"/>
      <w:divBdr>
        <w:top w:val="none" w:sz="0" w:space="0" w:color="auto"/>
        <w:left w:val="none" w:sz="0" w:space="0" w:color="auto"/>
        <w:bottom w:val="none" w:sz="0" w:space="0" w:color="auto"/>
        <w:right w:val="none" w:sz="0" w:space="0" w:color="auto"/>
      </w:divBdr>
    </w:div>
    <w:div w:id="2096003206">
      <w:bodyDiv w:val="1"/>
      <w:marLeft w:val="0"/>
      <w:marRight w:val="0"/>
      <w:marTop w:val="0"/>
      <w:marBottom w:val="0"/>
      <w:divBdr>
        <w:top w:val="none" w:sz="0" w:space="0" w:color="auto"/>
        <w:left w:val="none" w:sz="0" w:space="0" w:color="auto"/>
        <w:bottom w:val="none" w:sz="0" w:space="0" w:color="auto"/>
        <w:right w:val="none" w:sz="0" w:space="0" w:color="auto"/>
      </w:divBdr>
    </w:div>
    <w:div w:id="2099791116">
      <w:bodyDiv w:val="1"/>
      <w:marLeft w:val="0"/>
      <w:marRight w:val="0"/>
      <w:marTop w:val="0"/>
      <w:marBottom w:val="0"/>
      <w:divBdr>
        <w:top w:val="none" w:sz="0" w:space="0" w:color="auto"/>
        <w:left w:val="none" w:sz="0" w:space="0" w:color="auto"/>
        <w:bottom w:val="none" w:sz="0" w:space="0" w:color="auto"/>
        <w:right w:val="none" w:sz="0" w:space="0" w:color="auto"/>
      </w:divBdr>
      <w:divsChild>
        <w:div w:id="1133251086">
          <w:marLeft w:val="0"/>
          <w:marRight w:val="0"/>
          <w:marTop w:val="0"/>
          <w:marBottom w:val="0"/>
          <w:divBdr>
            <w:top w:val="none" w:sz="0" w:space="0" w:color="auto"/>
            <w:left w:val="none" w:sz="0" w:space="0" w:color="auto"/>
            <w:bottom w:val="none" w:sz="0" w:space="0" w:color="auto"/>
            <w:right w:val="none" w:sz="0" w:space="0" w:color="auto"/>
          </w:divBdr>
          <w:divsChild>
            <w:div w:id="1165164809">
              <w:marLeft w:val="0"/>
              <w:marRight w:val="0"/>
              <w:marTop w:val="0"/>
              <w:marBottom w:val="0"/>
              <w:divBdr>
                <w:top w:val="none" w:sz="0" w:space="0" w:color="auto"/>
                <w:left w:val="none" w:sz="0" w:space="0" w:color="auto"/>
                <w:bottom w:val="none" w:sz="0" w:space="0" w:color="auto"/>
                <w:right w:val="none" w:sz="0" w:space="0" w:color="auto"/>
              </w:divBdr>
              <w:divsChild>
                <w:div w:id="1366952012">
                  <w:marLeft w:val="0"/>
                  <w:marRight w:val="0"/>
                  <w:marTop w:val="0"/>
                  <w:marBottom w:val="0"/>
                  <w:divBdr>
                    <w:top w:val="none" w:sz="0" w:space="0" w:color="auto"/>
                    <w:left w:val="none" w:sz="0" w:space="0" w:color="auto"/>
                    <w:bottom w:val="none" w:sz="0" w:space="0" w:color="auto"/>
                    <w:right w:val="none" w:sz="0" w:space="0" w:color="auto"/>
                  </w:divBdr>
                  <w:divsChild>
                    <w:div w:id="2023971468">
                      <w:marLeft w:val="0"/>
                      <w:marRight w:val="0"/>
                      <w:marTop w:val="0"/>
                      <w:marBottom w:val="0"/>
                      <w:divBdr>
                        <w:top w:val="none" w:sz="0" w:space="0" w:color="auto"/>
                        <w:left w:val="none" w:sz="0" w:space="0" w:color="auto"/>
                        <w:bottom w:val="none" w:sz="0" w:space="0" w:color="auto"/>
                        <w:right w:val="none" w:sz="0" w:space="0" w:color="auto"/>
                      </w:divBdr>
                      <w:divsChild>
                        <w:div w:id="1205362574">
                          <w:marLeft w:val="0"/>
                          <w:marRight w:val="0"/>
                          <w:marTop w:val="0"/>
                          <w:marBottom w:val="0"/>
                          <w:divBdr>
                            <w:top w:val="none" w:sz="0" w:space="0" w:color="auto"/>
                            <w:left w:val="none" w:sz="0" w:space="0" w:color="auto"/>
                            <w:bottom w:val="none" w:sz="0" w:space="0" w:color="auto"/>
                            <w:right w:val="none" w:sz="0" w:space="0" w:color="auto"/>
                          </w:divBdr>
                          <w:divsChild>
                            <w:div w:id="1762872687">
                              <w:marLeft w:val="0"/>
                              <w:marRight w:val="0"/>
                              <w:marTop w:val="0"/>
                              <w:marBottom w:val="0"/>
                              <w:divBdr>
                                <w:top w:val="none" w:sz="0" w:space="0" w:color="auto"/>
                                <w:left w:val="none" w:sz="0" w:space="0" w:color="auto"/>
                                <w:bottom w:val="none" w:sz="0" w:space="0" w:color="auto"/>
                                <w:right w:val="none" w:sz="0" w:space="0" w:color="auto"/>
                              </w:divBdr>
                              <w:divsChild>
                                <w:div w:id="981927032">
                                  <w:marLeft w:val="0"/>
                                  <w:marRight w:val="0"/>
                                  <w:marTop w:val="0"/>
                                  <w:marBottom w:val="0"/>
                                  <w:divBdr>
                                    <w:top w:val="none" w:sz="0" w:space="0" w:color="auto"/>
                                    <w:left w:val="none" w:sz="0" w:space="0" w:color="auto"/>
                                    <w:bottom w:val="none" w:sz="0" w:space="0" w:color="auto"/>
                                    <w:right w:val="none" w:sz="0" w:space="0" w:color="auto"/>
                                  </w:divBdr>
                                  <w:divsChild>
                                    <w:div w:id="2094817612">
                                      <w:marLeft w:val="0"/>
                                      <w:marRight w:val="0"/>
                                      <w:marTop w:val="0"/>
                                      <w:marBottom w:val="0"/>
                                      <w:divBdr>
                                        <w:top w:val="none" w:sz="0" w:space="0" w:color="auto"/>
                                        <w:left w:val="none" w:sz="0" w:space="0" w:color="auto"/>
                                        <w:bottom w:val="none" w:sz="0" w:space="0" w:color="auto"/>
                                        <w:right w:val="none" w:sz="0" w:space="0" w:color="auto"/>
                                      </w:divBdr>
                                      <w:divsChild>
                                        <w:div w:id="1515723341">
                                          <w:marLeft w:val="0"/>
                                          <w:marRight w:val="0"/>
                                          <w:marTop w:val="0"/>
                                          <w:marBottom w:val="0"/>
                                          <w:divBdr>
                                            <w:top w:val="none" w:sz="0" w:space="0" w:color="auto"/>
                                            <w:left w:val="none" w:sz="0" w:space="0" w:color="auto"/>
                                            <w:bottom w:val="none" w:sz="0" w:space="0" w:color="auto"/>
                                            <w:right w:val="none" w:sz="0" w:space="0" w:color="auto"/>
                                          </w:divBdr>
                                          <w:divsChild>
                                            <w:div w:id="411854688">
                                              <w:marLeft w:val="0"/>
                                              <w:marRight w:val="0"/>
                                              <w:marTop w:val="0"/>
                                              <w:marBottom w:val="0"/>
                                              <w:divBdr>
                                                <w:top w:val="none" w:sz="0" w:space="0" w:color="auto"/>
                                                <w:left w:val="none" w:sz="0" w:space="0" w:color="auto"/>
                                                <w:bottom w:val="none" w:sz="0" w:space="0" w:color="auto"/>
                                                <w:right w:val="none" w:sz="0" w:space="0" w:color="auto"/>
                                              </w:divBdr>
                                              <w:divsChild>
                                                <w:div w:id="1152869290">
                                                  <w:marLeft w:val="0"/>
                                                  <w:marRight w:val="0"/>
                                                  <w:marTop w:val="0"/>
                                                  <w:marBottom w:val="0"/>
                                                  <w:divBdr>
                                                    <w:top w:val="none" w:sz="0" w:space="0" w:color="auto"/>
                                                    <w:left w:val="none" w:sz="0" w:space="0" w:color="auto"/>
                                                    <w:bottom w:val="none" w:sz="0" w:space="0" w:color="auto"/>
                                                    <w:right w:val="none" w:sz="0" w:space="0" w:color="auto"/>
                                                  </w:divBdr>
                                                  <w:divsChild>
                                                    <w:div w:id="2129228750">
                                                      <w:marLeft w:val="0"/>
                                                      <w:marRight w:val="0"/>
                                                      <w:marTop w:val="0"/>
                                                      <w:marBottom w:val="0"/>
                                                      <w:divBdr>
                                                        <w:top w:val="none" w:sz="0" w:space="0" w:color="auto"/>
                                                        <w:left w:val="none" w:sz="0" w:space="0" w:color="auto"/>
                                                        <w:bottom w:val="none" w:sz="0" w:space="0" w:color="auto"/>
                                                        <w:right w:val="none" w:sz="0" w:space="0" w:color="auto"/>
                                                      </w:divBdr>
                                                      <w:divsChild>
                                                        <w:div w:id="17262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6085">
                                              <w:marLeft w:val="0"/>
                                              <w:marRight w:val="0"/>
                                              <w:marTop w:val="0"/>
                                              <w:marBottom w:val="0"/>
                                              <w:divBdr>
                                                <w:top w:val="none" w:sz="0" w:space="0" w:color="auto"/>
                                                <w:left w:val="none" w:sz="0" w:space="0" w:color="auto"/>
                                                <w:bottom w:val="none" w:sz="0" w:space="0" w:color="auto"/>
                                                <w:right w:val="none" w:sz="0" w:space="0" w:color="auto"/>
                                              </w:divBdr>
                                              <w:divsChild>
                                                <w:div w:id="484932165">
                                                  <w:marLeft w:val="0"/>
                                                  <w:marRight w:val="0"/>
                                                  <w:marTop w:val="0"/>
                                                  <w:marBottom w:val="0"/>
                                                  <w:divBdr>
                                                    <w:top w:val="none" w:sz="0" w:space="0" w:color="auto"/>
                                                    <w:left w:val="none" w:sz="0" w:space="0" w:color="auto"/>
                                                    <w:bottom w:val="none" w:sz="0" w:space="0" w:color="auto"/>
                                                    <w:right w:val="none" w:sz="0" w:space="0" w:color="auto"/>
                                                  </w:divBdr>
                                                  <w:divsChild>
                                                    <w:div w:id="1875917759">
                                                      <w:marLeft w:val="0"/>
                                                      <w:marRight w:val="0"/>
                                                      <w:marTop w:val="0"/>
                                                      <w:marBottom w:val="0"/>
                                                      <w:divBdr>
                                                        <w:top w:val="none" w:sz="0" w:space="0" w:color="auto"/>
                                                        <w:left w:val="none" w:sz="0" w:space="0" w:color="auto"/>
                                                        <w:bottom w:val="none" w:sz="0" w:space="0" w:color="auto"/>
                                                        <w:right w:val="none" w:sz="0" w:space="0" w:color="auto"/>
                                                      </w:divBdr>
                                                      <w:divsChild>
                                                        <w:div w:id="18384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935131">
          <w:marLeft w:val="0"/>
          <w:marRight w:val="0"/>
          <w:marTop w:val="0"/>
          <w:marBottom w:val="0"/>
          <w:divBdr>
            <w:top w:val="none" w:sz="0" w:space="0" w:color="auto"/>
            <w:left w:val="none" w:sz="0" w:space="0" w:color="auto"/>
            <w:bottom w:val="none" w:sz="0" w:space="0" w:color="auto"/>
            <w:right w:val="none" w:sz="0" w:space="0" w:color="auto"/>
          </w:divBdr>
          <w:divsChild>
            <w:div w:id="2132476074">
              <w:marLeft w:val="0"/>
              <w:marRight w:val="0"/>
              <w:marTop w:val="0"/>
              <w:marBottom w:val="0"/>
              <w:divBdr>
                <w:top w:val="none" w:sz="0" w:space="0" w:color="auto"/>
                <w:left w:val="none" w:sz="0" w:space="0" w:color="auto"/>
                <w:bottom w:val="none" w:sz="0" w:space="0" w:color="auto"/>
                <w:right w:val="none" w:sz="0" w:space="0" w:color="auto"/>
              </w:divBdr>
              <w:divsChild>
                <w:div w:id="2046904608">
                  <w:marLeft w:val="0"/>
                  <w:marRight w:val="0"/>
                  <w:marTop w:val="0"/>
                  <w:marBottom w:val="0"/>
                  <w:divBdr>
                    <w:top w:val="none" w:sz="0" w:space="0" w:color="auto"/>
                    <w:left w:val="none" w:sz="0" w:space="0" w:color="auto"/>
                    <w:bottom w:val="none" w:sz="0" w:space="0" w:color="auto"/>
                    <w:right w:val="none" w:sz="0" w:space="0" w:color="auto"/>
                  </w:divBdr>
                  <w:divsChild>
                    <w:div w:id="20957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6383">
      <w:bodyDiv w:val="1"/>
      <w:marLeft w:val="0"/>
      <w:marRight w:val="0"/>
      <w:marTop w:val="0"/>
      <w:marBottom w:val="0"/>
      <w:divBdr>
        <w:top w:val="none" w:sz="0" w:space="0" w:color="auto"/>
        <w:left w:val="none" w:sz="0" w:space="0" w:color="auto"/>
        <w:bottom w:val="none" w:sz="0" w:space="0" w:color="auto"/>
        <w:right w:val="none" w:sz="0" w:space="0" w:color="auto"/>
      </w:divBdr>
      <w:divsChild>
        <w:div w:id="887959372">
          <w:marLeft w:val="0"/>
          <w:marRight w:val="0"/>
          <w:marTop w:val="0"/>
          <w:marBottom w:val="0"/>
          <w:divBdr>
            <w:top w:val="none" w:sz="0" w:space="0" w:color="auto"/>
            <w:left w:val="none" w:sz="0" w:space="0" w:color="auto"/>
            <w:bottom w:val="none" w:sz="0" w:space="0" w:color="auto"/>
            <w:right w:val="none" w:sz="0" w:space="0" w:color="auto"/>
          </w:divBdr>
          <w:divsChild>
            <w:div w:id="551383600">
              <w:marLeft w:val="0"/>
              <w:marRight w:val="0"/>
              <w:marTop w:val="0"/>
              <w:marBottom w:val="0"/>
              <w:divBdr>
                <w:top w:val="none" w:sz="0" w:space="0" w:color="auto"/>
                <w:left w:val="none" w:sz="0" w:space="0" w:color="auto"/>
                <w:bottom w:val="none" w:sz="0" w:space="0" w:color="auto"/>
                <w:right w:val="none" w:sz="0" w:space="0" w:color="auto"/>
              </w:divBdr>
              <w:divsChild>
                <w:div w:id="1621303970">
                  <w:marLeft w:val="0"/>
                  <w:marRight w:val="0"/>
                  <w:marTop w:val="0"/>
                  <w:marBottom w:val="0"/>
                  <w:divBdr>
                    <w:top w:val="none" w:sz="0" w:space="0" w:color="auto"/>
                    <w:left w:val="none" w:sz="0" w:space="0" w:color="auto"/>
                    <w:bottom w:val="none" w:sz="0" w:space="0" w:color="auto"/>
                    <w:right w:val="none" w:sz="0" w:space="0" w:color="auto"/>
                  </w:divBdr>
                  <w:divsChild>
                    <w:div w:id="449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050665">
          <w:marLeft w:val="0"/>
          <w:marRight w:val="0"/>
          <w:marTop w:val="0"/>
          <w:marBottom w:val="0"/>
          <w:divBdr>
            <w:top w:val="none" w:sz="0" w:space="0" w:color="auto"/>
            <w:left w:val="none" w:sz="0" w:space="0" w:color="auto"/>
            <w:bottom w:val="none" w:sz="0" w:space="0" w:color="auto"/>
            <w:right w:val="none" w:sz="0" w:space="0" w:color="auto"/>
          </w:divBdr>
          <w:divsChild>
            <w:div w:id="316810310">
              <w:marLeft w:val="0"/>
              <w:marRight w:val="0"/>
              <w:marTop w:val="0"/>
              <w:marBottom w:val="0"/>
              <w:divBdr>
                <w:top w:val="none" w:sz="0" w:space="0" w:color="auto"/>
                <w:left w:val="none" w:sz="0" w:space="0" w:color="auto"/>
                <w:bottom w:val="none" w:sz="0" w:space="0" w:color="auto"/>
                <w:right w:val="none" w:sz="0" w:space="0" w:color="auto"/>
              </w:divBdr>
              <w:divsChild>
                <w:div w:id="1901600821">
                  <w:marLeft w:val="0"/>
                  <w:marRight w:val="0"/>
                  <w:marTop w:val="0"/>
                  <w:marBottom w:val="0"/>
                  <w:divBdr>
                    <w:top w:val="none" w:sz="0" w:space="0" w:color="auto"/>
                    <w:left w:val="none" w:sz="0" w:space="0" w:color="auto"/>
                    <w:bottom w:val="none" w:sz="0" w:space="0" w:color="auto"/>
                    <w:right w:val="none" w:sz="0" w:space="0" w:color="auto"/>
                  </w:divBdr>
                  <w:divsChild>
                    <w:div w:id="2317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27937">
      <w:bodyDiv w:val="1"/>
      <w:marLeft w:val="0"/>
      <w:marRight w:val="0"/>
      <w:marTop w:val="0"/>
      <w:marBottom w:val="0"/>
      <w:divBdr>
        <w:top w:val="none" w:sz="0" w:space="0" w:color="auto"/>
        <w:left w:val="none" w:sz="0" w:space="0" w:color="auto"/>
        <w:bottom w:val="none" w:sz="0" w:space="0" w:color="auto"/>
        <w:right w:val="none" w:sz="0" w:space="0" w:color="auto"/>
      </w:divBdr>
    </w:div>
    <w:div w:id="2128163153">
      <w:bodyDiv w:val="1"/>
      <w:marLeft w:val="0"/>
      <w:marRight w:val="0"/>
      <w:marTop w:val="0"/>
      <w:marBottom w:val="0"/>
      <w:divBdr>
        <w:top w:val="none" w:sz="0" w:space="0" w:color="auto"/>
        <w:left w:val="none" w:sz="0" w:space="0" w:color="auto"/>
        <w:bottom w:val="none" w:sz="0" w:space="0" w:color="auto"/>
        <w:right w:val="none" w:sz="0" w:space="0" w:color="auto"/>
      </w:divBdr>
    </w:div>
    <w:div w:id="2128238410">
      <w:bodyDiv w:val="1"/>
      <w:marLeft w:val="0"/>
      <w:marRight w:val="0"/>
      <w:marTop w:val="0"/>
      <w:marBottom w:val="0"/>
      <w:divBdr>
        <w:top w:val="none" w:sz="0" w:space="0" w:color="auto"/>
        <w:left w:val="none" w:sz="0" w:space="0" w:color="auto"/>
        <w:bottom w:val="none" w:sz="0" w:space="0" w:color="auto"/>
        <w:right w:val="none" w:sz="0" w:space="0" w:color="auto"/>
      </w:divBdr>
    </w:div>
    <w:div w:id="2132167105">
      <w:bodyDiv w:val="1"/>
      <w:marLeft w:val="0"/>
      <w:marRight w:val="0"/>
      <w:marTop w:val="0"/>
      <w:marBottom w:val="0"/>
      <w:divBdr>
        <w:top w:val="none" w:sz="0" w:space="0" w:color="auto"/>
        <w:left w:val="none" w:sz="0" w:space="0" w:color="auto"/>
        <w:bottom w:val="none" w:sz="0" w:space="0" w:color="auto"/>
        <w:right w:val="none" w:sz="0" w:space="0" w:color="auto"/>
      </w:divBdr>
    </w:div>
    <w:div w:id="2133210082">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 w:id="2141461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eader" Target="header5.xml"/><Relationship Id="rId42" Type="http://schemas.openxmlformats.org/officeDocument/2006/relationships/hyperlink" Target="https://data.pops-gmp.org/" TargetMode="External"/><Relationship Id="rId47" Type="http://schemas.openxmlformats.org/officeDocument/2006/relationships/hyperlink" Target="https://helcom.fi/" TargetMode="External"/><Relationship Id="rId63" Type="http://schemas.openxmlformats.org/officeDocument/2006/relationships/image" Target="media/image20.png"/><Relationship Id="rId68" Type="http://schemas.openxmlformats.org/officeDocument/2006/relationships/image" Target="media/image24.emf"/><Relationship Id="rId84" Type="http://schemas.openxmlformats.org/officeDocument/2006/relationships/hyperlink" Target="https://www.youtube.com/watch?v=pkz48SyIzXw" TargetMode="External"/><Relationship Id="rId89" Type="http://schemas.openxmlformats.org/officeDocument/2006/relationships/hyperlink" Target="http://www.pops-gmp.org" TargetMode="External"/><Relationship Id="rId112" Type="http://schemas.openxmlformats.org/officeDocument/2006/relationships/hyperlink" Target="https://www.unep.org/node/32416/" TargetMode="External"/><Relationship Id="rId16" Type="http://schemas.openxmlformats.org/officeDocument/2006/relationships/hyperlink" Target="http://www.sust-chem.ethz.ch/docs/POP_Candidates_OECD_Tool.pdf" TargetMode="External"/><Relationship Id="rId107" Type="http://schemas.openxmlformats.org/officeDocument/2006/relationships/hyperlink" Target="http://www.kanexkrohne.com/english/Downloadarea/gosstandard_russia.shtml" TargetMode="External"/><Relationship Id="rId11" Type="http://schemas.openxmlformats.org/officeDocument/2006/relationships/footer" Target="footer3.xml"/><Relationship Id="rId32" Type="http://schemas.openxmlformats.org/officeDocument/2006/relationships/hyperlink" Target="https://data.genasis.cz/" TargetMode="External"/><Relationship Id="rId37" Type="http://schemas.openxmlformats.org/officeDocument/2006/relationships/image" Target="media/image12.emf"/><Relationship Id="rId53" Type="http://schemas.openxmlformats.org/officeDocument/2006/relationships/footer" Target="footer4.xml"/><Relationship Id="rId58" Type="http://schemas.openxmlformats.org/officeDocument/2006/relationships/footer" Target="footer7.xml"/><Relationship Id="rId74" Type="http://schemas.openxmlformats.org/officeDocument/2006/relationships/hyperlink" Target="mailto:tom.harner@canada.ca" TargetMode="External"/><Relationship Id="rId79" Type="http://schemas.openxmlformats.org/officeDocument/2006/relationships/hyperlink" Target="mailto:hayley.hung@canada.ca" TargetMode="External"/><Relationship Id="rId102" Type="http://schemas.openxmlformats.org/officeDocument/2006/relationships/hyperlink" Target="https://toolkit.pops.int/Publish/Downloads/UNEP-POPS-TOOLKIT-2012-En.pdf" TargetMode="External"/><Relationship Id="rId5" Type="http://schemas.openxmlformats.org/officeDocument/2006/relationships/webSettings" Target="webSettings.xml"/><Relationship Id="rId90" Type="http://schemas.openxmlformats.org/officeDocument/2006/relationships/hyperlink" Target="https://chm.pops.int/Implementation/GlobalMonitoringPlan/Meetings/EG2/tabid/2233/Default.aspx" TargetMode="External"/><Relationship Id="rId95" Type="http://schemas.openxmlformats.org/officeDocument/2006/relationships/hyperlink" Target="https://pubs.acs.org/doi/10.1021/acsestair.3c00107" TargetMode="External"/><Relationship Id="rId27" Type="http://schemas.openxmlformats.org/officeDocument/2006/relationships/image" Target="media/image6.emf"/><Relationship Id="rId43" Type="http://schemas.openxmlformats.org/officeDocument/2006/relationships/hyperlink" Target="https://data.pops-gmp.org/" TargetMode="External"/><Relationship Id="rId48" Type="http://schemas.openxmlformats.org/officeDocument/2006/relationships/hyperlink" Target="https://www.ospar.org/" TargetMode="External"/><Relationship Id="rId64" Type="http://schemas.openxmlformats.org/officeDocument/2006/relationships/image" Target="media/image21.png"/><Relationship Id="rId69" Type="http://schemas.openxmlformats.org/officeDocument/2006/relationships/image" Target="media/image25.jpg"/><Relationship Id="rId113" Type="http://schemas.openxmlformats.org/officeDocument/2006/relationships/hyperlink" Target="https://www.unep.org/node/32424/" TargetMode="External"/><Relationship Id="rId118" Type="http://schemas.openxmlformats.org/officeDocument/2006/relationships/footer" Target="footer11.xml"/><Relationship Id="rId80" Type="http://schemas.openxmlformats.org/officeDocument/2006/relationships/hyperlink" Target="mailto:a.sweetman@lancaster.ac.uk" TargetMode="External"/><Relationship Id="rId85" Type="http://schemas.openxmlformats.org/officeDocument/2006/relationships/hyperlink" Target="https://www.youtube.com/watch?v=8A22nvu7kbQ" TargetMode="External"/><Relationship Id="rId12" Type="http://schemas.openxmlformats.org/officeDocument/2006/relationships/hyperlink" Target="http://www.pops-gmp.org" TargetMode="External"/><Relationship Id="rId17" Type="http://schemas.openxmlformats.org/officeDocument/2006/relationships/hyperlink" Target="http://www.pops.int/documents/meetings/poprc/prepdocs/annexEsubmissions/All%20chemicals%20Switzerland.pdf" TargetMode="External"/><Relationship Id="rId33" Type="http://schemas.openxmlformats.org/officeDocument/2006/relationships/hyperlink" Target="https://www.unep.org/topics/chemicals-and-pollution-action/pollution-and-health/persistent-organic-pollutants-pops-4" TargetMode="External"/><Relationship Id="rId38" Type="http://schemas.openxmlformats.org/officeDocument/2006/relationships/image" Target="media/image13.png"/><Relationship Id="rId59" Type="http://schemas.openxmlformats.org/officeDocument/2006/relationships/image" Target="media/image18.emf"/><Relationship Id="rId103" Type="http://schemas.openxmlformats.org/officeDocument/2006/relationships/hyperlink" Target="https://www.epa.gov/system/files/documents/2024-02/organic-methods-table.pdf" TargetMode="External"/><Relationship Id="rId108" Type="http://schemas.openxmlformats.org/officeDocument/2006/relationships/hyperlink" Target="http://www.epa.gov/SW-846/pdfs/8290a.pdf" TargetMode="External"/><Relationship Id="rId54" Type="http://schemas.openxmlformats.org/officeDocument/2006/relationships/footer" Target="footer5.xml"/><Relationship Id="rId70" Type="http://schemas.openxmlformats.org/officeDocument/2006/relationships/hyperlink" Target="http://www.umweltprobenbank.de/en" TargetMode="External"/><Relationship Id="rId75" Type="http://schemas.openxmlformats.org/officeDocument/2006/relationships/hyperlink" Target="mailto:hayley.hung@canada.ca" TargetMode="External"/><Relationship Id="rId91" Type="http://schemas.openxmlformats.org/officeDocument/2006/relationships/hyperlink" Target="http://dx.doi.org/10.1016/j.trac.2012.11.003" TargetMode="External"/><Relationship Id="rId96" Type="http://schemas.openxmlformats.org/officeDocument/2006/relationships/hyperlink" Target="https://www.ethz.ch/content/dam/ethz/special-interest/chab/icb/set-dam/documents/downloads/UNECE-POP-CandidatesTheTool.pdf" TargetMode="External"/><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7.png"/><Relationship Id="rId49" Type="http://schemas.openxmlformats.org/officeDocument/2006/relationships/hyperlink" Target="https://environment.ec.europa.eu/topics/water/water-framework-directive_en" TargetMode="External"/><Relationship Id="rId114" Type="http://schemas.openxmlformats.org/officeDocument/2006/relationships/hyperlink" Target="https://www.unep.org/node/32422/" TargetMode="External"/><Relationship Id="rId119" Type="http://schemas.openxmlformats.org/officeDocument/2006/relationships/footer" Target="footer12.xml"/><Relationship Id="rId10" Type="http://schemas.openxmlformats.org/officeDocument/2006/relationships/header" Target="header1.xml"/><Relationship Id="rId31" Type="http://schemas.openxmlformats.org/officeDocument/2006/relationships/hyperlink" Target="https://www.canada.ca/en/environment-climate-change/services/air-pollution/monitoring-networks-data/global-atmospheric-passive-sampling.html" TargetMode="External"/><Relationship Id="rId44" Type="http://schemas.openxmlformats.org/officeDocument/2006/relationships/image" Target="media/image17.jpeg"/><Relationship Id="rId52" Type="http://schemas.openxmlformats.org/officeDocument/2006/relationships/hyperlink" Target="http://www.inter-esb.org/index.html" TargetMode="External"/><Relationship Id="rId60" Type="http://schemas.openxmlformats.org/officeDocument/2006/relationships/hyperlink" Target="http://www.pops-gmp.org" TargetMode="External"/><Relationship Id="rId65" Type="http://schemas.openxmlformats.org/officeDocument/2006/relationships/hyperlink" Target="http://chm.pops.int/Implementation/GlobalMonitoringPlan/Regionalorganizationgroups/tabid/179/Default.aspx" TargetMode="External"/><Relationship Id="rId73" Type="http://schemas.openxmlformats.org/officeDocument/2006/relationships/hyperlink" Target="mailto:pernilla.bohlin.nizzetto@nilu.no" TargetMode="External"/><Relationship Id="rId78" Type="http://schemas.openxmlformats.org/officeDocument/2006/relationships/hyperlink" Target="mailto:klanova@recetox.muni.cz" TargetMode="External"/><Relationship Id="rId81" Type="http://schemas.openxmlformats.org/officeDocument/2006/relationships/footer" Target="footer8.xml"/><Relationship Id="rId86" Type="http://schemas.openxmlformats.org/officeDocument/2006/relationships/hyperlink" Target="https://www.youtube.com/watch?v=9vvrvpRD96k&amp;feature=youtu.be" TargetMode="External"/><Relationship Id="rId94" Type="http://schemas.openxmlformats.org/officeDocument/2006/relationships/hyperlink" Target="https://doi.org/10.1016/j.envpol.2022.120206" TargetMode="External"/><Relationship Id="rId99" Type="http://schemas.openxmlformats.org/officeDocument/2006/relationships/hyperlink" Target="https://www.diva-portal.org/smash/get/diva2:710702/FULLTEXT01.pdf" TargetMode="External"/><Relationship Id="rId101" Type="http://schemas.openxmlformats.org/officeDocument/2006/relationships/hyperlink" Target="https://doi.org/10.1039/D4VA00023D"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jpeg"/><Relationship Id="rId18" Type="http://schemas.openxmlformats.org/officeDocument/2006/relationships/hyperlink" Target="https://ready.arl.noaa.gov/HYSPLIT_traj.php" TargetMode="External"/><Relationship Id="rId39" Type="http://schemas.openxmlformats.org/officeDocument/2006/relationships/image" Target="media/image14.emf"/><Relationship Id="rId109" Type="http://schemas.openxmlformats.org/officeDocument/2006/relationships/hyperlink" Target="https://www.umweltbundesamt.de/en/topics/chemicals/international-environmental-specimen-bank-group" TargetMode="External"/><Relationship Id="rId34" Type="http://schemas.openxmlformats.org/officeDocument/2006/relationships/image" Target="media/image9.jpeg"/><Relationship Id="rId50" Type="http://schemas.openxmlformats.org/officeDocument/2006/relationships/hyperlink" Target="https://www.env.go.jp/en/chemi/pops/index.html" TargetMode="External"/><Relationship Id="rId55" Type="http://schemas.openxmlformats.org/officeDocument/2006/relationships/header" Target="header2.xml"/><Relationship Id="rId76" Type="http://schemas.openxmlformats.org/officeDocument/2006/relationships/hyperlink" Target="mailto:hitesr@indiana.edu" TargetMode="External"/><Relationship Id="rId97" Type="http://schemas.openxmlformats.org/officeDocument/2006/relationships/hyperlink" Target="https://doi.org/10.1016/j.envsci.2021.08.003" TargetMode="External"/><Relationship Id="rId104" Type="http://schemas.openxmlformats.org/officeDocument/2006/relationships/hyperlink" Target="https://www.epa.gov/toxics-release-inventory-tri-program/tri-listed-chemicals"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ter-esb.org/index.html" TargetMode="External"/><Relationship Id="rId92" Type="http://schemas.openxmlformats.org/officeDocument/2006/relationships/hyperlink" Target="https://doi.org/10.1021/acs.est.2c03047" TargetMode="External"/><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hyperlink" Target="https://www.amap.no/" TargetMode="External"/><Relationship Id="rId66" Type="http://schemas.openxmlformats.org/officeDocument/2006/relationships/image" Target="media/image22.png"/><Relationship Id="rId87" Type="http://schemas.openxmlformats.org/officeDocument/2006/relationships/hyperlink" Target="https://www.youtube.com/watch?v=nkzbCzRPMyc&amp;feature=youtu.be" TargetMode="External"/><Relationship Id="rId110" Type="http://schemas.openxmlformats.org/officeDocument/2006/relationships/hyperlink" Target="https://www.nist.gov/srm" TargetMode="External"/><Relationship Id="rId115" Type="http://schemas.openxmlformats.org/officeDocument/2006/relationships/hyperlink" Target="https://informea.pops.int/PbHgPOPsLabs/index.html" TargetMode="External"/><Relationship Id="rId61" Type="http://schemas.openxmlformats.org/officeDocument/2006/relationships/hyperlink" Target="http://www.pops-gmp.org" TargetMode="External"/><Relationship Id="rId82" Type="http://schemas.openxmlformats.org/officeDocument/2006/relationships/footer" Target="footer9.xml"/><Relationship Id="rId19" Type="http://schemas.openxmlformats.org/officeDocument/2006/relationships/image" Target="media/image4.wmf"/><Relationship Id="rId14" Type="http://schemas.openxmlformats.org/officeDocument/2006/relationships/image" Target="media/image2.jpg"/><Relationship Id="rId30" Type="http://schemas.openxmlformats.org/officeDocument/2006/relationships/hyperlink" Target="https://twitter.com/GAPSNetworkPOPs" TargetMode="External"/><Relationship Id="rId35" Type="http://schemas.openxmlformats.org/officeDocument/2006/relationships/image" Target="media/image10.png"/><Relationship Id="rId56" Type="http://schemas.openxmlformats.org/officeDocument/2006/relationships/footer" Target="footer6.xml"/><Relationship Id="rId77" Type="http://schemas.openxmlformats.org/officeDocument/2006/relationships/hyperlink" Target="mailto:gfillmann@gmail.com" TargetMode="External"/><Relationship Id="rId100" Type="http://schemas.openxmlformats.org/officeDocument/2006/relationships/hyperlink" Target="https://www.normandata.eu/sites/default/files/files_private/JointProgramme2023/NORMAN%20JPA%202023_final.pdf" TargetMode="External"/><Relationship Id="rId105" Type="http://schemas.openxmlformats.org/officeDocument/2006/relationships/hyperlink" Target="http://www.oecd.org/ehs/" TargetMode="External"/><Relationship Id="rId8" Type="http://schemas.openxmlformats.org/officeDocument/2006/relationships/footer" Target="footer1.xml"/><Relationship Id="rId51" Type="http://schemas.openxmlformats.org/officeDocument/2006/relationships/hyperlink" Target="http://www.amap.no" TargetMode="External"/><Relationship Id="rId72" Type="http://schemas.openxmlformats.org/officeDocument/2006/relationships/hyperlink" Target="mailto:zhengmh@rcees.ac.cn" TargetMode="External"/><Relationship Id="rId93" Type="http://schemas.openxmlformats.org/officeDocument/2006/relationships/hyperlink" Target="https://pubs.rsc.org/en/results?searchtext=Author%3AKatrine%20Borg%C3%A5" TargetMode="External"/><Relationship Id="rId98" Type="http://schemas.openxmlformats.org/officeDocument/2006/relationships/hyperlink" Target="https://doi.org/10.1016/j.envpol.2023.121291"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0.wmf"/><Relationship Id="rId46" Type="http://schemas.openxmlformats.org/officeDocument/2006/relationships/hyperlink" Target="https://unece.org/sites/default/files/2021-05/1979%20CLRTAP.e.pdf" TargetMode="External"/><Relationship Id="rId67" Type="http://schemas.openxmlformats.org/officeDocument/2006/relationships/image" Target="media/image23.jpg"/><Relationship Id="rId116" Type="http://schemas.openxmlformats.org/officeDocument/2006/relationships/header" Target="header4.xml"/><Relationship Id="rId20" Type="http://schemas.openxmlformats.org/officeDocument/2006/relationships/image" Target="media/image5.wmf"/><Relationship Id="rId41" Type="http://schemas.openxmlformats.org/officeDocument/2006/relationships/image" Target="media/image16.png"/><Relationship Id="rId62" Type="http://schemas.openxmlformats.org/officeDocument/2006/relationships/image" Target="media/image19.png"/><Relationship Id="rId83" Type="http://schemas.openxmlformats.org/officeDocument/2006/relationships/footer" Target="footer10.xml"/><Relationship Id="rId88" Type="http://schemas.openxmlformats.org/officeDocument/2006/relationships/hyperlink" Target="https://www.youtube.com/watch?v=NznXwa-xk-0" TargetMode="External"/><Relationship Id="rId111" Type="http://schemas.openxmlformats.org/officeDocument/2006/relationships/hyperlink" Target="https://www.unep.org/node/32415/" TargetMode="External"/><Relationship Id="rId15" Type="http://schemas.openxmlformats.org/officeDocument/2006/relationships/image" Target="media/image3.wmf"/><Relationship Id="rId36" Type="http://schemas.openxmlformats.org/officeDocument/2006/relationships/image" Target="media/image11.png"/><Relationship Id="rId57" Type="http://schemas.openxmlformats.org/officeDocument/2006/relationships/header" Target="header3.xml"/><Relationship Id="rId106" Type="http://schemas.openxmlformats.org/officeDocument/2006/relationships/hyperlink" Target="http://europa.eu.int/eur-lex/pri/en/oj/dat/2002/l_221/l_22120020817en00080036.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elcom.fi/helcom-at-work/publications/manuals-and-guidelines" TargetMode="External"/><Relationship Id="rId2" Type="http://schemas.openxmlformats.org/officeDocument/2006/relationships/hyperlink" Target="http://submit.nilu.no" TargetMode="External"/><Relationship Id="rId1" Type="http://schemas.openxmlformats.org/officeDocument/2006/relationships/hyperlink" Target="http://mcc.jrc.ec.europa.eu/documents/OSPAR/Guidance_fortheComprehensiveAtmosphericMonitoringProgramme_CAMP%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ZZ_ENG_NEW_TEMPLATES\POPS_TEMPLATES\POPS-COP-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2A20F-0E10-4FAF-A38D-E4803AAF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POPS-COP-5.dot</Template>
  <TotalTime>2</TotalTime>
  <Pages>142</Pages>
  <Words>76537</Words>
  <Characters>436262</Characters>
  <Application>Microsoft Office Word</Application>
  <DocSecurity>0</DocSecurity>
  <Lines>3635</Lines>
  <Paragraphs>1023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NATIONS UNIES</vt:lpstr>
      <vt:lpstr>NATIONS UNIES</vt:lpstr>
    </vt:vector>
  </TitlesOfParts>
  <Company>unon</Company>
  <LinksUpToDate>false</LinksUpToDate>
  <CharactersWithSpaces>511776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mbauj</dc:creator>
  <cp:keywords/>
  <dc:description/>
  <cp:lastModifiedBy>Kei Ohno Woodall</cp:lastModifiedBy>
  <cp:revision>3</cp:revision>
  <cp:lastPrinted>2025-01-18T11:40:00Z</cp:lastPrinted>
  <dcterms:created xsi:type="dcterms:W3CDTF">2025-02-03T17:46:00Z</dcterms:created>
  <dcterms:modified xsi:type="dcterms:W3CDTF">2025-02-03T17:47:00Z</dcterms:modified>
</cp:coreProperties>
</file>